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B4B637">
      <w:pPr>
        <w:ind w:firstLine="0" w:firstLineChars="0"/>
        <w:rPr>
          <w:rFonts w:hint="eastAsia" w:ascii="宋体" w:hAnsi="宋体" w:eastAsia="宋体" w:cs="宋体"/>
          <w:color w:val="auto"/>
          <w:spacing w:val="0"/>
          <w:highlight w:val="none"/>
          <w:lang w:eastAsia="zh-CN"/>
        </w:rPr>
      </w:pPr>
      <w:r>
        <w:rPr>
          <w:rFonts w:hint="eastAsia" w:ascii="宋体" w:hAnsi="宋体" w:eastAsia="宋体" w:cs="宋体"/>
          <w:color w:val="auto"/>
          <w:spacing w:val="0"/>
          <w:highlight w:val="none"/>
          <w:lang w:eastAsia="zh-CN"/>
        </w:rPr>
        <w:drawing>
          <wp:inline distT="0" distB="0" distL="114300" distR="114300">
            <wp:extent cx="5274310" cy="7464425"/>
            <wp:effectExtent l="0" t="0" r="2540" b="3175"/>
            <wp:docPr id="38" name="图片 38" descr="燎泰建设项目环境影响报告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燎泰建设项目环境影响报告表_01"/>
                    <pic:cNvPicPr>
                      <a:picLocks noChangeAspect="1"/>
                    </pic:cNvPicPr>
                  </pic:nvPicPr>
                  <pic:blipFill>
                    <a:blip r:embed="rId16"/>
                    <a:stretch>
                      <a:fillRect/>
                    </a:stretch>
                  </pic:blipFill>
                  <pic:spPr>
                    <a:xfrm>
                      <a:off x="0" y="0"/>
                      <a:ext cx="5274310" cy="7464425"/>
                    </a:xfrm>
                    <a:prstGeom prst="rect">
                      <a:avLst/>
                    </a:prstGeom>
                  </pic:spPr>
                </pic:pic>
              </a:graphicData>
            </a:graphic>
          </wp:inline>
        </w:drawing>
      </w:r>
    </w:p>
    <w:p w14:paraId="293CE90F">
      <w:pPr>
        <w:rPr>
          <w:rFonts w:hint="eastAsia" w:ascii="宋体" w:hAnsi="宋体" w:eastAsia="宋体" w:cs="宋体"/>
          <w:color w:val="auto"/>
          <w:spacing w:val="0"/>
          <w:highlight w:val="none"/>
        </w:rPr>
      </w:pPr>
    </w:p>
    <w:p w14:paraId="2341E306">
      <w:pPr>
        <w:rPr>
          <w:rFonts w:hint="eastAsia" w:ascii="宋体" w:hAnsi="宋体" w:eastAsia="宋体" w:cs="宋体"/>
          <w:color w:val="auto"/>
          <w:spacing w:val="0"/>
          <w:highlight w:val="none"/>
        </w:rPr>
      </w:pPr>
    </w:p>
    <w:p w14:paraId="41C0CA2E">
      <w:pPr>
        <w:rPr>
          <w:rFonts w:hint="eastAsia" w:ascii="宋体" w:hAnsi="宋体" w:eastAsia="宋体" w:cs="宋体"/>
          <w:color w:val="auto"/>
          <w:spacing w:val="0"/>
          <w:highlight w:val="none"/>
        </w:rPr>
      </w:pPr>
    </w:p>
    <w:p w14:paraId="1DD88239">
      <w:pPr>
        <w:rPr>
          <w:rFonts w:hint="eastAsia" w:ascii="宋体" w:hAnsi="宋体" w:eastAsia="宋体" w:cs="宋体"/>
          <w:color w:val="auto"/>
          <w:spacing w:val="0"/>
          <w:highlight w:val="none"/>
        </w:rPr>
      </w:pPr>
    </w:p>
    <w:p w14:paraId="0A61DBB9">
      <w:pPr>
        <w:ind w:firstLine="0" w:firstLineChars="0"/>
        <w:jc w:val="center"/>
        <w:rPr>
          <w:rFonts w:hint="eastAsia" w:ascii="宋体" w:hAnsi="宋体" w:eastAsia="宋体" w:cs="宋体"/>
          <w:color w:val="auto"/>
          <w:spacing w:val="0"/>
          <w:sz w:val="72"/>
          <w:szCs w:val="72"/>
          <w:highlight w:val="none"/>
        </w:rPr>
      </w:pPr>
      <w:bookmarkStart w:id="0" w:name="_Toc70405719"/>
    </w:p>
    <w:p w14:paraId="31F75933">
      <w:pPr>
        <w:ind w:firstLine="0" w:firstLineChars="0"/>
        <w:jc w:val="center"/>
        <w:rPr>
          <w:rFonts w:hint="eastAsia" w:ascii="宋体" w:hAnsi="宋体" w:eastAsia="宋体" w:cs="宋体"/>
          <w:color w:val="auto"/>
          <w:spacing w:val="0"/>
          <w:sz w:val="72"/>
          <w:szCs w:val="72"/>
          <w:highlight w:val="none"/>
        </w:rPr>
      </w:pPr>
      <w:r>
        <w:rPr>
          <w:rFonts w:hint="eastAsia" w:ascii="宋体" w:hAnsi="宋体" w:eastAsia="宋体" w:cs="宋体"/>
          <w:color w:val="auto"/>
          <w:spacing w:val="0"/>
          <w:sz w:val="72"/>
          <w:szCs w:val="72"/>
          <w:highlight w:val="none"/>
        </w:rPr>
        <w:t>建设项目环境影响报告表</w:t>
      </w:r>
      <w:bookmarkEnd w:id="0"/>
    </w:p>
    <w:p w14:paraId="6440D66D">
      <w:pPr>
        <w:spacing w:before="192" w:beforeLines="80"/>
        <w:ind w:firstLine="0" w:firstLineChars="0"/>
        <w:jc w:val="center"/>
        <w:rPr>
          <w:rFonts w:hint="eastAsia" w:ascii="宋体" w:hAnsi="宋体" w:eastAsia="宋体" w:cs="宋体"/>
          <w:color w:val="auto"/>
          <w:spacing w:val="0"/>
          <w:sz w:val="48"/>
          <w:szCs w:val="48"/>
          <w:highlight w:val="none"/>
        </w:rPr>
      </w:pPr>
      <w:r>
        <w:rPr>
          <w:rFonts w:hint="eastAsia" w:ascii="宋体" w:hAnsi="宋体" w:eastAsia="宋体" w:cs="宋体"/>
          <w:color w:val="auto"/>
          <w:spacing w:val="0"/>
          <w:sz w:val="48"/>
          <w:szCs w:val="48"/>
          <w:highlight w:val="none"/>
        </w:rPr>
        <w:t>（污染影响类）</w:t>
      </w:r>
    </w:p>
    <w:p w14:paraId="589B95CE">
      <w:pPr>
        <w:rPr>
          <w:rFonts w:hint="eastAsia" w:ascii="宋体" w:hAnsi="宋体" w:eastAsia="宋体" w:cs="宋体"/>
          <w:color w:val="auto"/>
          <w:spacing w:val="0"/>
          <w:kern w:val="44"/>
          <w:highlight w:val="none"/>
        </w:rPr>
      </w:pPr>
    </w:p>
    <w:p w14:paraId="77417E48">
      <w:pPr>
        <w:rPr>
          <w:rFonts w:hint="eastAsia" w:ascii="宋体" w:hAnsi="宋体" w:eastAsia="宋体" w:cs="宋体"/>
          <w:color w:val="auto"/>
          <w:spacing w:val="0"/>
          <w:highlight w:val="none"/>
        </w:rPr>
      </w:pPr>
    </w:p>
    <w:p w14:paraId="61D320C0">
      <w:pPr>
        <w:rPr>
          <w:rFonts w:hint="eastAsia" w:ascii="宋体" w:hAnsi="宋体" w:eastAsia="宋体" w:cs="宋体"/>
          <w:color w:val="auto"/>
          <w:spacing w:val="0"/>
          <w:highlight w:val="none"/>
        </w:rPr>
      </w:pPr>
    </w:p>
    <w:p w14:paraId="4BF97BBB">
      <w:pPr>
        <w:rPr>
          <w:rFonts w:hint="eastAsia" w:ascii="宋体" w:hAnsi="宋体" w:eastAsia="宋体" w:cs="宋体"/>
          <w:color w:val="auto"/>
          <w:spacing w:val="0"/>
          <w:highlight w:val="none"/>
        </w:rPr>
      </w:pPr>
    </w:p>
    <w:p w14:paraId="55249EE1">
      <w:pPr>
        <w:rPr>
          <w:rFonts w:hint="eastAsia" w:ascii="宋体" w:hAnsi="宋体" w:eastAsia="宋体" w:cs="宋体"/>
          <w:color w:val="auto"/>
          <w:spacing w:val="0"/>
          <w:highlight w:val="none"/>
        </w:rPr>
      </w:pPr>
    </w:p>
    <w:p w14:paraId="272414A2">
      <w:pPr>
        <w:pStyle w:val="2"/>
        <w:rPr>
          <w:rFonts w:hint="eastAsia" w:ascii="宋体" w:hAnsi="宋体" w:eastAsia="宋体" w:cs="宋体"/>
          <w:color w:val="auto"/>
          <w:spacing w:val="0"/>
          <w:highlight w:val="none"/>
        </w:rPr>
      </w:pPr>
    </w:p>
    <w:p w14:paraId="6BA454AB">
      <w:pPr>
        <w:rPr>
          <w:rFonts w:hint="eastAsia" w:ascii="宋体" w:hAnsi="宋体" w:eastAsia="宋体" w:cs="宋体"/>
          <w:color w:val="auto"/>
          <w:spacing w:val="0"/>
          <w:highlight w:val="none"/>
        </w:rPr>
      </w:pPr>
    </w:p>
    <w:p w14:paraId="0DC15E5F">
      <w:pPr>
        <w:pStyle w:val="2"/>
        <w:rPr>
          <w:rFonts w:hint="eastAsia" w:ascii="宋体" w:hAnsi="宋体" w:eastAsia="宋体" w:cs="宋体"/>
          <w:color w:val="auto"/>
          <w:spacing w:val="0"/>
          <w:highlight w:val="none"/>
        </w:rPr>
      </w:pPr>
    </w:p>
    <w:p w14:paraId="1A4A830B">
      <w:pPr>
        <w:rPr>
          <w:rFonts w:hint="eastAsia"/>
          <w:highlight w:val="none"/>
        </w:rPr>
      </w:pPr>
    </w:p>
    <w:p w14:paraId="3439BE2E">
      <w:pPr>
        <w:adjustRightInd/>
        <w:ind w:firstLine="0" w:firstLineChars="0"/>
        <w:jc w:val="left"/>
        <w:rPr>
          <w:rFonts w:hint="eastAsia" w:ascii="宋体" w:hAnsi="宋体" w:eastAsia="宋体" w:cs="宋体"/>
          <w:bCs w:val="0"/>
          <w:color w:val="auto"/>
          <w:spacing w:val="0"/>
          <w:sz w:val="32"/>
          <w:szCs w:val="32"/>
          <w:highlight w:val="none"/>
          <w:u w:val="single"/>
          <w:lang w:eastAsia="zh-CN"/>
        </w:rPr>
      </w:pPr>
      <w:r>
        <w:rPr>
          <w:rFonts w:hint="eastAsia" w:ascii="宋体" w:hAnsi="宋体" w:eastAsia="宋体" w:cs="宋体"/>
          <w:bCs w:val="0"/>
          <w:color w:val="auto"/>
          <w:spacing w:val="0"/>
          <w:sz w:val="32"/>
          <w:szCs w:val="32"/>
          <w:highlight w:val="none"/>
        </w:rPr>
        <w:t>项目名称：</w:t>
      </w:r>
      <w:r>
        <w:rPr>
          <w:rFonts w:hint="eastAsia" w:cs="宋体"/>
          <w:bCs w:val="0"/>
          <w:color w:val="auto"/>
          <w:spacing w:val="0"/>
          <w:sz w:val="32"/>
          <w:szCs w:val="32"/>
          <w:highlight w:val="none"/>
          <w:u w:val="single"/>
          <w:lang w:eastAsia="zh-CN"/>
        </w:rPr>
        <w:t>黑龙江省燎泰新材料科技有限公司过渡期热源改造项目</w:t>
      </w:r>
    </w:p>
    <w:p w14:paraId="464BEAEF">
      <w:pPr>
        <w:adjustRightInd/>
        <w:ind w:firstLine="0" w:firstLineChars="0"/>
        <w:jc w:val="left"/>
        <w:rPr>
          <w:rFonts w:hint="eastAsia" w:ascii="宋体" w:hAnsi="宋体" w:eastAsia="宋体" w:cs="宋体"/>
          <w:b/>
          <w:bCs w:val="0"/>
          <w:color w:val="auto"/>
          <w:spacing w:val="0"/>
          <w:sz w:val="32"/>
          <w:szCs w:val="32"/>
          <w:highlight w:val="none"/>
          <w:u w:val="single"/>
          <w:lang w:eastAsia="zh-CN"/>
        </w:rPr>
      </w:pPr>
      <w:r>
        <w:rPr>
          <w:rFonts w:hint="eastAsia" w:ascii="宋体" w:hAnsi="宋体" w:eastAsia="宋体" w:cs="宋体"/>
          <w:bCs w:val="0"/>
          <w:color w:val="auto"/>
          <w:spacing w:val="0"/>
          <w:sz w:val="32"/>
          <w:szCs w:val="32"/>
          <w:highlight w:val="none"/>
        </w:rPr>
        <w:t>建设单位</w:t>
      </w:r>
      <w:r>
        <w:rPr>
          <w:rFonts w:hint="eastAsia" w:ascii="宋体" w:hAnsi="宋体" w:eastAsia="宋体" w:cs="宋体"/>
          <w:bCs w:val="0"/>
          <w:color w:val="auto"/>
          <w:spacing w:val="0"/>
          <w:sz w:val="32"/>
          <w:szCs w:val="32"/>
          <w:highlight w:val="none"/>
          <w:lang w:eastAsia="zh-CN"/>
        </w:rPr>
        <w:t>（</w:t>
      </w:r>
      <w:r>
        <w:rPr>
          <w:rFonts w:hint="eastAsia" w:ascii="宋体" w:hAnsi="宋体" w:eastAsia="宋体" w:cs="宋体"/>
          <w:bCs w:val="0"/>
          <w:color w:val="auto"/>
          <w:spacing w:val="0"/>
          <w:sz w:val="32"/>
          <w:szCs w:val="32"/>
          <w:highlight w:val="none"/>
          <w:lang w:val="en-US" w:eastAsia="zh-CN"/>
        </w:rPr>
        <w:t>盖章</w:t>
      </w:r>
      <w:r>
        <w:rPr>
          <w:rFonts w:hint="eastAsia" w:ascii="宋体" w:hAnsi="宋体" w:eastAsia="宋体" w:cs="宋体"/>
          <w:bCs w:val="0"/>
          <w:color w:val="auto"/>
          <w:spacing w:val="0"/>
          <w:sz w:val="32"/>
          <w:szCs w:val="32"/>
          <w:highlight w:val="none"/>
          <w:lang w:eastAsia="zh-CN"/>
        </w:rPr>
        <w:t>）</w:t>
      </w:r>
      <w:r>
        <w:rPr>
          <w:rFonts w:hint="eastAsia" w:ascii="宋体" w:hAnsi="宋体" w:eastAsia="宋体" w:cs="宋体"/>
          <w:bCs w:val="0"/>
          <w:color w:val="auto"/>
          <w:spacing w:val="0"/>
          <w:sz w:val="32"/>
          <w:szCs w:val="32"/>
          <w:highlight w:val="none"/>
        </w:rPr>
        <w:t>：</w:t>
      </w:r>
      <w:r>
        <w:rPr>
          <w:rFonts w:hint="eastAsia" w:cs="宋体"/>
          <w:b w:val="0"/>
          <w:bCs w:val="0"/>
          <w:color w:val="auto"/>
          <w:spacing w:val="0"/>
          <w:sz w:val="32"/>
          <w:szCs w:val="32"/>
          <w:highlight w:val="none"/>
          <w:u w:val="single"/>
          <w:lang w:eastAsia="zh-CN"/>
        </w:rPr>
        <w:t>黑龙江省燎泰新材料科技有限公司</w:t>
      </w:r>
    </w:p>
    <w:p w14:paraId="12C7F6A8">
      <w:pPr>
        <w:adjustRightInd/>
        <w:ind w:firstLine="0" w:firstLineChars="0"/>
        <w:jc w:val="left"/>
        <w:rPr>
          <w:rFonts w:hint="eastAsia" w:ascii="宋体" w:hAnsi="宋体" w:eastAsia="宋体" w:cs="宋体"/>
          <w:bCs w:val="0"/>
          <w:color w:val="auto"/>
          <w:spacing w:val="0"/>
          <w:sz w:val="36"/>
          <w:szCs w:val="36"/>
          <w:highlight w:val="none"/>
          <w:u w:val="single"/>
        </w:rPr>
      </w:pPr>
      <w:r>
        <w:rPr>
          <w:rFonts w:hint="eastAsia" w:ascii="宋体" w:hAnsi="宋体" w:eastAsia="宋体" w:cs="宋体"/>
          <w:bCs w:val="0"/>
          <w:color w:val="auto"/>
          <w:spacing w:val="0"/>
          <w:sz w:val="32"/>
          <w:szCs w:val="32"/>
          <w:highlight w:val="none"/>
        </w:rPr>
        <w:t>编制日期</w:t>
      </w:r>
      <w:r>
        <w:rPr>
          <w:rFonts w:hint="eastAsia" w:ascii="宋体" w:hAnsi="宋体" w:eastAsia="宋体" w:cs="宋体"/>
          <w:b w:val="0"/>
          <w:bCs w:val="0"/>
          <w:color w:val="auto"/>
          <w:spacing w:val="0"/>
          <w:sz w:val="32"/>
          <w:szCs w:val="32"/>
          <w:highlight w:val="none"/>
        </w:rPr>
        <w:t>：</w:t>
      </w:r>
      <w:r>
        <w:rPr>
          <w:rFonts w:hint="eastAsia" w:ascii="宋体" w:hAnsi="宋体" w:eastAsia="宋体" w:cs="宋体"/>
          <w:b w:val="0"/>
          <w:bCs w:val="0"/>
          <w:color w:val="auto"/>
          <w:spacing w:val="0"/>
          <w:sz w:val="32"/>
          <w:szCs w:val="32"/>
          <w:highlight w:val="none"/>
          <w:u w:val="single"/>
        </w:rPr>
        <w:t>202</w:t>
      </w:r>
      <w:r>
        <w:rPr>
          <w:rFonts w:hint="eastAsia" w:cs="宋体"/>
          <w:b w:val="0"/>
          <w:bCs w:val="0"/>
          <w:color w:val="auto"/>
          <w:spacing w:val="0"/>
          <w:sz w:val="32"/>
          <w:szCs w:val="32"/>
          <w:highlight w:val="none"/>
          <w:u w:val="single"/>
          <w:lang w:val="en-US" w:eastAsia="zh-CN"/>
        </w:rPr>
        <w:t>5</w:t>
      </w:r>
      <w:r>
        <w:rPr>
          <w:rFonts w:hint="eastAsia" w:ascii="宋体" w:hAnsi="宋体" w:eastAsia="宋体" w:cs="宋体"/>
          <w:b w:val="0"/>
          <w:bCs w:val="0"/>
          <w:color w:val="auto"/>
          <w:spacing w:val="0"/>
          <w:sz w:val="32"/>
          <w:szCs w:val="32"/>
          <w:highlight w:val="none"/>
          <w:u w:val="single"/>
        </w:rPr>
        <w:t>年</w:t>
      </w:r>
      <w:r>
        <w:rPr>
          <w:rFonts w:hint="eastAsia" w:cs="宋体"/>
          <w:b w:val="0"/>
          <w:bCs w:val="0"/>
          <w:color w:val="auto"/>
          <w:spacing w:val="0"/>
          <w:sz w:val="32"/>
          <w:szCs w:val="32"/>
          <w:highlight w:val="none"/>
          <w:u w:val="single"/>
          <w:lang w:val="en-US" w:eastAsia="zh-CN"/>
        </w:rPr>
        <w:t>9</w:t>
      </w:r>
      <w:r>
        <w:rPr>
          <w:rFonts w:hint="eastAsia" w:ascii="宋体" w:hAnsi="宋体" w:eastAsia="宋体" w:cs="宋体"/>
          <w:b w:val="0"/>
          <w:bCs w:val="0"/>
          <w:color w:val="auto"/>
          <w:spacing w:val="0"/>
          <w:sz w:val="32"/>
          <w:szCs w:val="32"/>
          <w:highlight w:val="none"/>
          <w:u w:val="single"/>
        </w:rPr>
        <w:t>月</w:t>
      </w:r>
    </w:p>
    <w:p w14:paraId="63B92D0B">
      <w:pPr>
        <w:rPr>
          <w:rFonts w:hint="eastAsia" w:ascii="宋体" w:hAnsi="宋体" w:eastAsia="宋体" w:cs="宋体"/>
          <w:color w:val="auto"/>
          <w:spacing w:val="0"/>
          <w:highlight w:val="none"/>
        </w:rPr>
      </w:pPr>
      <w:bookmarkStart w:id="1" w:name="_Hlk57884087"/>
    </w:p>
    <w:bookmarkEnd w:id="1"/>
    <w:p w14:paraId="152D457A">
      <w:pPr>
        <w:rPr>
          <w:rFonts w:hint="eastAsia" w:ascii="宋体" w:hAnsi="宋体" w:eastAsia="宋体" w:cs="宋体"/>
          <w:bCs w:val="0"/>
          <w:color w:val="auto"/>
          <w:spacing w:val="0"/>
          <w:sz w:val="36"/>
          <w:szCs w:val="36"/>
          <w:highlight w:val="none"/>
        </w:rPr>
      </w:pPr>
    </w:p>
    <w:p w14:paraId="25326FB8">
      <w:pPr>
        <w:pStyle w:val="2"/>
        <w:rPr>
          <w:rFonts w:hint="eastAsia"/>
          <w:highlight w:val="none"/>
        </w:rPr>
      </w:pPr>
    </w:p>
    <w:p w14:paraId="0295DEC7">
      <w:pPr>
        <w:tabs>
          <w:tab w:val="center" w:pos="4422"/>
        </w:tabs>
        <w:spacing w:line="288" w:lineRule="auto"/>
        <w:ind w:firstLine="0" w:firstLineChars="0"/>
        <w:jc w:val="center"/>
        <w:rPr>
          <w:rFonts w:hint="eastAsia" w:eastAsia="宋体"/>
          <w:color w:val="auto"/>
          <w:sz w:val="36"/>
          <w:szCs w:val="36"/>
          <w:highlight w:val="none"/>
          <w:lang w:eastAsia="zh-CN"/>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1077" w:gutter="0"/>
          <w:pgBorders w:offsetFrom="page">
            <w:top w:val="none" w:sz="0" w:space="0"/>
            <w:left w:val="none" w:sz="0" w:space="0"/>
            <w:bottom w:val="none" w:sz="0" w:space="0"/>
            <w:right w:val="none" w:sz="0" w:space="0"/>
          </w:pgBorders>
          <w:cols w:space="720" w:num="1"/>
          <w:docGrid w:linePitch="312" w:charSpace="0"/>
        </w:sectPr>
      </w:pPr>
      <w:r>
        <w:rPr>
          <w:color w:val="auto"/>
          <w:sz w:val="36"/>
          <w:szCs w:val="36"/>
          <w:highlight w:val="none"/>
        </w:rPr>
        <w:t>中华人民共和国生态环境部制</w:t>
      </w:r>
      <w:r>
        <w:rPr>
          <w:rFonts w:hint="eastAsia" w:eastAsia="宋体"/>
          <w:color w:val="auto"/>
          <w:sz w:val="36"/>
          <w:szCs w:val="36"/>
          <w:highlight w:val="none"/>
          <w:lang w:eastAsia="zh-CN"/>
        </w:rPr>
        <w:drawing>
          <wp:inline distT="0" distB="0" distL="114300" distR="114300">
            <wp:extent cx="5274310" cy="7464425"/>
            <wp:effectExtent l="0" t="0" r="2540" b="3175"/>
            <wp:docPr id="41" name="图片 41" descr="燎泰编制页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燎泰编制页_01"/>
                    <pic:cNvPicPr>
                      <a:picLocks noChangeAspect="1"/>
                    </pic:cNvPicPr>
                  </pic:nvPicPr>
                  <pic:blipFill>
                    <a:blip r:embed="rId17"/>
                    <a:stretch>
                      <a:fillRect/>
                    </a:stretch>
                  </pic:blipFill>
                  <pic:spPr>
                    <a:xfrm>
                      <a:off x="0" y="0"/>
                      <a:ext cx="5274310" cy="7464425"/>
                    </a:xfrm>
                    <a:prstGeom prst="rect">
                      <a:avLst/>
                    </a:prstGeom>
                  </pic:spPr>
                </pic:pic>
              </a:graphicData>
            </a:graphic>
          </wp:inline>
        </w:drawing>
      </w:r>
    </w:p>
    <w:sdt>
      <w:sdtPr>
        <w:rPr>
          <w:rFonts w:ascii="宋体" w:hAnsi="宋体" w:eastAsia="宋体" w:cs="宋体"/>
          <w:bCs/>
          <w:color w:val="auto"/>
          <w:kern w:val="2"/>
          <w:sz w:val="21"/>
          <w:szCs w:val="24"/>
          <w:highlight w:val="none"/>
          <w:lang w:val="en-US" w:eastAsia="zh-CN" w:bidi="ar-SA"/>
        </w:rPr>
        <w:id w:val="147459214"/>
        <w15:color w:val="DBDBDB"/>
        <w:docPartObj>
          <w:docPartGallery w:val="Table of Contents"/>
          <w:docPartUnique/>
        </w:docPartObj>
      </w:sdtPr>
      <w:sdtEndPr>
        <w:rPr>
          <w:rFonts w:hint="eastAsia" w:ascii="宋体" w:hAnsi="宋体" w:eastAsia="宋体" w:cs="宋体"/>
          <w:bCs/>
          <w:color w:val="auto"/>
          <w:kern w:val="2"/>
          <w:sz w:val="24"/>
          <w:szCs w:val="24"/>
          <w:highlight w:val="none"/>
          <w:lang w:val="en-US" w:eastAsia="zh-CN" w:bidi="ar-SA"/>
        </w:rPr>
      </w:sdtEndPr>
      <w:sdtContent>
        <w:p w14:paraId="27D8DFB1">
          <w:pPr>
            <w:spacing w:before="0" w:beforeLines="0" w:after="0" w:afterLines="0" w:line="240" w:lineRule="auto"/>
            <w:ind w:left="0" w:leftChars="0" w:right="0" w:rightChars="0" w:firstLine="0" w:firstLineChars="0"/>
            <w:jc w:val="center"/>
            <w:rPr>
              <w:color w:val="auto"/>
              <w:highlight w:val="none"/>
            </w:rPr>
          </w:pPr>
          <w:r>
            <w:rPr>
              <w:rFonts w:ascii="宋体" w:hAnsi="宋体" w:eastAsia="宋体"/>
              <w:color w:val="auto"/>
              <w:sz w:val="28"/>
              <w:szCs w:val="36"/>
              <w:highlight w:val="none"/>
            </w:rPr>
            <w:t>目录</w:t>
          </w:r>
        </w:p>
        <w:p w14:paraId="024A5035">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TOC \o "1-1" \h \u </w:instrText>
          </w:r>
          <w:r>
            <w:rPr>
              <w:rFonts w:hint="eastAsia"/>
              <w:color w:val="auto"/>
              <w:highlight w:val="none"/>
              <w:lang w:val="en-US" w:eastAsia="zh-CN"/>
            </w:rPr>
            <w:fldChar w:fldCharType="separate"/>
          </w:r>
          <w:r>
            <w:rPr>
              <w:rFonts w:hint="eastAsia"/>
              <w:color w:val="auto"/>
              <w:highlight w:val="none"/>
              <w:lang w:val="en-US" w:eastAsia="zh-CN"/>
            </w:rPr>
            <w:fldChar w:fldCharType="begin"/>
          </w:r>
          <w:r>
            <w:rPr>
              <w:rFonts w:hint="eastAsia"/>
              <w:color w:val="auto"/>
              <w:highlight w:val="none"/>
              <w:lang w:val="en-US" w:eastAsia="zh-CN"/>
            </w:rPr>
            <w:instrText xml:space="preserve"> HYPERLINK \l _Toc27875 </w:instrText>
          </w:r>
          <w:r>
            <w:rPr>
              <w:rFonts w:hint="eastAsia"/>
              <w:color w:val="auto"/>
              <w:highlight w:val="none"/>
              <w:lang w:val="en-US" w:eastAsia="zh-CN"/>
            </w:rPr>
            <w:fldChar w:fldCharType="separate"/>
          </w:r>
          <w:r>
            <w:rPr>
              <w:rFonts w:hint="eastAsia" w:ascii="宋体" w:hAnsi="宋体" w:eastAsia="宋体" w:cs="宋体"/>
              <w:color w:val="auto"/>
              <w:spacing w:val="0"/>
              <w:highlight w:val="none"/>
            </w:rPr>
            <w:t>一、建设项目基本情况</w:t>
          </w:r>
          <w:r>
            <w:rPr>
              <w:color w:val="auto"/>
              <w:highlight w:val="none"/>
            </w:rPr>
            <w:tab/>
          </w:r>
          <w:r>
            <w:rPr>
              <w:color w:val="auto"/>
              <w:highlight w:val="none"/>
            </w:rPr>
            <w:fldChar w:fldCharType="begin"/>
          </w:r>
          <w:r>
            <w:rPr>
              <w:color w:val="auto"/>
              <w:highlight w:val="none"/>
            </w:rPr>
            <w:instrText xml:space="preserve"> PAGEREF _Toc27875 \h </w:instrText>
          </w:r>
          <w:r>
            <w:rPr>
              <w:color w:val="auto"/>
              <w:highlight w:val="none"/>
            </w:rPr>
            <w:fldChar w:fldCharType="separate"/>
          </w:r>
          <w:r>
            <w:rPr>
              <w:color w:val="auto"/>
              <w:highlight w:val="none"/>
            </w:rPr>
            <w:t>1</w:t>
          </w:r>
          <w:r>
            <w:rPr>
              <w:color w:val="auto"/>
              <w:highlight w:val="none"/>
            </w:rPr>
            <w:fldChar w:fldCharType="end"/>
          </w:r>
          <w:r>
            <w:rPr>
              <w:rFonts w:hint="eastAsia"/>
              <w:color w:val="auto"/>
              <w:highlight w:val="none"/>
              <w:lang w:val="en-US" w:eastAsia="zh-CN"/>
            </w:rPr>
            <w:fldChar w:fldCharType="end"/>
          </w:r>
        </w:p>
        <w:p w14:paraId="53FCCEF7">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_Toc21995 </w:instrText>
          </w:r>
          <w:r>
            <w:rPr>
              <w:rFonts w:hint="eastAsia"/>
              <w:color w:val="auto"/>
              <w:highlight w:val="none"/>
              <w:lang w:val="en-US" w:eastAsia="zh-CN"/>
            </w:rPr>
            <w:fldChar w:fldCharType="separate"/>
          </w:r>
          <w:r>
            <w:rPr>
              <w:rFonts w:hint="eastAsia" w:ascii="宋体" w:hAnsi="宋体" w:eastAsia="宋体" w:cs="宋体"/>
              <w:bCs w:val="0"/>
              <w:color w:val="auto"/>
              <w:spacing w:val="0"/>
              <w:highlight w:val="none"/>
            </w:rPr>
            <w:t>二、建设项目工程分析</w:t>
          </w:r>
          <w:r>
            <w:rPr>
              <w:color w:val="auto"/>
              <w:highlight w:val="none"/>
            </w:rPr>
            <w:tab/>
          </w:r>
          <w:r>
            <w:rPr>
              <w:color w:val="auto"/>
              <w:highlight w:val="none"/>
            </w:rPr>
            <w:fldChar w:fldCharType="begin"/>
          </w:r>
          <w:r>
            <w:rPr>
              <w:color w:val="auto"/>
              <w:highlight w:val="none"/>
            </w:rPr>
            <w:instrText xml:space="preserve"> PAGEREF _Toc21995 \h </w:instrText>
          </w:r>
          <w:r>
            <w:rPr>
              <w:color w:val="auto"/>
              <w:highlight w:val="none"/>
            </w:rPr>
            <w:fldChar w:fldCharType="separate"/>
          </w:r>
          <w:r>
            <w:rPr>
              <w:color w:val="auto"/>
              <w:highlight w:val="none"/>
            </w:rPr>
            <w:t>21</w:t>
          </w:r>
          <w:r>
            <w:rPr>
              <w:color w:val="auto"/>
              <w:highlight w:val="none"/>
            </w:rPr>
            <w:fldChar w:fldCharType="end"/>
          </w:r>
          <w:r>
            <w:rPr>
              <w:rFonts w:hint="eastAsia"/>
              <w:color w:val="auto"/>
              <w:highlight w:val="none"/>
              <w:lang w:val="en-US" w:eastAsia="zh-CN"/>
            </w:rPr>
            <w:fldChar w:fldCharType="end"/>
          </w:r>
        </w:p>
        <w:p w14:paraId="60E3FDA0">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_Toc15264 </w:instrText>
          </w:r>
          <w:r>
            <w:rPr>
              <w:rFonts w:hint="eastAsia"/>
              <w:color w:val="auto"/>
              <w:highlight w:val="none"/>
              <w:lang w:val="en-US" w:eastAsia="zh-CN"/>
            </w:rPr>
            <w:fldChar w:fldCharType="separate"/>
          </w:r>
          <w:r>
            <w:rPr>
              <w:rFonts w:hint="eastAsia" w:ascii="宋体" w:hAnsi="宋体" w:eastAsia="宋体" w:cs="宋体"/>
              <w:bCs w:val="0"/>
              <w:color w:val="auto"/>
              <w:spacing w:val="0"/>
              <w:highlight w:val="none"/>
            </w:rPr>
            <w:t>三、区域环境质量现状、环境保护目标及评价标准</w:t>
          </w:r>
          <w:r>
            <w:rPr>
              <w:color w:val="auto"/>
              <w:highlight w:val="none"/>
            </w:rPr>
            <w:tab/>
          </w:r>
          <w:r>
            <w:rPr>
              <w:color w:val="auto"/>
              <w:highlight w:val="none"/>
            </w:rPr>
            <w:fldChar w:fldCharType="begin"/>
          </w:r>
          <w:r>
            <w:rPr>
              <w:color w:val="auto"/>
              <w:highlight w:val="none"/>
            </w:rPr>
            <w:instrText xml:space="preserve"> PAGEREF _Toc15264 \h </w:instrText>
          </w:r>
          <w:r>
            <w:rPr>
              <w:color w:val="auto"/>
              <w:highlight w:val="none"/>
            </w:rPr>
            <w:fldChar w:fldCharType="separate"/>
          </w:r>
          <w:r>
            <w:rPr>
              <w:color w:val="auto"/>
              <w:highlight w:val="none"/>
            </w:rPr>
            <w:t>38</w:t>
          </w:r>
          <w:r>
            <w:rPr>
              <w:color w:val="auto"/>
              <w:highlight w:val="none"/>
            </w:rPr>
            <w:fldChar w:fldCharType="end"/>
          </w:r>
          <w:r>
            <w:rPr>
              <w:rFonts w:hint="eastAsia"/>
              <w:color w:val="auto"/>
              <w:highlight w:val="none"/>
              <w:lang w:val="en-US" w:eastAsia="zh-CN"/>
            </w:rPr>
            <w:fldChar w:fldCharType="end"/>
          </w:r>
        </w:p>
        <w:p w14:paraId="344AF133">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_Toc518 </w:instrText>
          </w:r>
          <w:r>
            <w:rPr>
              <w:rFonts w:hint="eastAsia"/>
              <w:color w:val="auto"/>
              <w:highlight w:val="none"/>
              <w:lang w:val="en-US" w:eastAsia="zh-CN"/>
            </w:rPr>
            <w:fldChar w:fldCharType="separate"/>
          </w:r>
          <w:r>
            <w:rPr>
              <w:rFonts w:hint="eastAsia" w:ascii="宋体" w:hAnsi="宋体" w:eastAsia="宋体" w:cs="宋体"/>
              <w:bCs w:val="0"/>
              <w:color w:val="auto"/>
              <w:spacing w:val="0"/>
              <w:highlight w:val="none"/>
            </w:rPr>
            <w:t>四、主要环境影响和保护措施</w:t>
          </w:r>
          <w:r>
            <w:rPr>
              <w:color w:val="auto"/>
              <w:highlight w:val="none"/>
            </w:rPr>
            <w:tab/>
          </w:r>
          <w:r>
            <w:rPr>
              <w:color w:val="auto"/>
              <w:highlight w:val="none"/>
            </w:rPr>
            <w:fldChar w:fldCharType="begin"/>
          </w:r>
          <w:r>
            <w:rPr>
              <w:color w:val="auto"/>
              <w:highlight w:val="none"/>
            </w:rPr>
            <w:instrText xml:space="preserve"> PAGEREF _Toc518 \h </w:instrText>
          </w:r>
          <w:r>
            <w:rPr>
              <w:color w:val="auto"/>
              <w:highlight w:val="none"/>
            </w:rPr>
            <w:fldChar w:fldCharType="separate"/>
          </w:r>
          <w:r>
            <w:rPr>
              <w:color w:val="auto"/>
              <w:highlight w:val="none"/>
            </w:rPr>
            <w:t>44</w:t>
          </w:r>
          <w:r>
            <w:rPr>
              <w:color w:val="auto"/>
              <w:highlight w:val="none"/>
            </w:rPr>
            <w:fldChar w:fldCharType="end"/>
          </w:r>
          <w:r>
            <w:rPr>
              <w:rFonts w:hint="eastAsia"/>
              <w:color w:val="auto"/>
              <w:highlight w:val="none"/>
              <w:lang w:val="en-US" w:eastAsia="zh-CN"/>
            </w:rPr>
            <w:fldChar w:fldCharType="end"/>
          </w:r>
        </w:p>
        <w:p w14:paraId="13999717">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_Toc31345 </w:instrText>
          </w:r>
          <w:r>
            <w:rPr>
              <w:rFonts w:hint="eastAsia"/>
              <w:color w:val="auto"/>
              <w:highlight w:val="none"/>
              <w:lang w:val="en-US" w:eastAsia="zh-CN"/>
            </w:rPr>
            <w:fldChar w:fldCharType="separate"/>
          </w:r>
          <w:r>
            <w:rPr>
              <w:rFonts w:hint="eastAsia" w:ascii="宋体" w:hAnsi="宋体" w:eastAsia="宋体" w:cs="宋体"/>
              <w:bCs w:val="0"/>
              <w:color w:val="auto"/>
              <w:spacing w:val="0"/>
              <w:highlight w:val="none"/>
            </w:rPr>
            <w:t>五、环境保护措施监督检查清单</w:t>
          </w:r>
          <w:r>
            <w:rPr>
              <w:color w:val="auto"/>
              <w:highlight w:val="none"/>
            </w:rPr>
            <w:tab/>
          </w:r>
          <w:r>
            <w:rPr>
              <w:color w:val="auto"/>
              <w:highlight w:val="none"/>
            </w:rPr>
            <w:fldChar w:fldCharType="begin"/>
          </w:r>
          <w:r>
            <w:rPr>
              <w:color w:val="auto"/>
              <w:highlight w:val="none"/>
            </w:rPr>
            <w:instrText xml:space="preserve"> PAGEREF _Toc31345 \h </w:instrText>
          </w:r>
          <w:r>
            <w:rPr>
              <w:color w:val="auto"/>
              <w:highlight w:val="none"/>
            </w:rPr>
            <w:fldChar w:fldCharType="separate"/>
          </w:r>
          <w:r>
            <w:rPr>
              <w:color w:val="auto"/>
              <w:highlight w:val="none"/>
            </w:rPr>
            <w:t>70</w:t>
          </w:r>
          <w:r>
            <w:rPr>
              <w:color w:val="auto"/>
              <w:highlight w:val="none"/>
            </w:rPr>
            <w:fldChar w:fldCharType="end"/>
          </w:r>
          <w:r>
            <w:rPr>
              <w:rFonts w:hint="eastAsia"/>
              <w:color w:val="auto"/>
              <w:highlight w:val="none"/>
              <w:lang w:val="en-US" w:eastAsia="zh-CN"/>
            </w:rPr>
            <w:fldChar w:fldCharType="end"/>
          </w:r>
        </w:p>
        <w:p w14:paraId="458152BF">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_Toc22477 </w:instrText>
          </w:r>
          <w:r>
            <w:rPr>
              <w:rFonts w:hint="eastAsia"/>
              <w:color w:val="auto"/>
              <w:highlight w:val="none"/>
              <w:lang w:val="en-US" w:eastAsia="zh-CN"/>
            </w:rPr>
            <w:fldChar w:fldCharType="separate"/>
          </w:r>
          <w:r>
            <w:rPr>
              <w:rFonts w:hint="eastAsia" w:ascii="宋体" w:hAnsi="宋体" w:eastAsia="宋体" w:cs="宋体"/>
              <w:bCs w:val="0"/>
              <w:color w:val="auto"/>
              <w:spacing w:val="0"/>
              <w:highlight w:val="none"/>
            </w:rPr>
            <w:t>六、结论</w:t>
          </w:r>
          <w:r>
            <w:rPr>
              <w:color w:val="auto"/>
              <w:highlight w:val="none"/>
            </w:rPr>
            <w:tab/>
          </w:r>
          <w:r>
            <w:rPr>
              <w:color w:val="auto"/>
              <w:highlight w:val="none"/>
            </w:rPr>
            <w:fldChar w:fldCharType="begin"/>
          </w:r>
          <w:r>
            <w:rPr>
              <w:color w:val="auto"/>
              <w:highlight w:val="none"/>
            </w:rPr>
            <w:instrText xml:space="preserve"> PAGEREF _Toc22477 \h </w:instrText>
          </w:r>
          <w:r>
            <w:rPr>
              <w:color w:val="auto"/>
              <w:highlight w:val="none"/>
            </w:rPr>
            <w:fldChar w:fldCharType="separate"/>
          </w:r>
          <w:r>
            <w:rPr>
              <w:color w:val="auto"/>
              <w:highlight w:val="none"/>
            </w:rPr>
            <w:t>73</w:t>
          </w:r>
          <w:r>
            <w:rPr>
              <w:color w:val="auto"/>
              <w:highlight w:val="none"/>
            </w:rPr>
            <w:fldChar w:fldCharType="end"/>
          </w:r>
          <w:r>
            <w:rPr>
              <w:rFonts w:hint="eastAsia"/>
              <w:color w:val="auto"/>
              <w:highlight w:val="none"/>
              <w:lang w:val="en-US" w:eastAsia="zh-CN"/>
            </w:rPr>
            <w:fldChar w:fldCharType="end"/>
          </w:r>
        </w:p>
        <w:p w14:paraId="507F2200">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_Toc12176 </w:instrText>
          </w:r>
          <w:r>
            <w:rPr>
              <w:rFonts w:hint="eastAsia"/>
              <w:color w:val="auto"/>
              <w:highlight w:val="none"/>
              <w:lang w:val="en-US" w:eastAsia="zh-CN"/>
            </w:rPr>
            <w:fldChar w:fldCharType="separate"/>
          </w:r>
          <w:r>
            <w:rPr>
              <w:rFonts w:hint="eastAsia" w:ascii="宋体" w:hAnsi="宋体" w:eastAsia="宋体" w:cs="宋体"/>
              <w:bCs/>
              <w:color w:val="auto"/>
              <w:spacing w:val="0"/>
              <w:highlight w:val="none"/>
            </w:rPr>
            <w:t>附表</w:t>
          </w:r>
          <w:r>
            <w:rPr>
              <w:color w:val="auto"/>
              <w:highlight w:val="none"/>
            </w:rPr>
            <w:tab/>
          </w:r>
          <w:r>
            <w:rPr>
              <w:color w:val="auto"/>
              <w:highlight w:val="none"/>
            </w:rPr>
            <w:fldChar w:fldCharType="begin"/>
          </w:r>
          <w:r>
            <w:rPr>
              <w:color w:val="auto"/>
              <w:highlight w:val="none"/>
            </w:rPr>
            <w:instrText xml:space="preserve"> PAGEREF _Toc12176 \h </w:instrText>
          </w:r>
          <w:r>
            <w:rPr>
              <w:color w:val="auto"/>
              <w:highlight w:val="none"/>
            </w:rPr>
            <w:fldChar w:fldCharType="separate"/>
          </w:r>
          <w:r>
            <w:rPr>
              <w:color w:val="auto"/>
              <w:highlight w:val="none"/>
            </w:rPr>
            <w:t>74</w:t>
          </w:r>
          <w:r>
            <w:rPr>
              <w:color w:val="auto"/>
              <w:highlight w:val="none"/>
            </w:rPr>
            <w:fldChar w:fldCharType="end"/>
          </w:r>
          <w:r>
            <w:rPr>
              <w:rFonts w:hint="eastAsia"/>
              <w:color w:val="auto"/>
              <w:highlight w:val="none"/>
              <w:lang w:val="en-US" w:eastAsia="zh-CN"/>
            </w:rPr>
            <w:fldChar w:fldCharType="end"/>
          </w:r>
        </w:p>
        <w:p w14:paraId="03CCE388">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_Toc19888 </w:instrText>
          </w:r>
          <w:r>
            <w:rPr>
              <w:rFonts w:hint="eastAsia"/>
              <w:color w:val="auto"/>
              <w:highlight w:val="none"/>
              <w:lang w:val="en-US" w:eastAsia="zh-CN"/>
            </w:rPr>
            <w:fldChar w:fldCharType="separate"/>
          </w:r>
          <w:r>
            <w:rPr>
              <w:rFonts w:hint="eastAsia" w:ascii="宋体" w:hAnsi="宋体" w:eastAsia="宋体" w:cs="宋体"/>
              <w:bCs w:val="0"/>
              <w:color w:val="auto"/>
              <w:spacing w:val="0"/>
              <w:highlight w:val="none"/>
              <w:lang w:val="en-US" w:eastAsia="zh-CN"/>
            </w:rPr>
            <w:t>附图1 项目所在位置图</w:t>
          </w:r>
          <w:r>
            <w:rPr>
              <w:color w:val="auto"/>
              <w:highlight w:val="none"/>
            </w:rPr>
            <w:tab/>
          </w:r>
          <w:r>
            <w:rPr>
              <w:color w:val="auto"/>
              <w:highlight w:val="none"/>
            </w:rPr>
            <w:fldChar w:fldCharType="begin"/>
          </w:r>
          <w:r>
            <w:rPr>
              <w:color w:val="auto"/>
              <w:highlight w:val="none"/>
            </w:rPr>
            <w:instrText xml:space="preserve"> PAGEREF _Toc19888 \h </w:instrText>
          </w:r>
          <w:r>
            <w:rPr>
              <w:color w:val="auto"/>
              <w:highlight w:val="none"/>
            </w:rPr>
            <w:fldChar w:fldCharType="separate"/>
          </w:r>
          <w:r>
            <w:rPr>
              <w:color w:val="auto"/>
              <w:highlight w:val="none"/>
            </w:rPr>
            <w:t>77</w:t>
          </w:r>
          <w:r>
            <w:rPr>
              <w:color w:val="auto"/>
              <w:highlight w:val="none"/>
            </w:rPr>
            <w:fldChar w:fldCharType="end"/>
          </w:r>
          <w:r>
            <w:rPr>
              <w:rFonts w:hint="eastAsia"/>
              <w:color w:val="auto"/>
              <w:highlight w:val="none"/>
              <w:lang w:val="en-US" w:eastAsia="zh-CN"/>
            </w:rPr>
            <w:fldChar w:fldCharType="end"/>
          </w:r>
        </w:p>
        <w:p w14:paraId="2A96D034">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_Toc25676 </w:instrText>
          </w:r>
          <w:r>
            <w:rPr>
              <w:rFonts w:hint="eastAsia"/>
              <w:color w:val="auto"/>
              <w:highlight w:val="none"/>
              <w:lang w:val="en-US" w:eastAsia="zh-CN"/>
            </w:rPr>
            <w:fldChar w:fldCharType="separate"/>
          </w:r>
          <w:r>
            <w:rPr>
              <w:rFonts w:hint="eastAsia" w:ascii="宋体" w:hAnsi="宋体" w:eastAsia="宋体" w:cs="宋体"/>
              <w:bCs/>
              <w:color w:val="auto"/>
              <w:spacing w:val="0"/>
              <w:szCs w:val="24"/>
              <w:highlight w:val="none"/>
            </w:rPr>
            <w:t>附图</w:t>
          </w:r>
          <w:r>
            <w:rPr>
              <w:rFonts w:hint="eastAsia" w:ascii="宋体" w:hAnsi="宋体" w:eastAsia="宋体" w:cs="宋体"/>
              <w:bCs/>
              <w:color w:val="auto"/>
              <w:spacing w:val="0"/>
              <w:szCs w:val="24"/>
              <w:highlight w:val="none"/>
              <w:lang w:val="en-US" w:eastAsia="zh-CN"/>
            </w:rPr>
            <w:t>2</w:t>
          </w:r>
          <w:r>
            <w:rPr>
              <w:rFonts w:hint="eastAsia" w:ascii="宋体" w:hAnsi="宋体" w:eastAsia="宋体" w:cs="宋体"/>
              <w:bCs/>
              <w:color w:val="auto"/>
              <w:spacing w:val="0"/>
              <w:szCs w:val="24"/>
              <w:highlight w:val="none"/>
            </w:rPr>
            <w:t xml:space="preserve"> </w:t>
          </w:r>
          <w:r>
            <w:rPr>
              <w:rFonts w:hint="eastAsia" w:ascii="宋体" w:hAnsi="宋体" w:eastAsia="宋体" w:cs="宋体"/>
              <w:bCs/>
              <w:color w:val="auto"/>
              <w:spacing w:val="0"/>
              <w:szCs w:val="24"/>
              <w:highlight w:val="none"/>
              <w:lang w:val="en-US" w:eastAsia="zh-CN"/>
            </w:rPr>
            <w:t>锅炉总</w:t>
          </w:r>
          <w:r>
            <w:rPr>
              <w:rFonts w:hint="eastAsia" w:ascii="宋体" w:hAnsi="宋体" w:eastAsia="宋体" w:cs="宋体"/>
              <w:bCs/>
              <w:color w:val="auto"/>
              <w:spacing w:val="0"/>
              <w:szCs w:val="24"/>
              <w:highlight w:val="none"/>
            </w:rPr>
            <w:t>平面布置图</w:t>
          </w:r>
          <w:r>
            <w:rPr>
              <w:color w:val="auto"/>
              <w:highlight w:val="none"/>
            </w:rPr>
            <w:tab/>
          </w:r>
          <w:r>
            <w:rPr>
              <w:color w:val="auto"/>
              <w:highlight w:val="none"/>
            </w:rPr>
            <w:fldChar w:fldCharType="begin"/>
          </w:r>
          <w:r>
            <w:rPr>
              <w:color w:val="auto"/>
              <w:highlight w:val="none"/>
            </w:rPr>
            <w:instrText xml:space="preserve"> PAGEREF _Toc25676 \h </w:instrText>
          </w:r>
          <w:r>
            <w:rPr>
              <w:color w:val="auto"/>
              <w:highlight w:val="none"/>
            </w:rPr>
            <w:fldChar w:fldCharType="separate"/>
          </w:r>
          <w:r>
            <w:rPr>
              <w:color w:val="auto"/>
              <w:highlight w:val="none"/>
            </w:rPr>
            <w:t>78</w:t>
          </w:r>
          <w:r>
            <w:rPr>
              <w:color w:val="auto"/>
              <w:highlight w:val="none"/>
            </w:rPr>
            <w:fldChar w:fldCharType="end"/>
          </w:r>
          <w:r>
            <w:rPr>
              <w:rFonts w:hint="eastAsia"/>
              <w:color w:val="auto"/>
              <w:highlight w:val="none"/>
              <w:lang w:val="en-US" w:eastAsia="zh-CN"/>
            </w:rPr>
            <w:fldChar w:fldCharType="end"/>
          </w:r>
        </w:p>
        <w:p w14:paraId="336C91B1">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_Toc27122 </w:instrText>
          </w:r>
          <w:r>
            <w:rPr>
              <w:rFonts w:hint="eastAsia"/>
              <w:color w:val="auto"/>
              <w:highlight w:val="none"/>
              <w:lang w:val="en-US" w:eastAsia="zh-CN"/>
            </w:rPr>
            <w:fldChar w:fldCharType="separate"/>
          </w:r>
          <w:r>
            <w:rPr>
              <w:rFonts w:hint="eastAsia"/>
              <w:bCs w:val="0"/>
              <w:color w:val="auto"/>
              <w:highlight w:val="none"/>
              <w:lang w:val="en-US" w:eastAsia="zh-CN"/>
            </w:rPr>
            <w:t>附件3 锅炉房平面布置图</w:t>
          </w:r>
          <w:r>
            <w:rPr>
              <w:color w:val="auto"/>
              <w:highlight w:val="none"/>
            </w:rPr>
            <w:tab/>
          </w:r>
          <w:r>
            <w:rPr>
              <w:color w:val="auto"/>
              <w:highlight w:val="none"/>
            </w:rPr>
            <w:fldChar w:fldCharType="begin"/>
          </w:r>
          <w:r>
            <w:rPr>
              <w:color w:val="auto"/>
              <w:highlight w:val="none"/>
            </w:rPr>
            <w:instrText xml:space="preserve"> PAGEREF _Toc27122 \h </w:instrText>
          </w:r>
          <w:r>
            <w:rPr>
              <w:color w:val="auto"/>
              <w:highlight w:val="none"/>
            </w:rPr>
            <w:fldChar w:fldCharType="separate"/>
          </w:r>
          <w:r>
            <w:rPr>
              <w:color w:val="auto"/>
              <w:highlight w:val="none"/>
            </w:rPr>
            <w:t>79</w:t>
          </w:r>
          <w:r>
            <w:rPr>
              <w:color w:val="auto"/>
              <w:highlight w:val="none"/>
            </w:rPr>
            <w:fldChar w:fldCharType="end"/>
          </w:r>
          <w:r>
            <w:rPr>
              <w:rFonts w:hint="eastAsia"/>
              <w:color w:val="auto"/>
              <w:highlight w:val="none"/>
              <w:lang w:val="en-US" w:eastAsia="zh-CN"/>
            </w:rPr>
            <w:fldChar w:fldCharType="end"/>
          </w:r>
        </w:p>
        <w:p w14:paraId="2C15D211">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_Toc26432 </w:instrText>
          </w:r>
          <w:r>
            <w:rPr>
              <w:rFonts w:hint="eastAsia"/>
              <w:color w:val="auto"/>
              <w:highlight w:val="none"/>
              <w:lang w:val="en-US" w:eastAsia="zh-CN"/>
            </w:rPr>
            <w:fldChar w:fldCharType="separate"/>
          </w:r>
          <w:r>
            <w:rPr>
              <w:rFonts w:hint="eastAsia" w:ascii="宋体" w:hAnsi="宋体" w:eastAsia="宋体" w:cs="宋体"/>
              <w:bCs w:val="0"/>
              <w:color w:val="auto"/>
              <w:spacing w:val="0"/>
              <w:highlight w:val="none"/>
              <w:lang w:val="en-US" w:eastAsia="zh-CN"/>
            </w:rPr>
            <w:t>附图</w:t>
          </w:r>
          <w:r>
            <w:rPr>
              <w:rFonts w:hint="eastAsia" w:cs="宋体"/>
              <w:bCs w:val="0"/>
              <w:color w:val="auto"/>
              <w:spacing w:val="0"/>
              <w:highlight w:val="none"/>
              <w:lang w:val="en-US" w:eastAsia="zh-CN"/>
            </w:rPr>
            <w:t>4</w:t>
          </w:r>
          <w:r>
            <w:rPr>
              <w:rFonts w:hint="eastAsia" w:ascii="宋体" w:hAnsi="宋体" w:eastAsia="宋体" w:cs="宋体"/>
              <w:bCs w:val="0"/>
              <w:color w:val="auto"/>
              <w:spacing w:val="0"/>
              <w:highlight w:val="none"/>
              <w:lang w:val="en-US" w:eastAsia="zh-CN"/>
            </w:rPr>
            <w:t xml:space="preserve"> 本项目</w:t>
          </w:r>
          <w:r>
            <w:rPr>
              <w:rFonts w:hint="eastAsia" w:cs="宋体"/>
              <w:bCs w:val="0"/>
              <w:color w:val="auto"/>
              <w:spacing w:val="0"/>
              <w:highlight w:val="none"/>
              <w:lang w:val="en-US" w:eastAsia="zh-CN"/>
            </w:rPr>
            <w:t>评价范围图</w:t>
          </w:r>
          <w:r>
            <w:rPr>
              <w:color w:val="auto"/>
              <w:highlight w:val="none"/>
            </w:rPr>
            <w:tab/>
          </w:r>
          <w:r>
            <w:rPr>
              <w:color w:val="auto"/>
              <w:highlight w:val="none"/>
            </w:rPr>
            <w:fldChar w:fldCharType="begin"/>
          </w:r>
          <w:r>
            <w:rPr>
              <w:color w:val="auto"/>
              <w:highlight w:val="none"/>
            </w:rPr>
            <w:instrText xml:space="preserve"> PAGEREF _Toc26432 \h </w:instrText>
          </w:r>
          <w:r>
            <w:rPr>
              <w:color w:val="auto"/>
              <w:highlight w:val="none"/>
            </w:rPr>
            <w:fldChar w:fldCharType="separate"/>
          </w:r>
          <w:r>
            <w:rPr>
              <w:color w:val="auto"/>
              <w:highlight w:val="none"/>
            </w:rPr>
            <w:t>80</w:t>
          </w:r>
          <w:r>
            <w:rPr>
              <w:color w:val="auto"/>
              <w:highlight w:val="none"/>
            </w:rPr>
            <w:fldChar w:fldCharType="end"/>
          </w:r>
          <w:r>
            <w:rPr>
              <w:rFonts w:hint="eastAsia"/>
              <w:color w:val="auto"/>
              <w:highlight w:val="none"/>
              <w:lang w:val="en-US" w:eastAsia="zh-CN"/>
            </w:rPr>
            <w:fldChar w:fldCharType="end"/>
          </w:r>
        </w:p>
        <w:p w14:paraId="3B20E17B">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_Toc17544 </w:instrText>
          </w:r>
          <w:r>
            <w:rPr>
              <w:rFonts w:hint="eastAsia"/>
              <w:color w:val="auto"/>
              <w:highlight w:val="none"/>
              <w:lang w:val="en-US" w:eastAsia="zh-CN"/>
            </w:rPr>
            <w:fldChar w:fldCharType="separate"/>
          </w:r>
          <w:r>
            <w:rPr>
              <w:rFonts w:hint="eastAsia"/>
              <w:bCs w:val="0"/>
              <w:color w:val="auto"/>
              <w:szCs w:val="18"/>
              <w:highlight w:val="none"/>
              <w:lang w:val="en-US" w:eastAsia="zh-CN"/>
            </w:rPr>
            <w:t>附图5 环境管控单元分布图</w:t>
          </w:r>
          <w:r>
            <w:rPr>
              <w:color w:val="auto"/>
              <w:highlight w:val="none"/>
            </w:rPr>
            <w:tab/>
          </w:r>
          <w:r>
            <w:rPr>
              <w:color w:val="auto"/>
              <w:highlight w:val="none"/>
            </w:rPr>
            <w:fldChar w:fldCharType="begin"/>
          </w:r>
          <w:r>
            <w:rPr>
              <w:color w:val="auto"/>
              <w:highlight w:val="none"/>
            </w:rPr>
            <w:instrText xml:space="preserve"> PAGEREF _Toc17544 \h </w:instrText>
          </w:r>
          <w:r>
            <w:rPr>
              <w:color w:val="auto"/>
              <w:highlight w:val="none"/>
            </w:rPr>
            <w:fldChar w:fldCharType="separate"/>
          </w:r>
          <w:r>
            <w:rPr>
              <w:color w:val="auto"/>
              <w:highlight w:val="none"/>
            </w:rPr>
            <w:t>81</w:t>
          </w:r>
          <w:r>
            <w:rPr>
              <w:color w:val="auto"/>
              <w:highlight w:val="none"/>
            </w:rPr>
            <w:fldChar w:fldCharType="end"/>
          </w:r>
          <w:r>
            <w:rPr>
              <w:rFonts w:hint="eastAsia"/>
              <w:color w:val="auto"/>
              <w:highlight w:val="none"/>
              <w:lang w:val="en-US" w:eastAsia="zh-CN"/>
            </w:rPr>
            <w:fldChar w:fldCharType="end"/>
          </w:r>
        </w:p>
        <w:p w14:paraId="1E7D26ED">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_Toc27978 </w:instrText>
          </w:r>
          <w:r>
            <w:rPr>
              <w:rFonts w:hint="eastAsia"/>
              <w:color w:val="auto"/>
              <w:highlight w:val="none"/>
              <w:lang w:val="en-US" w:eastAsia="zh-CN"/>
            </w:rPr>
            <w:fldChar w:fldCharType="separate"/>
          </w:r>
          <w:r>
            <w:rPr>
              <w:rFonts w:hint="eastAsia" w:ascii="宋体" w:hAnsi="宋体" w:eastAsia="宋体" w:cs="宋体"/>
              <w:bCs w:val="0"/>
              <w:color w:val="auto"/>
              <w:spacing w:val="0"/>
              <w:highlight w:val="none"/>
              <w:lang w:val="en-US" w:eastAsia="zh-CN"/>
            </w:rPr>
            <w:t>附图</w:t>
          </w:r>
          <w:r>
            <w:rPr>
              <w:rFonts w:hint="eastAsia" w:cs="宋体"/>
              <w:bCs w:val="0"/>
              <w:color w:val="auto"/>
              <w:spacing w:val="0"/>
              <w:highlight w:val="none"/>
              <w:lang w:val="en-US" w:eastAsia="zh-CN"/>
            </w:rPr>
            <w:t>6</w:t>
          </w:r>
          <w:r>
            <w:rPr>
              <w:rFonts w:hint="eastAsia" w:ascii="宋体" w:hAnsi="宋体" w:eastAsia="宋体" w:cs="宋体"/>
              <w:bCs w:val="0"/>
              <w:color w:val="auto"/>
              <w:spacing w:val="0"/>
              <w:highlight w:val="none"/>
              <w:lang w:val="en-US" w:eastAsia="zh-CN"/>
            </w:rPr>
            <w:t xml:space="preserve"> 公示截图</w:t>
          </w:r>
          <w:r>
            <w:rPr>
              <w:color w:val="auto"/>
              <w:highlight w:val="none"/>
            </w:rPr>
            <w:tab/>
          </w:r>
          <w:r>
            <w:rPr>
              <w:color w:val="auto"/>
              <w:highlight w:val="none"/>
            </w:rPr>
            <w:fldChar w:fldCharType="begin"/>
          </w:r>
          <w:r>
            <w:rPr>
              <w:color w:val="auto"/>
              <w:highlight w:val="none"/>
            </w:rPr>
            <w:instrText xml:space="preserve"> PAGEREF _Toc27978 \h </w:instrText>
          </w:r>
          <w:r>
            <w:rPr>
              <w:color w:val="auto"/>
              <w:highlight w:val="none"/>
            </w:rPr>
            <w:fldChar w:fldCharType="separate"/>
          </w:r>
          <w:r>
            <w:rPr>
              <w:color w:val="auto"/>
              <w:highlight w:val="none"/>
            </w:rPr>
            <w:t>82</w:t>
          </w:r>
          <w:r>
            <w:rPr>
              <w:color w:val="auto"/>
              <w:highlight w:val="none"/>
            </w:rPr>
            <w:fldChar w:fldCharType="end"/>
          </w:r>
          <w:r>
            <w:rPr>
              <w:rFonts w:hint="eastAsia"/>
              <w:color w:val="auto"/>
              <w:highlight w:val="none"/>
              <w:lang w:val="en-US" w:eastAsia="zh-CN"/>
            </w:rPr>
            <w:fldChar w:fldCharType="end"/>
          </w:r>
        </w:p>
        <w:p w14:paraId="4D1BD699">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_Toc12457 </w:instrText>
          </w:r>
          <w:r>
            <w:rPr>
              <w:rFonts w:hint="eastAsia"/>
              <w:color w:val="auto"/>
              <w:highlight w:val="none"/>
              <w:lang w:val="en-US" w:eastAsia="zh-CN"/>
            </w:rPr>
            <w:fldChar w:fldCharType="separate"/>
          </w:r>
          <w:r>
            <w:rPr>
              <w:rFonts w:hint="eastAsia" w:ascii="宋体" w:hAnsi="宋体" w:eastAsia="宋体" w:cs="宋体"/>
              <w:bCs w:val="0"/>
              <w:color w:val="auto"/>
              <w:spacing w:val="0"/>
              <w:highlight w:val="none"/>
              <w:lang w:val="en-US" w:eastAsia="zh-CN"/>
            </w:rPr>
            <w:t>附件1 营业执照</w:t>
          </w:r>
          <w:r>
            <w:rPr>
              <w:color w:val="auto"/>
              <w:highlight w:val="none"/>
            </w:rPr>
            <w:tab/>
          </w:r>
          <w:r>
            <w:rPr>
              <w:color w:val="auto"/>
              <w:highlight w:val="none"/>
            </w:rPr>
            <w:fldChar w:fldCharType="begin"/>
          </w:r>
          <w:r>
            <w:rPr>
              <w:color w:val="auto"/>
              <w:highlight w:val="none"/>
            </w:rPr>
            <w:instrText xml:space="preserve"> PAGEREF _Toc12457 \h </w:instrText>
          </w:r>
          <w:r>
            <w:rPr>
              <w:color w:val="auto"/>
              <w:highlight w:val="none"/>
            </w:rPr>
            <w:fldChar w:fldCharType="separate"/>
          </w:r>
          <w:r>
            <w:rPr>
              <w:color w:val="auto"/>
              <w:highlight w:val="none"/>
            </w:rPr>
            <w:t>83</w:t>
          </w:r>
          <w:r>
            <w:rPr>
              <w:color w:val="auto"/>
              <w:highlight w:val="none"/>
            </w:rPr>
            <w:fldChar w:fldCharType="end"/>
          </w:r>
          <w:r>
            <w:rPr>
              <w:rFonts w:hint="eastAsia"/>
              <w:color w:val="auto"/>
              <w:highlight w:val="none"/>
              <w:lang w:val="en-US" w:eastAsia="zh-CN"/>
            </w:rPr>
            <w:fldChar w:fldCharType="end"/>
          </w:r>
        </w:p>
        <w:p w14:paraId="764E4C24">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_Toc28494 </w:instrText>
          </w:r>
          <w:r>
            <w:rPr>
              <w:rFonts w:hint="eastAsia"/>
              <w:color w:val="auto"/>
              <w:highlight w:val="none"/>
              <w:lang w:val="en-US" w:eastAsia="zh-CN"/>
            </w:rPr>
            <w:fldChar w:fldCharType="separate"/>
          </w:r>
          <w:r>
            <w:rPr>
              <w:rFonts w:hint="eastAsia" w:cs="宋体"/>
              <w:bCs w:val="0"/>
              <w:color w:val="auto"/>
              <w:spacing w:val="0"/>
              <w:highlight w:val="none"/>
              <w:lang w:val="en-US" w:eastAsia="zh-CN"/>
            </w:rPr>
            <w:t>附件2 投资备案文件</w:t>
          </w:r>
          <w:r>
            <w:rPr>
              <w:color w:val="auto"/>
              <w:highlight w:val="none"/>
            </w:rPr>
            <w:tab/>
          </w:r>
          <w:r>
            <w:rPr>
              <w:color w:val="auto"/>
              <w:highlight w:val="none"/>
            </w:rPr>
            <w:fldChar w:fldCharType="begin"/>
          </w:r>
          <w:r>
            <w:rPr>
              <w:color w:val="auto"/>
              <w:highlight w:val="none"/>
            </w:rPr>
            <w:instrText xml:space="preserve"> PAGEREF _Toc28494 \h </w:instrText>
          </w:r>
          <w:r>
            <w:rPr>
              <w:color w:val="auto"/>
              <w:highlight w:val="none"/>
            </w:rPr>
            <w:fldChar w:fldCharType="separate"/>
          </w:r>
          <w:r>
            <w:rPr>
              <w:color w:val="auto"/>
              <w:highlight w:val="none"/>
            </w:rPr>
            <w:t>84</w:t>
          </w:r>
          <w:r>
            <w:rPr>
              <w:color w:val="auto"/>
              <w:highlight w:val="none"/>
            </w:rPr>
            <w:fldChar w:fldCharType="end"/>
          </w:r>
          <w:r>
            <w:rPr>
              <w:rFonts w:hint="eastAsia"/>
              <w:color w:val="auto"/>
              <w:highlight w:val="none"/>
              <w:lang w:val="en-US" w:eastAsia="zh-CN"/>
            </w:rPr>
            <w:fldChar w:fldCharType="end"/>
          </w:r>
        </w:p>
        <w:p w14:paraId="551DB20D">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_Toc5128 </w:instrText>
          </w:r>
          <w:r>
            <w:rPr>
              <w:rFonts w:hint="eastAsia"/>
              <w:color w:val="auto"/>
              <w:highlight w:val="none"/>
              <w:lang w:val="en-US" w:eastAsia="zh-CN"/>
            </w:rPr>
            <w:fldChar w:fldCharType="separate"/>
          </w:r>
          <w:r>
            <w:rPr>
              <w:rFonts w:hint="eastAsia" w:ascii="宋体" w:hAnsi="宋体" w:eastAsia="宋体" w:cs="宋体"/>
              <w:bCs w:val="0"/>
              <w:color w:val="auto"/>
              <w:spacing w:val="0"/>
              <w:highlight w:val="none"/>
              <w:lang w:val="en-US" w:eastAsia="zh-CN"/>
            </w:rPr>
            <w:t>附件</w:t>
          </w:r>
          <w:r>
            <w:rPr>
              <w:rFonts w:hint="eastAsia" w:cs="宋体"/>
              <w:bCs w:val="0"/>
              <w:color w:val="auto"/>
              <w:spacing w:val="0"/>
              <w:highlight w:val="none"/>
              <w:lang w:val="en-US" w:eastAsia="zh-CN"/>
            </w:rPr>
            <w:t xml:space="preserve">3 </w:t>
          </w:r>
          <w:r>
            <w:rPr>
              <w:rFonts w:hint="eastAsia" w:ascii="宋体" w:hAnsi="宋体" w:eastAsia="宋体" w:cs="宋体"/>
              <w:bCs w:val="0"/>
              <w:color w:val="auto"/>
              <w:spacing w:val="0"/>
              <w:highlight w:val="none"/>
              <w:lang w:val="en-US" w:eastAsia="zh-CN"/>
            </w:rPr>
            <w:t>原项目环评批复</w:t>
          </w:r>
          <w:r>
            <w:rPr>
              <w:color w:val="auto"/>
              <w:highlight w:val="none"/>
            </w:rPr>
            <w:tab/>
          </w:r>
          <w:r>
            <w:rPr>
              <w:color w:val="auto"/>
              <w:highlight w:val="none"/>
            </w:rPr>
            <w:fldChar w:fldCharType="begin"/>
          </w:r>
          <w:r>
            <w:rPr>
              <w:color w:val="auto"/>
              <w:highlight w:val="none"/>
            </w:rPr>
            <w:instrText xml:space="preserve"> PAGEREF _Toc5128 \h </w:instrText>
          </w:r>
          <w:r>
            <w:rPr>
              <w:color w:val="auto"/>
              <w:highlight w:val="none"/>
            </w:rPr>
            <w:fldChar w:fldCharType="separate"/>
          </w:r>
          <w:r>
            <w:rPr>
              <w:color w:val="auto"/>
              <w:highlight w:val="none"/>
            </w:rPr>
            <w:t>85</w:t>
          </w:r>
          <w:r>
            <w:rPr>
              <w:color w:val="auto"/>
              <w:highlight w:val="none"/>
            </w:rPr>
            <w:fldChar w:fldCharType="end"/>
          </w:r>
          <w:r>
            <w:rPr>
              <w:rFonts w:hint="eastAsia"/>
              <w:color w:val="auto"/>
              <w:highlight w:val="none"/>
              <w:lang w:val="en-US" w:eastAsia="zh-CN"/>
            </w:rPr>
            <w:fldChar w:fldCharType="end"/>
          </w:r>
        </w:p>
        <w:p w14:paraId="290CDDED">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_Toc21258 </w:instrText>
          </w:r>
          <w:r>
            <w:rPr>
              <w:rFonts w:hint="eastAsia"/>
              <w:color w:val="auto"/>
              <w:highlight w:val="none"/>
              <w:lang w:val="en-US" w:eastAsia="zh-CN"/>
            </w:rPr>
            <w:fldChar w:fldCharType="separate"/>
          </w:r>
          <w:r>
            <w:rPr>
              <w:rFonts w:hint="eastAsia" w:cs="宋体"/>
              <w:bCs w:val="0"/>
              <w:color w:val="auto"/>
              <w:spacing w:val="0"/>
              <w:highlight w:val="none"/>
              <w:lang w:val="en-US" w:eastAsia="zh-CN"/>
            </w:rPr>
            <w:t>附件4 园区规划批复</w:t>
          </w:r>
          <w:r>
            <w:rPr>
              <w:color w:val="auto"/>
              <w:highlight w:val="none"/>
            </w:rPr>
            <w:tab/>
          </w:r>
          <w:r>
            <w:rPr>
              <w:color w:val="auto"/>
              <w:highlight w:val="none"/>
            </w:rPr>
            <w:fldChar w:fldCharType="begin"/>
          </w:r>
          <w:r>
            <w:rPr>
              <w:color w:val="auto"/>
              <w:highlight w:val="none"/>
            </w:rPr>
            <w:instrText xml:space="preserve"> PAGEREF _Toc21258 \h </w:instrText>
          </w:r>
          <w:r>
            <w:rPr>
              <w:color w:val="auto"/>
              <w:highlight w:val="none"/>
            </w:rPr>
            <w:fldChar w:fldCharType="separate"/>
          </w:r>
          <w:r>
            <w:rPr>
              <w:color w:val="auto"/>
              <w:highlight w:val="none"/>
            </w:rPr>
            <w:t>90</w:t>
          </w:r>
          <w:r>
            <w:rPr>
              <w:color w:val="auto"/>
              <w:highlight w:val="none"/>
            </w:rPr>
            <w:fldChar w:fldCharType="end"/>
          </w:r>
          <w:r>
            <w:rPr>
              <w:rFonts w:hint="eastAsia"/>
              <w:color w:val="auto"/>
              <w:highlight w:val="none"/>
              <w:lang w:val="en-US" w:eastAsia="zh-CN"/>
            </w:rPr>
            <w:fldChar w:fldCharType="end"/>
          </w:r>
        </w:p>
        <w:p w14:paraId="6BF1A949">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_Toc24798 </w:instrText>
          </w:r>
          <w:r>
            <w:rPr>
              <w:rFonts w:hint="eastAsia"/>
              <w:color w:val="auto"/>
              <w:highlight w:val="none"/>
              <w:lang w:val="en-US" w:eastAsia="zh-CN"/>
            </w:rPr>
            <w:fldChar w:fldCharType="separate"/>
          </w:r>
          <w:r>
            <w:rPr>
              <w:rFonts w:hint="eastAsia" w:ascii="宋体" w:hAnsi="宋体" w:eastAsia="宋体" w:cs="宋体"/>
              <w:bCs/>
              <w:snapToGrid w:val="0"/>
              <w:color w:val="auto"/>
              <w:spacing w:val="0"/>
              <w:kern w:val="0"/>
              <w:szCs w:val="24"/>
              <w:highlight w:val="none"/>
              <w:lang w:val="en-US" w:eastAsia="zh-CN" w:bidi="ar-SA"/>
            </w:rPr>
            <w:t>附件</w:t>
          </w:r>
          <w:r>
            <w:rPr>
              <w:rFonts w:hint="eastAsia" w:ascii="宋体" w:hAnsi="宋体" w:cs="宋体"/>
              <w:bCs/>
              <w:snapToGrid w:val="0"/>
              <w:color w:val="auto"/>
              <w:spacing w:val="0"/>
              <w:kern w:val="0"/>
              <w:szCs w:val="24"/>
              <w:highlight w:val="none"/>
              <w:lang w:val="en-US" w:eastAsia="zh-CN" w:bidi="ar-SA"/>
            </w:rPr>
            <w:t>5</w:t>
          </w:r>
          <w:r>
            <w:rPr>
              <w:rFonts w:hint="eastAsia" w:ascii="宋体" w:hAnsi="宋体" w:eastAsia="宋体" w:cs="宋体"/>
              <w:bCs/>
              <w:snapToGrid w:val="0"/>
              <w:color w:val="auto"/>
              <w:spacing w:val="0"/>
              <w:kern w:val="0"/>
              <w:szCs w:val="24"/>
              <w:highlight w:val="none"/>
              <w:lang w:val="en-US" w:eastAsia="zh-CN" w:bidi="ar-SA"/>
            </w:rPr>
            <w:t xml:space="preserve"> </w:t>
          </w:r>
          <w:r>
            <w:rPr>
              <w:rFonts w:hint="eastAsia" w:ascii="宋体" w:hAnsi="宋体" w:cs="宋体"/>
              <w:bCs/>
              <w:snapToGrid w:val="0"/>
              <w:color w:val="auto"/>
              <w:spacing w:val="0"/>
              <w:kern w:val="0"/>
              <w:szCs w:val="24"/>
              <w:highlight w:val="none"/>
              <w:lang w:val="en-US" w:eastAsia="zh-CN" w:bidi="ar-SA"/>
            </w:rPr>
            <w:t>燃料分析</w:t>
          </w:r>
          <w:r>
            <w:rPr>
              <w:rFonts w:hint="eastAsia" w:ascii="宋体" w:hAnsi="宋体" w:eastAsia="宋体" w:cs="宋体"/>
              <w:bCs/>
              <w:snapToGrid w:val="0"/>
              <w:color w:val="auto"/>
              <w:spacing w:val="0"/>
              <w:kern w:val="0"/>
              <w:szCs w:val="24"/>
              <w:highlight w:val="none"/>
              <w:lang w:val="en-US" w:eastAsia="zh-CN" w:bidi="ar-SA"/>
            </w:rPr>
            <w:t>报告</w:t>
          </w:r>
          <w:r>
            <w:rPr>
              <w:color w:val="auto"/>
              <w:highlight w:val="none"/>
            </w:rPr>
            <w:tab/>
          </w:r>
          <w:r>
            <w:rPr>
              <w:color w:val="auto"/>
              <w:highlight w:val="none"/>
            </w:rPr>
            <w:fldChar w:fldCharType="begin"/>
          </w:r>
          <w:r>
            <w:rPr>
              <w:color w:val="auto"/>
              <w:highlight w:val="none"/>
            </w:rPr>
            <w:instrText xml:space="preserve"> PAGEREF _Toc24798 \h </w:instrText>
          </w:r>
          <w:r>
            <w:rPr>
              <w:color w:val="auto"/>
              <w:highlight w:val="none"/>
            </w:rPr>
            <w:fldChar w:fldCharType="separate"/>
          </w:r>
          <w:r>
            <w:rPr>
              <w:color w:val="auto"/>
              <w:highlight w:val="none"/>
            </w:rPr>
            <w:t>96</w:t>
          </w:r>
          <w:r>
            <w:rPr>
              <w:color w:val="auto"/>
              <w:highlight w:val="none"/>
            </w:rPr>
            <w:fldChar w:fldCharType="end"/>
          </w:r>
          <w:r>
            <w:rPr>
              <w:rFonts w:hint="eastAsia"/>
              <w:color w:val="auto"/>
              <w:highlight w:val="none"/>
              <w:lang w:val="en-US" w:eastAsia="zh-CN"/>
            </w:rPr>
            <w:fldChar w:fldCharType="end"/>
          </w:r>
        </w:p>
        <w:p w14:paraId="712B7FA5">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_Toc8068 </w:instrText>
          </w:r>
          <w:r>
            <w:rPr>
              <w:rFonts w:hint="eastAsia"/>
              <w:color w:val="auto"/>
              <w:highlight w:val="none"/>
              <w:lang w:val="en-US" w:eastAsia="zh-CN"/>
            </w:rPr>
            <w:fldChar w:fldCharType="separate"/>
          </w:r>
          <w:r>
            <w:rPr>
              <w:rFonts w:hint="eastAsia"/>
              <w:bCs w:val="0"/>
              <w:color w:val="auto"/>
              <w:highlight w:val="none"/>
              <w:lang w:val="en-US" w:eastAsia="zh-CN"/>
            </w:rPr>
            <w:t>附件6 引用环境空气监测报告</w:t>
          </w:r>
          <w:r>
            <w:rPr>
              <w:color w:val="auto"/>
              <w:highlight w:val="none"/>
            </w:rPr>
            <w:tab/>
          </w:r>
          <w:r>
            <w:rPr>
              <w:color w:val="auto"/>
              <w:highlight w:val="none"/>
            </w:rPr>
            <w:fldChar w:fldCharType="begin"/>
          </w:r>
          <w:r>
            <w:rPr>
              <w:color w:val="auto"/>
              <w:highlight w:val="none"/>
            </w:rPr>
            <w:instrText xml:space="preserve"> PAGEREF _Toc8068 \h </w:instrText>
          </w:r>
          <w:r>
            <w:rPr>
              <w:color w:val="auto"/>
              <w:highlight w:val="none"/>
            </w:rPr>
            <w:fldChar w:fldCharType="separate"/>
          </w:r>
          <w:r>
            <w:rPr>
              <w:color w:val="auto"/>
              <w:highlight w:val="none"/>
            </w:rPr>
            <w:t>97</w:t>
          </w:r>
          <w:r>
            <w:rPr>
              <w:color w:val="auto"/>
              <w:highlight w:val="none"/>
            </w:rPr>
            <w:fldChar w:fldCharType="end"/>
          </w:r>
          <w:r>
            <w:rPr>
              <w:rFonts w:hint="eastAsia"/>
              <w:color w:val="auto"/>
              <w:highlight w:val="none"/>
              <w:lang w:val="en-US" w:eastAsia="zh-CN"/>
            </w:rPr>
            <w:fldChar w:fldCharType="end"/>
          </w:r>
        </w:p>
        <w:p w14:paraId="16E62D80">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_Toc4385 </w:instrText>
          </w:r>
          <w:r>
            <w:rPr>
              <w:rFonts w:hint="eastAsia"/>
              <w:color w:val="auto"/>
              <w:highlight w:val="none"/>
              <w:lang w:val="en-US" w:eastAsia="zh-CN"/>
            </w:rPr>
            <w:fldChar w:fldCharType="separate"/>
          </w:r>
          <w:r>
            <w:rPr>
              <w:rFonts w:hint="eastAsia" w:ascii="宋体" w:hAnsi="宋体" w:eastAsia="宋体" w:cs="宋体"/>
              <w:bCs/>
              <w:color w:val="auto"/>
              <w:spacing w:val="0"/>
              <w:szCs w:val="24"/>
              <w:highlight w:val="none"/>
            </w:rPr>
            <w:t>附件</w:t>
          </w:r>
          <w:r>
            <w:rPr>
              <w:rFonts w:hint="eastAsia" w:ascii="宋体" w:hAnsi="宋体" w:eastAsia="宋体" w:cs="宋体"/>
              <w:bCs/>
              <w:color w:val="auto"/>
              <w:spacing w:val="0"/>
              <w:szCs w:val="24"/>
              <w:highlight w:val="none"/>
              <w:lang w:val="en-US" w:eastAsia="zh-CN"/>
            </w:rPr>
            <w:t>7总量计算说明</w:t>
          </w:r>
          <w:r>
            <w:rPr>
              <w:color w:val="auto"/>
              <w:highlight w:val="none"/>
            </w:rPr>
            <w:tab/>
          </w:r>
          <w:r>
            <w:rPr>
              <w:color w:val="auto"/>
              <w:highlight w:val="none"/>
            </w:rPr>
            <w:fldChar w:fldCharType="begin"/>
          </w:r>
          <w:r>
            <w:rPr>
              <w:color w:val="auto"/>
              <w:highlight w:val="none"/>
            </w:rPr>
            <w:instrText xml:space="preserve"> PAGEREF _Toc4385 \h </w:instrText>
          </w:r>
          <w:r>
            <w:rPr>
              <w:color w:val="auto"/>
              <w:highlight w:val="none"/>
            </w:rPr>
            <w:fldChar w:fldCharType="separate"/>
          </w:r>
          <w:r>
            <w:rPr>
              <w:color w:val="auto"/>
              <w:highlight w:val="none"/>
            </w:rPr>
            <w:t>105</w:t>
          </w:r>
          <w:r>
            <w:rPr>
              <w:color w:val="auto"/>
              <w:highlight w:val="none"/>
            </w:rPr>
            <w:fldChar w:fldCharType="end"/>
          </w:r>
          <w:r>
            <w:rPr>
              <w:rFonts w:hint="eastAsia"/>
              <w:color w:val="auto"/>
              <w:highlight w:val="none"/>
              <w:lang w:val="en-US" w:eastAsia="zh-CN"/>
            </w:rPr>
            <w:fldChar w:fldCharType="end"/>
          </w:r>
        </w:p>
        <w:p w14:paraId="24BF0E1A">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_Toc16848 </w:instrText>
          </w:r>
          <w:r>
            <w:rPr>
              <w:rFonts w:hint="eastAsia"/>
              <w:color w:val="auto"/>
              <w:highlight w:val="none"/>
              <w:lang w:val="en-US" w:eastAsia="zh-CN"/>
            </w:rPr>
            <w:fldChar w:fldCharType="separate"/>
          </w:r>
          <w:r>
            <w:rPr>
              <w:rFonts w:hint="eastAsia"/>
              <w:bCs/>
              <w:color w:val="auto"/>
              <w:highlight w:val="none"/>
              <w:lang w:val="en-US" w:eastAsia="zh-CN"/>
            </w:rPr>
            <w:t>附件</w:t>
          </w:r>
          <w:r>
            <w:rPr>
              <w:rFonts w:hint="eastAsia" w:asciiTheme="minorEastAsia" w:hAnsiTheme="minorEastAsia" w:eastAsiaTheme="minorEastAsia" w:cstheme="minorEastAsia"/>
              <w:bCs/>
              <w:color w:val="auto"/>
              <w:highlight w:val="none"/>
              <w:lang w:val="en-US" w:eastAsia="zh-CN"/>
            </w:rPr>
            <w:t>8</w:t>
          </w:r>
          <w:r>
            <w:rPr>
              <w:rFonts w:hint="eastAsia"/>
              <w:bCs/>
              <w:color w:val="auto"/>
              <w:highlight w:val="none"/>
              <w:lang w:val="en-US" w:eastAsia="zh-CN"/>
            </w:rPr>
            <w:t xml:space="preserve"> 生态环境分区管控分析报告</w:t>
          </w:r>
          <w:r>
            <w:rPr>
              <w:color w:val="auto"/>
              <w:highlight w:val="none"/>
            </w:rPr>
            <w:tab/>
          </w:r>
          <w:r>
            <w:rPr>
              <w:color w:val="auto"/>
              <w:highlight w:val="none"/>
            </w:rPr>
            <w:fldChar w:fldCharType="begin"/>
          </w:r>
          <w:r>
            <w:rPr>
              <w:color w:val="auto"/>
              <w:highlight w:val="none"/>
            </w:rPr>
            <w:instrText xml:space="preserve"> PAGEREF _Toc16848 \h </w:instrText>
          </w:r>
          <w:r>
            <w:rPr>
              <w:color w:val="auto"/>
              <w:highlight w:val="none"/>
            </w:rPr>
            <w:fldChar w:fldCharType="separate"/>
          </w:r>
          <w:r>
            <w:rPr>
              <w:color w:val="auto"/>
              <w:highlight w:val="none"/>
            </w:rPr>
            <w:t>106</w:t>
          </w:r>
          <w:r>
            <w:rPr>
              <w:color w:val="auto"/>
              <w:highlight w:val="none"/>
            </w:rPr>
            <w:fldChar w:fldCharType="end"/>
          </w:r>
          <w:r>
            <w:rPr>
              <w:rFonts w:hint="eastAsia"/>
              <w:color w:val="auto"/>
              <w:highlight w:val="none"/>
              <w:lang w:val="en-US" w:eastAsia="zh-CN"/>
            </w:rPr>
            <w:fldChar w:fldCharType="end"/>
          </w:r>
        </w:p>
        <w:p w14:paraId="0162C227">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_Toc13470 </w:instrText>
          </w:r>
          <w:r>
            <w:rPr>
              <w:rFonts w:hint="eastAsia"/>
              <w:color w:val="auto"/>
              <w:highlight w:val="none"/>
              <w:lang w:val="en-US" w:eastAsia="zh-CN"/>
            </w:rPr>
            <w:fldChar w:fldCharType="separate"/>
          </w:r>
          <w:r>
            <w:rPr>
              <w:rFonts w:hint="eastAsia"/>
              <w:bCs w:val="0"/>
              <w:color w:val="auto"/>
              <w:highlight w:val="none"/>
              <w:lang w:val="en-US" w:eastAsia="zh-CN"/>
            </w:rPr>
            <w:t>附件9 承诺函</w:t>
          </w:r>
          <w:r>
            <w:rPr>
              <w:color w:val="auto"/>
              <w:highlight w:val="none"/>
            </w:rPr>
            <w:tab/>
          </w:r>
          <w:r>
            <w:rPr>
              <w:color w:val="auto"/>
              <w:highlight w:val="none"/>
            </w:rPr>
            <w:fldChar w:fldCharType="begin"/>
          </w:r>
          <w:r>
            <w:rPr>
              <w:color w:val="auto"/>
              <w:highlight w:val="none"/>
            </w:rPr>
            <w:instrText xml:space="preserve"> PAGEREF _Toc13470 \h </w:instrText>
          </w:r>
          <w:r>
            <w:rPr>
              <w:color w:val="auto"/>
              <w:highlight w:val="none"/>
            </w:rPr>
            <w:fldChar w:fldCharType="separate"/>
          </w:r>
          <w:r>
            <w:rPr>
              <w:color w:val="auto"/>
              <w:highlight w:val="none"/>
            </w:rPr>
            <w:t>118</w:t>
          </w:r>
          <w:r>
            <w:rPr>
              <w:color w:val="auto"/>
              <w:highlight w:val="none"/>
            </w:rPr>
            <w:fldChar w:fldCharType="end"/>
          </w:r>
          <w:r>
            <w:rPr>
              <w:rFonts w:hint="eastAsia"/>
              <w:color w:val="auto"/>
              <w:highlight w:val="none"/>
              <w:lang w:val="en-US" w:eastAsia="zh-CN"/>
            </w:rPr>
            <w:fldChar w:fldCharType="end"/>
          </w:r>
        </w:p>
        <w:p w14:paraId="1EA3210A">
          <w:pPr>
            <w:pStyle w:val="24"/>
            <w:tabs>
              <w:tab w:val="right" w:leader="dot" w:pos="8306"/>
            </w:tabs>
            <w:rPr>
              <w:color w:val="auto"/>
              <w:highlight w:val="none"/>
            </w:rPr>
          </w:pPr>
          <w:r>
            <w:rPr>
              <w:rFonts w:hint="eastAsia"/>
              <w:color w:val="auto"/>
              <w:highlight w:val="none"/>
              <w:lang w:val="en-US" w:eastAsia="zh-CN"/>
            </w:rPr>
            <w:fldChar w:fldCharType="begin"/>
          </w:r>
          <w:r>
            <w:rPr>
              <w:rFonts w:hint="eastAsia"/>
              <w:color w:val="auto"/>
              <w:highlight w:val="none"/>
              <w:lang w:val="en-US" w:eastAsia="zh-CN"/>
            </w:rPr>
            <w:instrText xml:space="preserve"> HYPERLINK \l _Toc19791 </w:instrText>
          </w:r>
          <w:r>
            <w:rPr>
              <w:rFonts w:hint="eastAsia"/>
              <w:color w:val="auto"/>
              <w:highlight w:val="none"/>
              <w:lang w:val="en-US" w:eastAsia="zh-CN"/>
            </w:rPr>
            <w:fldChar w:fldCharType="separate"/>
          </w:r>
          <w:r>
            <w:rPr>
              <w:rFonts w:hint="eastAsia"/>
              <w:bCs w:val="0"/>
              <w:color w:val="auto"/>
              <w:highlight w:val="none"/>
              <w:lang w:val="en-US" w:eastAsia="zh-CN"/>
            </w:rPr>
            <w:t>附件10 园区允许过渡期建设锅炉情况说明</w:t>
          </w:r>
          <w:r>
            <w:rPr>
              <w:color w:val="auto"/>
              <w:highlight w:val="none"/>
            </w:rPr>
            <w:tab/>
          </w:r>
          <w:r>
            <w:rPr>
              <w:color w:val="auto"/>
              <w:highlight w:val="none"/>
            </w:rPr>
            <w:fldChar w:fldCharType="begin"/>
          </w:r>
          <w:r>
            <w:rPr>
              <w:color w:val="auto"/>
              <w:highlight w:val="none"/>
            </w:rPr>
            <w:instrText xml:space="preserve"> PAGEREF _Toc19791 \h </w:instrText>
          </w:r>
          <w:r>
            <w:rPr>
              <w:color w:val="auto"/>
              <w:highlight w:val="none"/>
            </w:rPr>
            <w:fldChar w:fldCharType="separate"/>
          </w:r>
          <w:r>
            <w:rPr>
              <w:color w:val="auto"/>
              <w:highlight w:val="none"/>
            </w:rPr>
            <w:t>119</w:t>
          </w:r>
          <w:r>
            <w:rPr>
              <w:color w:val="auto"/>
              <w:highlight w:val="none"/>
            </w:rPr>
            <w:fldChar w:fldCharType="end"/>
          </w:r>
          <w:r>
            <w:rPr>
              <w:rFonts w:hint="eastAsia"/>
              <w:color w:val="auto"/>
              <w:highlight w:val="none"/>
              <w:lang w:val="en-US" w:eastAsia="zh-CN"/>
            </w:rPr>
            <w:fldChar w:fldCharType="end"/>
          </w:r>
        </w:p>
        <w:p w14:paraId="3CD8FAC3">
          <w:pPr>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宋体" w:hAnsi="宋体" w:eastAsia="宋体" w:cs="宋体"/>
              <w:bCs/>
              <w:color w:val="auto"/>
              <w:kern w:val="2"/>
              <w:sz w:val="24"/>
              <w:szCs w:val="24"/>
              <w:highlight w:val="none"/>
              <w:lang w:val="en-US" w:eastAsia="zh-CN" w:bidi="ar-SA"/>
            </w:rPr>
          </w:pPr>
          <w:r>
            <w:rPr>
              <w:rFonts w:hint="eastAsia"/>
              <w:color w:val="auto"/>
              <w:highlight w:val="none"/>
              <w:lang w:val="en-US" w:eastAsia="zh-CN"/>
            </w:rPr>
            <w:fldChar w:fldCharType="end"/>
          </w:r>
        </w:p>
      </w:sdtContent>
    </w:sdt>
    <w:p w14:paraId="1F5ED22F">
      <w:pPr>
        <w:pStyle w:val="46"/>
        <w:rPr>
          <w:rFonts w:hint="eastAsia"/>
          <w:color w:val="auto"/>
          <w:highlight w:val="none"/>
          <w:lang w:val="en-US" w:eastAsia="zh-CN"/>
        </w:rPr>
      </w:pPr>
    </w:p>
    <w:p w14:paraId="5B49E0DF">
      <w:pPr>
        <w:pStyle w:val="46"/>
        <w:rPr>
          <w:rFonts w:hint="eastAsia"/>
          <w:color w:val="auto"/>
          <w:highlight w:val="none"/>
          <w:lang w:val="en-US" w:eastAsia="zh-CN"/>
        </w:rPr>
        <w:sectPr>
          <w:pgSz w:w="11906" w:h="16838"/>
          <w:pgMar w:top="1440" w:right="1800" w:bottom="1440" w:left="1800" w:header="851" w:footer="1077" w:gutter="0"/>
          <w:pgBorders w:offsetFrom="page">
            <w:top w:val="none" w:sz="0" w:space="0"/>
            <w:left w:val="none" w:sz="0" w:space="0"/>
            <w:bottom w:val="none" w:sz="0" w:space="0"/>
            <w:right w:val="none" w:sz="0" w:space="0"/>
          </w:pgBorders>
          <w:cols w:space="720" w:num="1"/>
          <w:docGrid w:linePitch="312" w:charSpace="0"/>
        </w:sectPr>
      </w:pPr>
    </w:p>
    <w:p w14:paraId="48A5BB88">
      <w:pPr>
        <w:pStyle w:val="4"/>
        <w:spacing w:line="360" w:lineRule="auto"/>
        <w:jc w:val="center"/>
        <w:rPr>
          <w:rFonts w:hint="eastAsia" w:ascii="宋体" w:hAnsi="宋体" w:eastAsia="宋体" w:cs="宋体"/>
          <w:color w:val="auto"/>
          <w:spacing w:val="0"/>
          <w:highlight w:val="none"/>
        </w:rPr>
      </w:pPr>
      <w:bookmarkStart w:id="2" w:name="_Toc27875"/>
      <w:bookmarkStart w:id="3" w:name="_Toc71191475"/>
      <w:r>
        <w:rPr>
          <w:rFonts w:hint="eastAsia" w:ascii="宋体" w:hAnsi="宋体" w:eastAsia="宋体" w:cs="宋体"/>
          <w:color w:val="auto"/>
          <w:spacing w:val="0"/>
          <w:highlight w:val="none"/>
        </w:rPr>
        <w:t>一、建设项目基本情况</w:t>
      </w:r>
      <w:bookmarkEnd w:id="2"/>
      <w:bookmarkEnd w:id="3"/>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699"/>
        <w:gridCol w:w="1264"/>
        <w:gridCol w:w="1919"/>
        <w:gridCol w:w="1950"/>
        <w:gridCol w:w="2575"/>
      </w:tblGrid>
      <w:tr w14:paraId="167C3C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67" w:hRule="exact"/>
          <w:jc w:val="center"/>
        </w:trPr>
        <w:tc>
          <w:tcPr>
            <w:tcW w:w="1979" w:type="dxa"/>
            <w:gridSpan w:val="2"/>
            <w:noWrap w:val="0"/>
            <w:tcMar>
              <w:top w:w="16" w:type="dxa"/>
              <w:left w:w="16" w:type="dxa"/>
              <w:right w:w="16" w:type="dxa"/>
            </w:tcMar>
            <w:vAlign w:val="center"/>
          </w:tcPr>
          <w:p w14:paraId="1D752AD4">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建设项目名称</w:t>
            </w:r>
          </w:p>
        </w:tc>
        <w:tc>
          <w:tcPr>
            <w:tcW w:w="6497" w:type="dxa"/>
            <w:gridSpan w:val="3"/>
            <w:noWrap w:val="0"/>
            <w:vAlign w:val="center"/>
          </w:tcPr>
          <w:p w14:paraId="6141EA6F">
            <w:pPr>
              <w:spacing w:line="240" w:lineRule="auto"/>
              <w:ind w:firstLine="0" w:firstLineChars="0"/>
              <w:jc w:val="center"/>
              <w:rPr>
                <w:rFonts w:hint="default" w:ascii="宋体" w:hAnsi="宋体" w:eastAsia="宋体" w:cs="宋体"/>
                <w:bCs/>
                <w:color w:val="auto"/>
                <w:spacing w:val="0"/>
                <w:sz w:val="24"/>
                <w:szCs w:val="24"/>
                <w:highlight w:val="none"/>
                <w:lang w:val="en-US" w:eastAsia="zh-CN"/>
              </w:rPr>
            </w:pPr>
            <w:r>
              <w:rPr>
                <w:rFonts w:hint="eastAsia" w:cs="宋体"/>
                <w:bCs/>
                <w:color w:val="auto"/>
                <w:spacing w:val="0"/>
                <w:sz w:val="24"/>
                <w:szCs w:val="24"/>
                <w:highlight w:val="none"/>
                <w:lang w:val="en-US" w:eastAsia="zh-CN"/>
              </w:rPr>
              <w:t>黑龙江省燎泰新材料科技有限公司过渡期热源改造项目</w:t>
            </w:r>
          </w:p>
        </w:tc>
      </w:tr>
      <w:tr w14:paraId="60CF43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3A967291">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项目代码</w:t>
            </w:r>
          </w:p>
        </w:tc>
        <w:tc>
          <w:tcPr>
            <w:tcW w:w="6497" w:type="dxa"/>
            <w:gridSpan w:val="3"/>
            <w:noWrap w:val="0"/>
            <w:vAlign w:val="center"/>
          </w:tcPr>
          <w:p w14:paraId="3FFD4705">
            <w:pPr>
              <w:spacing w:line="240" w:lineRule="auto"/>
              <w:ind w:firstLine="0" w:firstLineChars="0"/>
              <w:jc w:val="center"/>
              <w:rPr>
                <w:rFonts w:hint="default" w:ascii="宋体" w:hAnsi="宋体" w:eastAsia="宋体" w:cs="宋体"/>
                <w:bCs/>
                <w:color w:val="auto"/>
                <w:spacing w:val="0"/>
                <w:sz w:val="24"/>
                <w:szCs w:val="24"/>
                <w:highlight w:val="none"/>
                <w:lang w:val="en-US" w:eastAsia="zh-CN"/>
              </w:rPr>
            </w:pPr>
            <w:r>
              <w:rPr>
                <w:rFonts w:hint="eastAsia" w:cs="宋体"/>
                <w:bCs/>
                <w:color w:val="auto"/>
                <w:spacing w:val="0"/>
                <w:sz w:val="24"/>
                <w:szCs w:val="24"/>
                <w:highlight w:val="none"/>
                <w:lang w:val="en-US" w:eastAsia="zh-CN"/>
              </w:rPr>
              <w:t>2509-230305-04-01-853008</w:t>
            </w:r>
          </w:p>
        </w:tc>
      </w:tr>
      <w:tr w14:paraId="390FD7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65909ADF">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建设单位联系人</w:t>
            </w:r>
          </w:p>
        </w:tc>
        <w:tc>
          <w:tcPr>
            <w:tcW w:w="1935" w:type="dxa"/>
            <w:noWrap w:val="0"/>
            <w:vAlign w:val="center"/>
          </w:tcPr>
          <w:p w14:paraId="3575583E">
            <w:pPr>
              <w:spacing w:line="240" w:lineRule="auto"/>
              <w:ind w:firstLine="0" w:firstLineChars="0"/>
              <w:jc w:val="center"/>
              <w:rPr>
                <w:rFonts w:hint="default" w:ascii="宋体" w:hAnsi="宋体" w:eastAsia="宋体" w:cs="宋体"/>
                <w:color w:val="auto"/>
                <w:spacing w:val="0"/>
                <w:sz w:val="24"/>
                <w:szCs w:val="24"/>
                <w:highlight w:val="none"/>
                <w:lang w:val="en-US" w:eastAsia="zh-CN"/>
              </w:rPr>
            </w:pPr>
            <w:r>
              <w:rPr>
                <w:rFonts w:hint="eastAsia" w:cs="宋体"/>
                <w:color w:val="auto"/>
                <w:spacing w:val="0"/>
                <w:sz w:val="24"/>
                <w:szCs w:val="24"/>
                <w:highlight w:val="none"/>
                <w:lang w:val="en-US" w:eastAsia="zh-CN"/>
              </w:rPr>
              <w:t>吴恩来</w:t>
            </w:r>
          </w:p>
        </w:tc>
        <w:tc>
          <w:tcPr>
            <w:tcW w:w="1966" w:type="dxa"/>
            <w:noWrap w:val="0"/>
            <w:vAlign w:val="center"/>
          </w:tcPr>
          <w:p w14:paraId="2938BEFF">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联系方式</w:t>
            </w:r>
          </w:p>
        </w:tc>
        <w:tc>
          <w:tcPr>
            <w:tcW w:w="2596" w:type="dxa"/>
            <w:noWrap w:val="0"/>
            <w:vAlign w:val="center"/>
          </w:tcPr>
          <w:p w14:paraId="7B035A36">
            <w:pPr>
              <w:spacing w:line="240" w:lineRule="auto"/>
              <w:ind w:firstLine="0" w:firstLineChars="0"/>
              <w:jc w:val="center"/>
              <w:rPr>
                <w:rFonts w:hint="eastAsia" w:ascii="宋体" w:hAnsi="宋体" w:eastAsia="宋体" w:cs="宋体"/>
                <w:color w:val="auto"/>
                <w:spacing w:val="0"/>
                <w:sz w:val="24"/>
                <w:szCs w:val="24"/>
                <w:highlight w:val="none"/>
                <w:lang w:eastAsia="zh-CN"/>
              </w:rPr>
            </w:pPr>
            <w:r>
              <w:rPr>
                <w:rFonts w:hint="eastAsia"/>
                <w:color w:val="auto"/>
                <w:kern w:val="0"/>
                <w:sz w:val="24"/>
                <w:highlight w:val="none"/>
              </w:rPr>
              <w:t>18346799666</w:t>
            </w:r>
          </w:p>
        </w:tc>
      </w:tr>
      <w:tr w14:paraId="5398AF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atLeast"/>
          <w:jc w:val="center"/>
        </w:trPr>
        <w:tc>
          <w:tcPr>
            <w:tcW w:w="1979" w:type="dxa"/>
            <w:gridSpan w:val="2"/>
            <w:noWrap w:val="0"/>
            <w:tcMar>
              <w:top w:w="16" w:type="dxa"/>
              <w:left w:w="16" w:type="dxa"/>
              <w:right w:w="16" w:type="dxa"/>
            </w:tcMar>
            <w:vAlign w:val="center"/>
          </w:tcPr>
          <w:p w14:paraId="4EF8350E">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建设地点</w:t>
            </w:r>
          </w:p>
        </w:tc>
        <w:tc>
          <w:tcPr>
            <w:tcW w:w="6497" w:type="dxa"/>
            <w:gridSpan w:val="3"/>
            <w:noWrap w:val="0"/>
            <w:vAlign w:val="center"/>
          </w:tcPr>
          <w:p w14:paraId="5A2AD207">
            <w:pPr>
              <w:spacing w:line="240" w:lineRule="auto"/>
              <w:ind w:firstLine="0" w:firstLineChars="0"/>
              <w:jc w:val="center"/>
              <w:rPr>
                <w:rFonts w:hint="eastAsia" w:ascii="宋体" w:hAnsi="宋体" w:eastAsia="宋体" w:cs="宋体"/>
                <w:color w:val="auto"/>
                <w:spacing w:val="0"/>
                <w:sz w:val="24"/>
                <w:szCs w:val="24"/>
                <w:highlight w:val="none"/>
                <w:lang w:val="en-US" w:eastAsia="zh-CN"/>
              </w:rPr>
            </w:pPr>
            <w:r>
              <w:rPr>
                <w:rFonts w:hint="eastAsia" w:cs="宋体"/>
                <w:color w:val="auto"/>
                <w:spacing w:val="0"/>
                <w:sz w:val="24"/>
                <w:szCs w:val="24"/>
                <w:highlight w:val="none"/>
                <w:lang w:val="en-US" w:eastAsia="zh-CN"/>
              </w:rPr>
              <w:t>黑龙江鸡西经济开发区梨树工业谷黑龙江省燎泰新材料科技有限公司院内（原碱场社区026乡道与006乡道之间A-03-a-1-1地块）</w:t>
            </w:r>
            <w:bookmarkStart w:id="39" w:name="_GoBack"/>
            <w:bookmarkEnd w:id="39"/>
          </w:p>
        </w:tc>
      </w:tr>
      <w:tr w14:paraId="7065BC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6FA1686B">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地理坐标</w:t>
            </w:r>
          </w:p>
        </w:tc>
        <w:tc>
          <w:tcPr>
            <w:tcW w:w="6497" w:type="dxa"/>
            <w:gridSpan w:val="3"/>
            <w:noWrap w:val="0"/>
            <w:vAlign w:val="center"/>
          </w:tcPr>
          <w:p w14:paraId="3F914D6E">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东经</w:t>
            </w:r>
            <w:r>
              <w:rPr>
                <w:rFonts w:hint="eastAsia"/>
                <w:color w:val="auto"/>
                <w:sz w:val="24"/>
                <w:highlight w:val="none"/>
                <w:u w:val="single"/>
                <w:lang w:val="en-US" w:eastAsia="zh-CN"/>
              </w:rPr>
              <w:t>130</w:t>
            </w:r>
            <w:r>
              <w:rPr>
                <w:color w:val="auto"/>
                <w:sz w:val="24"/>
                <w:highlight w:val="none"/>
              </w:rPr>
              <w:t>度</w:t>
            </w:r>
            <w:r>
              <w:rPr>
                <w:rFonts w:hint="eastAsia"/>
                <w:color w:val="auto"/>
                <w:sz w:val="24"/>
                <w:highlight w:val="none"/>
                <w:u w:val="single"/>
                <w:lang w:val="en-US" w:eastAsia="zh-CN"/>
              </w:rPr>
              <w:t>34</w:t>
            </w:r>
            <w:r>
              <w:rPr>
                <w:color w:val="auto"/>
                <w:sz w:val="24"/>
                <w:highlight w:val="none"/>
              </w:rPr>
              <w:t>分</w:t>
            </w:r>
            <w:r>
              <w:rPr>
                <w:rFonts w:hint="eastAsia"/>
                <w:color w:val="auto"/>
                <w:sz w:val="24"/>
                <w:highlight w:val="none"/>
                <w:u w:val="single"/>
                <w:lang w:val="en-US" w:eastAsia="zh-CN"/>
              </w:rPr>
              <w:t>51</w:t>
            </w:r>
            <w:r>
              <w:rPr>
                <w:rFonts w:hint="eastAsia" w:ascii="宋体" w:hAnsi="宋体" w:eastAsia="宋体" w:cs="宋体"/>
                <w:color w:val="auto"/>
                <w:spacing w:val="0"/>
                <w:sz w:val="24"/>
                <w:szCs w:val="24"/>
                <w:highlight w:val="none"/>
              </w:rPr>
              <w:t>秒，北纬</w:t>
            </w:r>
            <w:r>
              <w:rPr>
                <w:rFonts w:hint="eastAsia" w:ascii="宋体" w:hAnsi="宋体" w:eastAsia="宋体" w:cs="宋体"/>
                <w:color w:val="auto"/>
                <w:spacing w:val="0"/>
                <w:sz w:val="24"/>
                <w:szCs w:val="24"/>
                <w:highlight w:val="none"/>
                <w:u w:val="single"/>
              </w:rPr>
              <w:t>45</w:t>
            </w:r>
            <w:r>
              <w:rPr>
                <w:rFonts w:hint="eastAsia" w:ascii="宋体" w:hAnsi="宋体" w:eastAsia="宋体" w:cs="宋体"/>
                <w:color w:val="auto"/>
                <w:spacing w:val="0"/>
                <w:sz w:val="24"/>
                <w:szCs w:val="24"/>
                <w:highlight w:val="none"/>
              </w:rPr>
              <w:t>度</w:t>
            </w:r>
            <w:r>
              <w:rPr>
                <w:rFonts w:hint="eastAsia" w:cs="宋体"/>
                <w:color w:val="auto"/>
                <w:spacing w:val="0"/>
                <w:sz w:val="24"/>
                <w:szCs w:val="24"/>
                <w:highlight w:val="none"/>
                <w:u w:val="single"/>
                <w:lang w:val="en-US" w:eastAsia="zh-CN"/>
              </w:rPr>
              <w:t>5</w:t>
            </w:r>
            <w:r>
              <w:rPr>
                <w:rFonts w:hint="eastAsia" w:ascii="宋体" w:hAnsi="宋体" w:eastAsia="宋体" w:cs="宋体"/>
                <w:color w:val="auto"/>
                <w:spacing w:val="0"/>
                <w:sz w:val="24"/>
                <w:szCs w:val="24"/>
                <w:highlight w:val="none"/>
              </w:rPr>
              <w:t>分</w:t>
            </w:r>
            <w:r>
              <w:rPr>
                <w:rFonts w:hint="eastAsia" w:cs="宋体"/>
                <w:color w:val="auto"/>
                <w:spacing w:val="0"/>
                <w:sz w:val="24"/>
                <w:szCs w:val="24"/>
                <w:highlight w:val="none"/>
                <w:u w:val="single"/>
                <w:lang w:val="en-US" w:eastAsia="zh-CN"/>
              </w:rPr>
              <w:t>5</w:t>
            </w:r>
            <w:r>
              <w:rPr>
                <w:rFonts w:hint="eastAsia" w:ascii="宋体" w:hAnsi="宋体" w:eastAsia="宋体" w:cs="宋体"/>
                <w:color w:val="auto"/>
                <w:spacing w:val="0"/>
                <w:sz w:val="24"/>
                <w:szCs w:val="24"/>
                <w:highlight w:val="none"/>
              </w:rPr>
              <w:t>秒</w:t>
            </w:r>
          </w:p>
        </w:tc>
      </w:tr>
      <w:tr w14:paraId="610E02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979" w:type="dxa"/>
            <w:gridSpan w:val="2"/>
            <w:noWrap w:val="0"/>
            <w:tcMar>
              <w:top w:w="16" w:type="dxa"/>
              <w:left w:w="16" w:type="dxa"/>
              <w:right w:w="16" w:type="dxa"/>
            </w:tcMar>
            <w:vAlign w:val="center"/>
          </w:tcPr>
          <w:p w14:paraId="05BD317B">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国民经济</w:t>
            </w:r>
          </w:p>
          <w:p w14:paraId="509FD9FC">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行业类别</w:t>
            </w:r>
          </w:p>
        </w:tc>
        <w:tc>
          <w:tcPr>
            <w:tcW w:w="1935" w:type="dxa"/>
            <w:noWrap w:val="0"/>
            <w:vAlign w:val="center"/>
          </w:tcPr>
          <w:p w14:paraId="3F6F65EE">
            <w:pPr>
              <w:spacing w:line="240" w:lineRule="auto"/>
              <w:ind w:firstLine="0" w:firstLineChars="0"/>
              <w:jc w:val="center"/>
              <w:rPr>
                <w:rFonts w:hint="eastAsia" w:ascii="宋体" w:hAnsi="宋体" w:eastAsia="宋体" w:cs="宋体"/>
                <w:color w:val="auto"/>
                <w:spacing w:val="0"/>
                <w:highlight w:val="none"/>
                <w:lang w:val="en-US" w:eastAsia="zh-CN"/>
              </w:rPr>
            </w:pPr>
            <w:r>
              <w:rPr>
                <w:rFonts w:hint="eastAsia" w:ascii="宋体" w:hAnsi="宋体" w:eastAsia="宋体" w:cs="宋体"/>
                <w:bCs/>
                <w:color w:val="auto"/>
                <w:spacing w:val="0"/>
                <w:sz w:val="24"/>
                <w:szCs w:val="24"/>
                <w:highlight w:val="none"/>
                <w:lang w:val="en-US" w:eastAsia="zh-CN"/>
              </w:rPr>
              <w:t>D-4430热力生产和供应业</w:t>
            </w:r>
          </w:p>
        </w:tc>
        <w:tc>
          <w:tcPr>
            <w:tcW w:w="1966" w:type="dxa"/>
            <w:noWrap w:val="0"/>
            <w:vAlign w:val="center"/>
          </w:tcPr>
          <w:p w14:paraId="70D60F06">
            <w:pPr>
              <w:spacing w:line="240" w:lineRule="auto"/>
              <w:ind w:firstLine="0" w:firstLineChars="0"/>
              <w:jc w:val="center"/>
              <w:rPr>
                <w:rFonts w:hint="eastAsia" w:ascii="宋体" w:hAnsi="宋体" w:eastAsia="宋体" w:cs="宋体"/>
                <w:color w:val="auto"/>
                <w:spacing w:val="0"/>
                <w:sz w:val="24"/>
                <w:szCs w:val="24"/>
                <w:highlight w:val="none"/>
              </w:rPr>
            </w:pPr>
            <w:bookmarkStart w:id="4" w:name="_Hlk49843745"/>
            <w:r>
              <w:rPr>
                <w:rFonts w:hint="eastAsia" w:ascii="宋体" w:hAnsi="宋体" w:eastAsia="宋体" w:cs="宋体"/>
                <w:color w:val="auto"/>
                <w:spacing w:val="0"/>
                <w:sz w:val="24"/>
                <w:szCs w:val="24"/>
                <w:highlight w:val="none"/>
              </w:rPr>
              <w:t>建设项目</w:t>
            </w:r>
          </w:p>
          <w:p w14:paraId="777616BE">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行业类别</w:t>
            </w:r>
            <w:bookmarkEnd w:id="4"/>
          </w:p>
        </w:tc>
        <w:tc>
          <w:tcPr>
            <w:tcW w:w="2596" w:type="dxa"/>
            <w:noWrap w:val="0"/>
            <w:vAlign w:val="center"/>
          </w:tcPr>
          <w:p w14:paraId="6D39D44A">
            <w:pPr>
              <w:pStyle w:val="13"/>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firstLine="0" w:firstLineChars="0"/>
              <w:jc w:val="center"/>
              <w:textAlignment w:val="auto"/>
              <w:rPr>
                <w:rFonts w:hint="eastAsia" w:ascii="宋体" w:hAnsi="宋体" w:eastAsia="宋体" w:cs="宋体"/>
                <w:color w:val="auto"/>
                <w:spacing w:val="0"/>
                <w:sz w:val="24"/>
                <w:szCs w:val="24"/>
                <w:highlight w:val="none"/>
                <w:lang w:eastAsia="zh-CN"/>
              </w:rPr>
            </w:pPr>
            <w:r>
              <w:rPr>
                <w:rFonts w:hint="eastAsia" w:ascii="宋体" w:hAnsi="宋体" w:eastAsia="宋体" w:cs="宋体"/>
                <w:bCs/>
                <w:color w:val="auto"/>
                <w:spacing w:val="0"/>
                <w:kern w:val="2"/>
                <w:sz w:val="24"/>
                <w:szCs w:val="24"/>
                <w:highlight w:val="none"/>
                <w:lang w:val="en-US" w:eastAsia="zh-CN" w:bidi="ar-SA"/>
              </w:rPr>
              <w:t>“四十一、电力、热力生产和供应业91-天然气锅炉总容量1吨/小时（0.7兆瓦）以上的</w:t>
            </w:r>
            <w:r>
              <w:rPr>
                <w:rFonts w:hint="eastAsia" w:ascii="宋体" w:hAnsi="宋体" w:cs="宋体"/>
                <w:bCs/>
                <w:color w:val="auto"/>
                <w:spacing w:val="0"/>
                <w:kern w:val="2"/>
                <w:sz w:val="24"/>
                <w:szCs w:val="24"/>
                <w:highlight w:val="none"/>
                <w:lang w:val="en-US" w:eastAsia="zh-CN" w:bidi="ar-SA"/>
              </w:rPr>
              <w:t>；使用其他高污染燃料的</w:t>
            </w:r>
            <w:r>
              <w:rPr>
                <w:rFonts w:hint="eastAsia" w:ascii="宋体" w:hAnsi="宋体" w:eastAsia="宋体" w:cs="宋体"/>
                <w:bCs/>
                <w:color w:val="auto"/>
                <w:spacing w:val="0"/>
                <w:kern w:val="2"/>
                <w:sz w:val="24"/>
                <w:szCs w:val="24"/>
                <w:highlight w:val="none"/>
                <w:lang w:val="en-US" w:eastAsia="zh-CN" w:bidi="ar-SA"/>
              </w:rPr>
              <w:t>”</w:t>
            </w:r>
          </w:p>
        </w:tc>
      </w:tr>
      <w:tr w14:paraId="2DB2FE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067" w:hRule="atLeast"/>
          <w:jc w:val="center"/>
        </w:trPr>
        <w:tc>
          <w:tcPr>
            <w:tcW w:w="1979" w:type="dxa"/>
            <w:gridSpan w:val="2"/>
            <w:noWrap w:val="0"/>
            <w:tcMar>
              <w:top w:w="16" w:type="dxa"/>
              <w:left w:w="16" w:type="dxa"/>
              <w:right w:w="16" w:type="dxa"/>
            </w:tcMar>
            <w:vAlign w:val="center"/>
          </w:tcPr>
          <w:p w14:paraId="3CD6C229">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建设性质</w:t>
            </w:r>
          </w:p>
        </w:tc>
        <w:tc>
          <w:tcPr>
            <w:tcW w:w="1935" w:type="dxa"/>
            <w:noWrap w:val="0"/>
            <w:vAlign w:val="center"/>
          </w:tcPr>
          <w:p w14:paraId="1C0E5336">
            <w:pPr>
              <w:spacing w:line="240" w:lineRule="auto"/>
              <w:ind w:firstLine="0" w:firstLineChars="0"/>
              <w:rPr>
                <w:rFonts w:hint="eastAsia" w:ascii="宋体" w:hAnsi="宋体" w:eastAsia="宋体" w:cs="宋体"/>
                <w:color w:val="auto"/>
                <w:spacing w:val="0"/>
                <w:sz w:val="24"/>
                <w:szCs w:val="24"/>
                <w:highlight w:val="none"/>
              </w:rPr>
            </w:pPr>
            <w:r>
              <w:rPr>
                <w:rFonts w:hint="eastAsia" w:cs="宋体"/>
                <w:color w:val="auto"/>
                <w:spacing w:val="0"/>
                <w:sz w:val="24"/>
                <w:szCs w:val="24"/>
                <w:highlight w:val="none"/>
                <w:lang w:eastAsia="zh-CN"/>
              </w:rPr>
              <w:t>□</w:t>
            </w:r>
            <w:r>
              <w:rPr>
                <w:rFonts w:hint="eastAsia" w:ascii="宋体" w:hAnsi="宋体" w:eastAsia="宋体" w:cs="宋体"/>
                <w:color w:val="auto"/>
                <w:spacing w:val="0"/>
                <w:sz w:val="24"/>
                <w:szCs w:val="24"/>
                <w:highlight w:val="none"/>
              </w:rPr>
              <w:t>新建（迁建）</w:t>
            </w:r>
          </w:p>
          <w:p w14:paraId="73B5BF20">
            <w:pPr>
              <w:spacing w:line="240" w:lineRule="auto"/>
              <w:ind w:firstLine="0" w:firstLineChars="0"/>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□改建</w:t>
            </w:r>
          </w:p>
          <w:p w14:paraId="5F122E14">
            <w:pPr>
              <w:spacing w:line="240" w:lineRule="auto"/>
              <w:ind w:firstLine="0" w:firstLineChars="0"/>
              <w:rPr>
                <w:rFonts w:hint="eastAsia" w:ascii="宋体" w:hAnsi="宋体" w:eastAsia="宋体" w:cs="宋体"/>
                <w:color w:val="auto"/>
                <w:spacing w:val="0"/>
                <w:sz w:val="24"/>
                <w:szCs w:val="24"/>
                <w:highlight w:val="none"/>
              </w:rPr>
            </w:pPr>
            <w:r>
              <w:rPr>
                <w:rFonts w:hint="eastAsia" w:cs="宋体"/>
                <w:color w:val="auto"/>
                <w:spacing w:val="0"/>
                <w:sz w:val="24"/>
                <w:szCs w:val="24"/>
                <w:highlight w:val="none"/>
                <w:lang w:eastAsia="zh-CN"/>
              </w:rPr>
              <w:t>☑</w:t>
            </w:r>
            <w:r>
              <w:rPr>
                <w:rFonts w:hint="eastAsia" w:ascii="宋体" w:hAnsi="宋体" w:eastAsia="宋体" w:cs="宋体"/>
                <w:color w:val="auto"/>
                <w:spacing w:val="0"/>
                <w:sz w:val="24"/>
                <w:szCs w:val="24"/>
                <w:highlight w:val="none"/>
              </w:rPr>
              <w:t>扩建</w:t>
            </w:r>
          </w:p>
          <w:p w14:paraId="49627334">
            <w:pPr>
              <w:spacing w:line="240" w:lineRule="auto"/>
              <w:ind w:firstLine="0" w:firstLineChars="0"/>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□技术改造</w:t>
            </w:r>
          </w:p>
        </w:tc>
        <w:tc>
          <w:tcPr>
            <w:tcW w:w="1966" w:type="dxa"/>
            <w:noWrap w:val="0"/>
            <w:vAlign w:val="center"/>
          </w:tcPr>
          <w:p w14:paraId="6EEAFF11">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建设项目</w:t>
            </w:r>
          </w:p>
          <w:p w14:paraId="7C021F54">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申报情形</w:t>
            </w:r>
          </w:p>
        </w:tc>
        <w:tc>
          <w:tcPr>
            <w:tcW w:w="2596" w:type="dxa"/>
            <w:noWrap w:val="0"/>
            <w:vAlign w:val="center"/>
          </w:tcPr>
          <w:p w14:paraId="40F3EAA8">
            <w:pPr>
              <w:spacing w:line="240" w:lineRule="auto"/>
              <w:ind w:firstLine="0" w:firstLineChars="0"/>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lang w:eastAsia="zh-CN"/>
              </w:rPr>
              <w:t>☑</w:t>
            </w:r>
            <w:r>
              <w:rPr>
                <w:rFonts w:hint="eastAsia" w:ascii="宋体" w:hAnsi="宋体" w:eastAsia="宋体" w:cs="宋体"/>
                <w:color w:val="auto"/>
                <w:spacing w:val="0"/>
                <w:sz w:val="24"/>
                <w:szCs w:val="24"/>
                <w:highlight w:val="none"/>
              </w:rPr>
              <w:t>首次申报项目</w:t>
            </w:r>
          </w:p>
          <w:p w14:paraId="72394184">
            <w:pPr>
              <w:spacing w:line="240" w:lineRule="auto"/>
              <w:ind w:firstLine="0" w:firstLineChars="0"/>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□不予批准后再次申报项目</w:t>
            </w:r>
          </w:p>
          <w:p w14:paraId="2C94D298">
            <w:pPr>
              <w:spacing w:line="240" w:lineRule="auto"/>
              <w:ind w:firstLine="0" w:firstLineChars="0"/>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□超五年重新审核项目</w:t>
            </w:r>
          </w:p>
          <w:p w14:paraId="2813ABAD">
            <w:pPr>
              <w:spacing w:line="240" w:lineRule="auto"/>
              <w:ind w:firstLine="0" w:firstLineChars="0"/>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□重大变动重新报批项目</w:t>
            </w:r>
          </w:p>
        </w:tc>
      </w:tr>
      <w:tr w14:paraId="686916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059" w:hRule="atLeast"/>
          <w:jc w:val="center"/>
        </w:trPr>
        <w:tc>
          <w:tcPr>
            <w:tcW w:w="1979" w:type="dxa"/>
            <w:gridSpan w:val="2"/>
            <w:noWrap w:val="0"/>
            <w:tcMar>
              <w:top w:w="16" w:type="dxa"/>
              <w:left w:w="16" w:type="dxa"/>
              <w:right w:w="16" w:type="dxa"/>
            </w:tcMar>
            <w:vAlign w:val="center"/>
          </w:tcPr>
          <w:p w14:paraId="44D1DF81">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项目审批（核准/</w:t>
            </w:r>
          </w:p>
          <w:p w14:paraId="27BEB044">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备案）部门（选填）</w:t>
            </w:r>
          </w:p>
        </w:tc>
        <w:tc>
          <w:tcPr>
            <w:tcW w:w="1935" w:type="dxa"/>
            <w:noWrap w:val="0"/>
            <w:vAlign w:val="center"/>
          </w:tcPr>
          <w:p w14:paraId="31D1732A">
            <w:pPr>
              <w:spacing w:line="240" w:lineRule="auto"/>
              <w:ind w:firstLine="0" w:firstLineChars="0"/>
              <w:jc w:val="center"/>
              <w:rPr>
                <w:rFonts w:hint="eastAsia" w:ascii="宋体" w:hAnsi="宋体" w:eastAsia="宋体" w:cs="宋体"/>
                <w:color w:val="auto"/>
                <w:spacing w:val="0"/>
                <w:sz w:val="24"/>
                <w:szCs w:val="24"/>
                <w:highlight w:val="none"/>
                <w:lang w:eastAsia="zh-CN"/>
              </w:rPr>
            </w:pPr>
            <w:r>
              <w:rPr>
                <w:rFonts w:hint="eastAsia" w:cs="宋体"/>
                <w:color w:val="auto"/>
                <w:spacing w:val="0"/>
                <w:sz w:val="24"/>
                <w:szCs w:val="24"/>
                <w:highlight w:val="none"/>
                <w:lang w:val="en-US" w:eastAsia="zh-CN"/>
              </w:rPr>
              <w:t>/</w:t>
            </w:r>
          </w:p>
        </w:tc>
        <w:tc>
          <w:tcPr>
            <w:tcW w:w="1966" w:type="dxa"/>
            <w:noWrap w:val="0"/>
            <w:vAlign w:val="center"/>
          </w:tcPr>
          <w:p w14:paraId="618E9BB0">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项目审批（核准/备案）文号（选填）</w:t>
            </w:r>
          </w:p>
        </w:tc>
        <w:tc>
          <w:tcPr>
            <w:tcW w:w="2596" w:type="dxa"/>
            <w:noWrap w:val="0"/>
            <w:vAlign w:val="center"/>
          </w:tcPr>
          <w:p w14:paraId="497A5CFB">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w:t>
            </w:r>
          </w:p>
        </w:tc>
      </w:tr>
      <w:tr w14:paraId="2AC163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7" w:hRule="exact"/>
          <w:jc w:val="center"/>
        </w:trPr>
        <w:tc>
          <w:tcPr>
            <w:tcW w:w="1979" w:type="dxa"/>
            <w:gridSpan w:val="2"/>
            <w:noWrap w:val="0"/>
            <w:tcMar>
              <w:top w:w="16" w:type="dxa"/>
              <w:left w:w="16" w:type="dxa"/>
              <w:right w:w="16" w:type="dxa"/>
            </w:tcMar>
            <w:vAlign w:val="center"/>
          </w:tcPr>
          <w:p w14:paraId="12FE3A75">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总投资（万元）</w:t>
            </w:r>
          </w:p>
        </w:tc>
        <w:tc>
          <w:tcPr>
            <w:tcW w:w="1935" w:type="dxa"/>
            <w:noWrap w:val="0"/>
            <w:vAlign w:val="center"/>
          </w:tcPr>
          <w:p w14:paraId="3CD5F5AB">
            <w:pPr>
              <w:spacing w:line="240" w:lineRule="auto"/>
              <w:ind w:firstLine="0" w:firstLineChars="0"/>
              <w:jc w:val="center"/>
              <w:rPr>
                <w:rFonts w:hint="default" w:ascii="宋体" w:hAnsi="宋体" w:eastAsia="宋体" w:cs="宋体"/>
                <w:color w:val="auto"/>
                <w:spacing w:val="0"/>
                <w:sz w:val="24"/>
                <w:szCs w:val="24"/>
                <w:highlight w:val="none"/>
                <w:lang w:val="en-US" w:eastAsia="zh-CN"/>
              </w:rPr>
            </w:pPr>
            <w:r>
              <w:rPr>
                <w:rFonts w:hint="eastAsia" w:cs="宋体"/>
                <w:color w:val="auto"/>
                <w:spacing w:val="0"/>
                <w:sz w:val="24"/>
                <w:szCs w:val="24"/>
                <w:highlight w:val="none"/>
                <w:lang w:val="en-US" w:eastAsia="zh-CN"/>
              </w:rPr>
              <w:t>100</w:t>
            </w:r>
          </w:p>
        </w:tc>
        <w:tc>
          <w:tcPr>
            <w:tcW w:w="1966" w:type="dxa"/>
            <w:noWrap w:val="0"/>
            <w:tcMar>
              <w:top w:w="16" w:type="dxa"/>
              <w:left w:w="16" w:type="dxa"/>
              <w:right w:w="16" w:type="dxa"/>
            </w:tcMar>
            <w:vAlign w:val="center"/>
          </w:tcPr>
          <w:p w14:paraId="657D96B2">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环保投资（万元）</w:t>
            </w:r>
          </w:p>
        </w:tc>
        <w:tc>
          <w:tcPr>
            <w:tcW w:w="2596" w:type="dxa"/>
            <w:noWrap w:val="0"/>
            <w:vAlign w:val="center"/>
          </w:tcPr>
          <w:p w14:paraId="53796389">
            <w:pPr>
              <w:spacing w:line="240" w:lineRule="auto"/>
              <w:ind w:firstLine="0" w:firstLineChars="0"/>
              <w:jc w:val="center"/>
              <w:rPr>
                <w:rFonts w:hint="default" w:ascii="宋体" w:hAnsi="宋体" w:eastAsia="宋体" w:cs="宋体"/>
                <w:color w:val="auto"/>
                <w:spacing w:val="0"/>
                <w:sz w:val="24"/>
                <w:szCs w:val="24"/>
                <w:highlight w:val="none"/>
                <w:lang w:val="en-US" w:eastAsia="zh-CN"/>
              </w:rPr>
            </w:pPr>
            <w:r>
              <w:rPr>
                <w:rFonts w:hint="eastAsia" w:cs="宋体"/>
                <w:color w:val="auto"/>
                <w:spacing w:val="0"/>
                <w:sz w:val="24"/>
                <w:szCs w:val="24"/>
                <w:highlight w:val="none"/>
                <w:lang w:val="en-US" w:eastAsia="zh-CN"/>
              </w:rPr>
              <w:t>43.1</w:t>
            </w:r>
          </w:p>
        </w:tc>
      </w:tr>
      <w:tr w14:paraId="75570D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765" w:hRule="exact"/>
          <w:jc w:val="center"/>
        </w:trPr>
        <w:tc>
          <w:tcPr>
            <w:tcW w:w="1979" w:type="dxa"/>
            <w:gridSpan w:val="2"/>
            <w:noWrap w:val="0"/>
            <w:tcMar>
              <w:top w:w="16" w:type="dxa"/>
              <w:left w:w="16" w:type="dxa"/>
              <w:right w:w="16" w:type="dxa"/>
            </w:tcMar>
            <w:vAlign w:val="center"/>
          </w:tcPr>
          <w:p w14:paraId="7A529D27">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环保投资占比（%）</w:t>
            </w:r>
          </w:p>
        </w:tc>
        <w:tc>
          <w:tcPr>
            <w:tcW w:w="1935" w:type="dxa"/>
            <w:noWrap w:val="0"/>
            <w:vAlign w:val="center"/>
          </w:tcPr>
          <w:p w14:paraId="6500F712">
            <w:pPr>
              <w:spacing w:line="240" w:lineRule="auto"/>
              <w:ind w:firstLine="0" w:firstLineChars="0"/>
              <w:jc w:val="center"/>
              <w:rPr>
                <w:rFonts w:hint="default" w:ascii="宋体" w:hAnsi="宋体" w:eastAsia="宋体" w:cs="宋体"/>
                <w:color w:val="auto"/>
                <w:spacing w:val="0"/>
                <w:sz w:val="24"/>
                <w:szCs w:val="24"/>
                <w:highlight w:val="none"/>
                <w:lang w:val="en-US" w:eastAsia="zh-CN"/>
              </w:rPr>
            </w:pPr>
            <w:r>
              <w:rPr>
                <w:rFonts w:hint="eastAsia" w:cs="宋体"/>
                <w:color w:val="auto"/>
                <w:spacing w:val="0"/>
                <w:sz w:val="24"/>
                <w:szCs w:val="24"/>
                <w:highlight w:val="none"/>
                <w:lang w:val="en-US" w:eastAsia="zh-CN"/>
              </w:rPr>
              <w:t>43.1</w:t>
            </w:r>
          </w:p>
        </w:tc>
        <w:tc>
          <w:tcPr>
            <w:tcW w:w="1966" w:type="dxa"/>
            <w:noWrap w:val="0"/>
            <w:tcMar>
              <w:top w:w="16" w:type="dxa"/>
              <w:left w:w="16" w:type="dxa"/>
              <w:right w:w="16" w:type="dxa"/>
            </w:tcMar>
            <w:vAlign w:val="center"/>
          </w:tcPr>
          <w:p w14:paraId="7CB126B9">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施工工期</w:t>
            </w:r>
          </w:p>
        </w:tc>
        <w:tc>
          <w:tcPr>
            <w:tcW w:w="2596" w:type="dxa"/>
            <w:noWrap w:val="0"/>
            <w:vAlign w:val="center"/>
          </w:tcPr>
          <w:p w14:paraId="65A03214">
            <w:pPr>
              <w:spacing w:line="240" w:lineRule="auto"/>
              <w:ind w:firstLine="0" w:firstLineChars="0"/>
              <w:jc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2025年12月—2026年1月</w:t>
            </w:r>
          </w:p>
        </w:tc>
      </w:tr>
      <w:tr w14:paraId="42A201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exact"/>
          <w:jc w:val="center"/>
        </w:trPr>
        <w:tc>
          <w:tcPr>
            <w:tcW w:w="1979" w:type="dxa"/>
            <w:gridSpan w:val="2"/>
            <w:noWrap w:val="0"/>
            <w:tcMar>
              <w:top w:w="16" w:type="dxa"/>
              <w:left w:w="16" w:type="dxa"/>
              <w:right w:w="16" w:type="dxa"/>
            </w:tcMar>
            <w:vAlign w:val="center"/>
          </w:tcPr>
          <w:p w14:paraId="3CA13942">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是否开工建设</w:t>
            </w:r>
          </w:p>
        </w:tc>
        <w:tc>
          <w:tcPr>
            <w:tcW w:w="1935" w:type="dxa"/>
            <w:noWrap w:val="0"/>
            <w:vAlign w:val="center"/>
          </w:tcPr>
          <w:p w14:paraId="36C8DF70">
            <w:pPr>
              <w:adjustRightInd w:val="0"/>
              <w:snapToGrid w:val="0"/>
              <w:spacing w:line="240" w:lineRule="auto"/>
              <w:ind w:left="0" w:leftChars="0" w:firstLine="0" w:firstLineChars="0"/>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sym w:font="Wingdings 2" w:char="0052"/>
            </w:r>
            <w:r>
              <w:rPr>
                <w:rFonts w:hint="eastAsia" w:ascii="宋体" w:hAnsi="宋体" w:eastAsia="宋体" w:cs="宋体"/>
                <w:color w:val="auto"/>
                <w:spacing w:val="0"/>
                <w:sz w:val="24"/>
                <w:szCs w:val="24"/>
                <w:highlight w:val="none"/>
              </w:rPr>
              <w:t>否</w:t>
            </w:r>
          </w:p>
          <w:p w14:paraId="13E05420">
            <w:pPr>
              <w:spacing w:line="240" w:lineRule="auto"/>
              <w:ind w:firstLine="0" w:firstLineChars="0"/>
              <w:jc w:val="left"/>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eastAsia="zh-CN"/>
              </w:rPr>
              <w:sym w:font="Wingdings 2" w:char="00A3"/>
            </w:r>
            <w:r>
              <w:rPr>
                <w:rFonts w:hint="eastAsia" w:ascii="宋体" w:hAnsi="宋体" w:eastAsia="宋体" w:cs="宋体"/>
                <w:color w:val="auto"/>
                <w:spacing w:val="0"/>
                <w:sz w:val="24"/>
                <w:szCs w:val="24"/>
                <w:highlight w:val="none"/>
              </w:rPr>
              <w:t>是：</w:t>
            </w:r>
          </w:p>
        </w:tc>
        <w:tc>
          <w:tcPr>
            <w:tcW w:w="1966" w:type="dxa"/>
            <w:noWrap w:val="0"/>
            <w:tcMar>
              <w:top w:w="16" w:type="dxa"/>
              <w:left w:w="16" w:type="dxa"/>
              <w:right w:w="16" w:type="dxa"/>
            </w:tcMar>
            <w:vAlign w:val="center"/>
          </w:tcPr>
          <w:p w14:paraId="71E471AD">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用地（用海）</w:t>
            </w:r>
          </w:p>
          <w:p w14:paraId="58535313">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面积（m</w:t>
            </w:r>
            <w:r>
              <w:rPr>
                <w:rFonts w:hint="eastAsia" w:ascii="宋体" w:hAnsi="宋体" w:eastAsia="宋体" w:cs="宋体"/>
                <w:color w:val="auto"/>
                <w:spacing w:val="0"/>
                <w:sz w:val="24"/>
                <w:szCs w:val="24"/>
                <w:highlight w:val="none"/>
                <w:vertAlign w:val="superscript"/>
              </w:rPr>
              <w:t>2</w:t>
            </w:r>
            <w:r>
              <w:rPr>
                <w:rFonts w:hint="eastAsia" w:ascii="宋体" w:hAnsi="宋体" w:eastAsia="宋体" w:cs="宋体"/>
                <w:color w:val="auto"/>
                <w:spacing w:val="0"/>
                <w:sz w:val="24"/>
                <w:szCs w:val="24"/>
                <w:highlight w:val="none"/>
              </w:rPr>
              <w:t>）</w:t>
            </w:r>
          </w:p>
        </w:tc>
        <w:tc>
          <w:tcPr>
            <w:tcW w:w="2596" w:type="dxa"/>
            <w:noWrap w:val="0"/>
            <w:vAlign w:val="center"/>
          </w:tcPr>
          <w:p w14:paraId="0B9E02EF">
            <w:pPr>
              <w:spacing w:line="240" w:lineRule="auto"/>
              <w:ind w:firstLine="0" w:firstLineChars="0"/>
              <w:jc w:val="center"/>
              <w:rPr>
                <w:rFonts w:hint="eastAsia" w:ascii="宋体" w:hAnsi="宋体" w:eastAsia="宋体" w:cs="宋体"/>
                <w:color w:val="auto"/>
                <w:spacing w:val="0"/>
                <w:sz w:val="24"/>
                <w:szCs w:val="24"/>
                <w:highlight w:val="none"/>
                <w:lang w:val="en-US" w:eastAsia="zh-CN"/>
              </w:rPr>
            </w:pPr>
            <w:r>
              <w:rPr>
                <w:rFonts w:hint="eastAsia" w:cs="宋体"/>
                <w:color w:val="auto"/>
                <w:spacing w:val="0"/>
                <w:sz w:val="24"/>
                <w:szCs w:val="24"/>
                <w:highlight w:val="none"/>
                <w:lang w:val="en-US" w:eastAsia="zh-CN"/>
              </w:rPr>
              <w:t>/</w:t>
            </w:r>
          </w:p>
        </w:tc>
      </w:tr>
      <w:tr w14:paraId="21AEC4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979" w:type="dxa"/>
            <w:gridSpan w:val="2"/>
            <w:noWrap w:val="0"/>
            <w:vAlign w:val="center"/>
          </w:tcPr>
          <w:p w14:paraId="7A267155">
            <w:pPr>
              <w:spacing w:line="240" w:lineRule="auto"/>
              <w:ind w:firstLine="0" w:firstLineChars="0"/>
              <w:jc w:val="center"/>
              <w:rPr>
                <w:rFonts w:hint="eastAsia" w:ascii="宋体" w:hAnsi="宋体" w:eastAsia="宋体" w:cs="宋体"/>
                <w:color w:val="auto"/>
                <w:spacing w:val="0"/>
                <w:kern w:val="0"/>
                <w:sz w:val="24"/>
                <w:szCs w:val="24"/>
                <w:highlight w:val="none"/>
              </w:rPr>
            </w:pPr>
            <w:r>
              <w:rPr>
                <w:rFonts w:hint="eastAsia" w:ascii="宋体" w:hAnsi="宋体" w:eastAsia="宋体" w:cs="宋体"/>
                <w:color w:val="auto"/>
                <w:spacing w:val="0"/>
                <w:kern w:val="0"/>
                <w:sz w:val="24"/>
                <w:szCs w:val="24"/>
                <w:highlight w:val="none"/>
              </w:rPr>
              <w:t>专项评价设置情况</w:t>
            </w:r>
          </w:p>
        </w:tc>
        <w:tc>
          <w:tcPr>
            <w:tcW w:w="6497" w:type="dxa"/>
            <w:gridSpan w:val="3"/>
            <w:noWrap w:val="0"/>
            <w:vAlign w:val="center"/>
          </w:tcPr>
          <w:p w14:paraId="24574214">
            <w:pPr>
              <w:autoSpaceDE w:val="0"/>
              <w:autoSpaceDN w:val="0"/>
              <w:adjustRightInd w:val="0"/>
              <w:snapToGrid w:val="0"/>
              <w:spacing w:line="360" w:lineRule="auto"/>
              <w:ind w:firstLine="420" w:firstLineChars="200"/>
              <w:jc w:val="left"/>
              <w:rPr>
                <w:color w:val="auto"/>
                <w:highlight w:val="none"/>
              </w:rPr>
            </w:pPr>
            <w:r>
              <w:rPr>
                <w:color w:val="auto"/>
                <w:sz w:val="21"/>
                <w:szCs w:val="21"/>
                <w:highlight w:val="none"/>
              </w:rPr>
              <w:t>根据《建设项目环境影响报告表</w:t>
            </w:r>
            <w:r>
              <w:rPr>
                <w:rFonts w:hint="eastAsia"/>
                <w:color w:val="auto"/>
                <w:sz w:val="21"/>
                <w:szCs w:val="21"/>
                <w:highlight w:val="none"/>
              </w:rPr>
              <w:t>编制</w:t>
            </w:r>
            <w:r>
              <w:rPr>
                <w:color w:val="auto"/>
                <w:sz w:val="21"/>
                <w:szCs w:val="21"/>
                <w:highlight w:val="none"/>
              </w:rPr>
              <w:t>技术指南（污染影响类）》（试行）可知，土壤、声环境不开展专项评价，地下水原则上不开展专项评价，本项目大气、地表水、环境风险、生态和海洋专项评价设置情况详见表1</w:t>
            </w:r>
            <w:r>
              <w:rPr>
                <w:rFonts w:hint="eastAsia"/>
                <w:color w:val="auto"/>
                <w:sz w:val="21"/>
                <w:szCs w:val="21"/>
                <w:highlight w:val="none"/>
              </w:rPr>
              <w:t>-1</w:t>
            </w:r>
            <w:r>
              <w:rPr>
                <w:color w:val="auto"/>
                <w:sz w:val="21"/>
                <w:szCs w:val="21"/>
                <w:highlight w:val="none"/>
              </w:rPr>
              <w:t>。</w:t>
            </w:r>
          </w:p>
          <w:p w14:paraId="38DF5785">
            <w:pPr>
              <w:pStyle w:val="36"/>
              <w:keepNext w:val="0"/>
              <w:keepLines w:val="0"/>
              <w:pageBreakBefore w:val="0"/>
              <w:widowControl w:val="0"/>
              <w:kinsoku/>
              <w:wordWrap/>
              <w:overflowPunct/>
              <w:topLinePunct w:val="0"/>
              <w:autoSpaceDE/>
              <w:autoSpaceDN/>
              <w:bidi w:val="0"/>
              <w:adjustRightInd w:val="0"/>
              <w:snapToGrid w:val="0"/>
              <w:spacing w:after="0" w:line="240" w:lineRule="auto"/>
              <w:ind w:firstLine="0"/>
              <w:jc w:val="center"/>
              <w:textAlignment w:val="auto"/>
              <w:rPr>
                <w:color w:val="auto"/>
                <w:sz w:val="21"/>
                <w:szCs w:val="21"/>
                <w:highlight w:val="none"/>
              </w:rPr>
            </w:pPr>
            <w:r>
              <w:rPr>
                <w:rFonts w:hint="eastAsia"/>
                <w:b/>
                <w:bCs/>
                <w:color w:val="auto"/>
                <w:sz w:val="21"/>
                <w:szCs w:val="21"/>
                <w:highlight w:val="none"/>
              </w:rPr>
              <w:t>表1-1 本项目专项评价设置情况</w:t>
            </w:r>
          </w:p>
          <w:tbl>
            <w:tblPr>
              <w:tblStyle w:val="37"/>
              <w:tblW w:w="4999"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2"/>
              <w:gridCol w:w="2322"/>
              <w:gridCol w:w="2120"/>
              <w:gridCol w:w="959"/>
            </w:tblGrid>
            <w:tr w14:paraId="3C09D9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696" w:type="pct"/>
                  <w:tcBorders>
                    <w:tl2br w:val="nil"/>
                    <w:tr2bl w:val="nil"/>
                  </w:tcBorders>
                  <w:noWrap w:val="0"/>
                  <w:vAlign w:val="center"/>
                </w:tcPr>
                <w:p w14:paraId="0A7E1FC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b/>
                      <w:bCs/>
                      <w:color w:val="auto"/>
                      <w:kern w:val="0"/>
                      <w:sz w:val="21"/>
                      <w:szCs w:val="21"/>
                      <w:highlight w:val="none"/>
                      <w:lang w:bidi="ar"/>
                    </w:rPr>
                  </w:pPr>
                  <w:r>
                    <w:rPr>
                      <w:rFonts w:hint="eastAsia" w:cs="宋体"/>
                      <w:b/>
                      <w:bCs/>
                      <w:color w:val="auto"/>
                      <w:kern w:val="0"/>
                      <w:sz w:val="21"/>
                      <w:szCs w:val="21"/>
                      <w:highlight w:val="none"/>
                      <w:lang w:bidi="ar"/>
                    </w:rPr>
                    <w:t>专项评</w:t>
                  </w:r>
                </w:p>
                <w:p w14:paraId="2FF1693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b/>
                      <w:bCs/>
                      <w:color w:val="auto"/>
                      <w:sz w:val="21"/>
                      <w:szCs w:val="21"/>
                      <w:highlight w:val="none"/>
                    </w:rPr>
                  </w:pPr>
                  <w:r>
                    <w:rPr>
                      <w:rFonts w:hint="eastAsia" w:cs="宋体"/>
                      <w:b/>
                      <w:bCs/>
                      <w:color w:val="auto"/>
                      <w:kern w:val="0"/>
                      <w:sz w:val="21"/>
                      <w:szCs w:val="21"/>
                      <w:highlight w:val="none"/>
                      <w:lang w:bidi="ar"/>
                    </w:rPr>
                    <w:t>价类别</w:t>
                  </w:r>
                </w:p>
              </w:tc>
              <w:tc>
                <w:tcPr>
                  <w:tcW w:w="1849" w:type="pct"/>
                  <w:tcBorders>
                    <w:tl2br w:val="nil"/>
                    <w:tr2bl w:val="nil"/>
                  </w:tcBorders>
                  <w:noWrap w:val="0"/>
                  <w:vAlign w:val="center"/>
                </w:tcPr>
                <w:p w14:paraId="6734D12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b/>
                      <w:bCs/>
                      <w:color w:val="auto"/>
                      <w:sz w:val="21"/>
                      <w:szCs w:val="21"/>
                      <w:highlight w:val="none"/>
                    </w:rPr>
                  </w:pPr>
                  <w:r>
                    <w:rPr>
                      <w:rFonts w:hint="eastAsia" w:cs="宋体"/>
                      <w:b/>
                      <w:bCs/>
                      <w:color w:val="auto"/>
                      <w:kern w:val="0"/>
                      <w:sz w:val="21"/>
                      <w:szCs w:val="21"/>
                      <w:highlight w:val="none"/>
                      <w:lang w:bidi="ar"/>
                    </w:rPr>
                    <w:t>设置原则</w:t>
                  </w:r>
                </w:p>
              </w:tc>
              <w:tc>
                <w:tcPr>
                  <w:tcW w:w="1689" w:type="pct"/>
                  <w:tcBorders>
                    <w:tl2br w:val="nil"/>
                    <w:tr2bl w:val="nil"/>
                  </w:tcBorders>
                  <w:noWrap w:val="0"/>
                  <w:vAlign w:val="center"/>
                </w:tcPr>
                <w:p w14:paraId="3A18DEC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b/>
                      <w:bCs/>
                      <w:color w:val="auto"/>
                      <w:sz w:val="21"/>
                      <w:szCs w:val="21"/>
                      <w:highlight w:val="none"/>
                    </w:rPr>
                  </w:pPr>
                  <w:r>
                    <w:rPr>
                      <w:rFonts w:hint="eastAsia" w:cs="宋体"/>
                      <w:b/>
                      <w:bCs/>
                      <w:color w:val="auto"/>
                      <w:kern w:val="0"/>
                      <w:sz w:val="21"/>
                      <w:szCs w:val="21"/>
                      <w:highlight w:val="none"/>
                      <w:lang w:bidi="ar"/>
                    </w:rPr>
                    <w:t>本项目相关情况</w:t>
                  </w:r>
                </w:p>
              </w:tc>
              <w:tc>
                <w:tcPr>
                  <w:tcW w:w="764" w:type="pct"/>
                  <w:tcBorders>
                    <w:tl2br w:val="nil"/>
                    <w:tr2bl w:val="nil"/>
                  </w:tcBorders>
                  <w:noWrap w:val="0"/>
                  <w:vAlign w:val="center"/>
                </w:tcPr>
                <w:p w14:paraId="1920B91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b/>
                      <w:bCs/>
                      <w:color w:val="auto"/>
                      <w:sz w:val="21"/>
                      <w:szCs w:val="21"/>
                      <w:highlight w:val="none"/>
                    </w:rPr>
                  </w:pPr>
                  <w:r>
                    <w:rPr>
                      <w:rFonts w:hint="eastAsia" w:cs="宋体"/>
                      <w:b/>
                      <w:bCs/>
                      <w:color w:val="auto"/>
                      <w:kern w:val="0"/>
                      <w:sz w:val="21"/>
                      <w:szCs w:val="21"/>
                      <w:highlight w:val="none"/>
                      <w:lang w:bidi="ar"/>
                    </w:rPr>
                    <w:t>判定结果</w:t>
                  </w:r>
                </w:p>
              </w:tc>
            </w:tr>
            <w:tr w14:paraId="4867F4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696" w:type="pct"/>
                  <w:tcBorders>
                    <w:tl2br w:val="nil"/>
                    <w:tr2bl w:val="nil"/>
                  </w:tcBorders>
                  <w:noWrap w:val="0"/>
                  <w:vAlign w:val="center"/>
                </w:tcPr>
                <w:p w14:paraId="6793ADD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大气</w:t>
                  </w:r>
                </w:p>
              </w:tc>
              <w:tc>
                <w:tcPr>
                  <w:tcW w:w="1849" w:type="pct"/>
                  <w:tcBorders>
                    <w:tl2br w:val="nil"/>
                    <w:tr2bl w:val="nil"/>
                  </w:tcBorders>
                  <w:noWrap w:val="0"/>
                  <w:vAlign w:val="center"/>
                </w:tcPr>
                <w:p w14:paraId="53BCCCE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排放废气含有毒有害污染物、二噁英、苯并芘、氰化物、氯气且厂界外500米范围内有环境空气保护目标的建设项目</w:t>
                  </w:r>
                </w:p>
              </w:tc>
              <w:tc>
                <w:tcPr>
                  <w:tcW w:w="1689" w:type="pct"/>
                  <w:tcBorders>
                    <w:tl2br w:val="nil"/>
                    <w:tr2bl w:val="nil"/>
                  </w:tcBorders>
                  <w:noWrap w:val="0"/>
                  <w:vAlign w:val="center"/>
                </w:tcPr>
                <w:p w14:paraId="6DACEBF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sz w:val="21"/>
                      <w:szCs w:val="21"/>
                      <w:highlight w:val="none"/>
                      <w:lang w:val="en-US" w:eastAsia="zh-CN"/>
                    </w:rPr>
                    <w:t>本项目排放废气中不含有毒有害污染物、二噁英、苯并[a]芘、氰化物、氯气；本项目主要燃料为生物质，生物燃烧过程产生汞及其化合物，属于有毒有害污染物，其次本项目厂界外500m范围内不存在环境空气保护目标，因此本项目不需设置大气专项评价。</w:t>
                  </w:r>
                </w:p>
              </w:tc>
              <w:tc>
                <w:tcPr>
                  <w:tcW w:w="764" w:type="pct"/>
                  <w:tcBorders>
                    <w:tl2br w:val="nil"/>
                    <w:tr2bl w:val="nil"/>
                  </w:tcBorders>
                  <w:noWrap w:val="0"/>
                  <w:vAlign w:val="center"/>
                </w:tcPr>
                <w:p w14:paraId="478BC44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不需设置</w:t>
                  </w:r>
                </w:p>
              </w:tc>
            </w:tr>
            <w:tr w14:paraId="5E81F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8" w:hRule="atLeast"/>
              </w:trPr>
              <w:tc>
                <w:tcPr>
                  <w:tcW w:w="696" w:type="pct"/>
                  <w:tcBorders>
                    <w:tl2br w:val="nil"/>
                    <w:tr2bl w:val="nil"/>
                  </w:tcBorders>
                  <w:noWrap w:val="0"/>
                  <w:vAlign w:val="center"/>
                </w:tcPr>
                <w:p w14:paraId="0F10244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地表水</w:t>
                  </w:r>
                </w:p>
              </w:tc>
              <w:tc>
                <w:tcPr>
                  <w:tcW w:w="1849" w:type="pct"/>
                  <w:tcBorders>
                    <w:tl2br w:val="nil"/>
                    <w:tr2bl w:val="nil"/>
                  </w:tcBorders>
                  <w:noWrap w:val="0"/>
                  <w:vAlign w:val="center"/>
                </w:tcPr>
                <w:p w14:paraId="0ECEB86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新增工业废水直排建设项目（槽罐车外送污水处理厂的除外）；新增废水直排的污水集中处理厂</w:t>
                  </w:r>
                </w:p>
              </w:tc>
              <w:tc>
                <w:tcPr>
                  <w:tcW w:w="1689" w:type="pct"/>
                  <w:tcBorders>
                    <w:tl2br w:val="nil"/>
                    <w:tr2bl w:val="nil"/>
                  </w:tcBorders>
                  <w:noWrap w:val="0"/>
                  <w:vAlign w:val="center"/>
                </w:tcPr>
                <w:p w14:paraId="0ED37D2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eastAsia="宋体" w:cs="宋体"/>
                      <w:color w:val="auto"/>
                      <w:sz w:val="21"/>
                      <w:szCs w:val="21"/>
                      <w:highlight w:val="none"/>
                      <w:lang w:val="en-US" w:eastAsia="zh-CN"/>
                    </w:rPr>
                  </w:pPr>
                  <w:r>
                    <w:rPr>
                      <w:rFonts w:hint="eastAsia" w:cs="宋体"/>
                      <w:color w:val="auto"/>
                      <w:kern w:val="0"/>
                      <w:sz w:val="21"/>
                      <w:szCs w:val="21"/>
                      <w:highlight w:val="none"/>
                      <w:lang w:bidi="ar"/>
                    </w:rPr>
                    <w:t>本项目废水经总排口排入市政管网，最终进入</w:t>
                  </w:r>
                  <w:r>
                    <w:rPr>
                      <w:rFonts w:hint="eastAsia" w:cs="宋体"/>
                      <w:color w:val="auto"/>
                      <w:kern w:val="0"/>
                      <w:sz w:val="21"/>
                      <w:szCs w:val="21"/>
                      <w:highlight w:val="none"/>
                      <w:lang w:val="en-US" w:eastAsia="zh-CN" w:bidi="ar"/>
                    </w:rPr>
                    <w:t>梨树工业谷污水处理厂</w:t>
                  </w:r>
                  <w:r>
                    <w:rPr>
                      <w:rFonts w:hint="eastAsia" w:cs="宋体"/>
                      <w:color w:val="auto"/>
                      <w:kern w:val="0"/>
                      <w:sz w:val="21"/>
                      <w:szCs w:val="21"/>
                      <w:highlight w:val="none"/>
                      <w:lang w:bidi="ar"/>
                    </w:rPr>
                    <w:t>集中处理。</w:t>
                  </w:r>
                  <w:r>
                    <w:rPr>
                      <w:rFonts w:hint="eastAsia" w:cs="宋体"/>
                      <w:color w:val="auto"/>
                      <w:kern w:val="0"/>
                      <w:sz w:val="21"/>
                      <w:szCs w:val="21"/>
                      <w:highlight w:val="none"/>
                      <w:lang w:val="en-US" w:eastAsia="zh-CN" w:bidi="ar"/>
                    </w:rPr>
                    <w:t>属间接排放项目，</w:t>
                  </w:r>
                  <w:r>
                    <w:rPr>
                      <w:rFonts w:hint="eastAsia" w:cs="宋体"/>
                      <w:color w:val="auto"/>
                      <w:kern w:val="0"/>
                      <w:sz w:val="21"/>
                      <w:szCs w:val="21"/>
                      <w:highlight w:val="none"/>
                      <w:lang w:bidi="ar"/>
                    </w:rPr>
                    <w:t>不属于废水直排项目。</w:t>
                  </w:r>
                </w:p>
              </w:tc>
              <w:tc>
                <w:tcPr>
                  <w:tcW w:w="764" w:type="pct"/>
                  <w:tcBorders>
                    <w:tl2br w:val="nil"/>
                    <w:tr2bl w:val="nil"/>
                  </w:tcBorders>
                  <w:noWrap w:val="0"/>
                  <w:vAlign w:val="center"/>
                </w:tcPr>
                <w:p w14:paraId="6F86C52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不需设置</w:t>
                  </w:r>
                </w:p>
              </w:tc>
            </w:tr>
            <w:tr w14:paraId="2EED00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4" w:hRule="atLeast"/>
              </w:trPr>
              <w:tc>
                <w:tcPr>
                  <w:tcW w:w="696" w:type="pct"/>
                  <w:tcBorders>
                    <w:tl2br w:val="nil"/>
                    <w:tr2bl w:val="nil"/>
                  </w:tcBorders>
                  <w:noWrap w:val="0"/>
                  <w:vAlign w:val="center"/>
                </w:tcPr>
                <w:p w14:paraId="2C5829E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环境风险</w:t>
                  </w:r>
                </w:p>
              </w:tc>
              <w:tc>
                <w:tcPr>
                  <w:tcW w:w="1849" w:type="pct"/>
                  <w:tcBorders>
                    <w:tl2br w:val="nil"/>
                    <w:tr2bl w:val="nil"/>
                  </w:tcBorders>
                  <w:noWrap w:val="0"/>
                  <w:vAlign w:val="center"/>
                </w:tcPr>
                <w:p w14:paraId="2D28FD4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有毒有害和易燃易爆危险物质存储量超过临界量的建设项目</w:t>
                  </w:r>
                </w:p>
              </w:tc>
              <w:tc>
                <w:tcPr>
                  <w:tcW w:w="1689" w:type="pct"/>
                  <w:tcBorders>
                    <w:tl2br w:val="nil"/>
                    <w:tr2bl w:val="nil"/>
                  </w:tcBorders>
                  <w:noWrap w:val="0"/>
                  <w:vAlign w:val="center"/>
                </w:tcPr>
                <w:p w14:paraId="3C0D572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default" w:eastAsia="宋体" w:cs="宋体"/>
                      <w:color w:val="auto"/>
                      <w:sz w:val="21"/>
                      <w:szCs w:val="21"/>
                      <w:highlight w:val="none"/>
                      <w:lang w:val="en-US" w:eastAsia="zh-CN"/>
                    </w:rPr>
                  </w:pPr>
                  <w:r>
                    <w:rPr>
                      <w:rFonts w:hint="eastAsia" w:cs="宋体"/>
                      <w:color w:val="auto"/>
                      <w:kern w:val="0"/>
                      <w:sz w:val="21"/>
                      <w:szCs w:val="21"/>
                      <w:highlight w:val="none"/>
                      <w:lang w:val="en-US" w:eastAsia="zh-CN" w:bidi="ar"/>
                    </w:rPr>
                    <w:t>本项目不使用和存储有毒有害和易燃易爆危险物质</w:t>
                  </w:r>
                </w:p>
              </w:tc>
              <w:tc>
                <w:tcPr>
                  <w:tcW w:w="764" w:type="pct"/>
                  <w:tcBorders>
                    <w:tl2br w:val="nil"/>
                    <w:tr2bl w:val="nil"/>
                  </w:tcBorders>
                  <w:noWrap w:val="0"/>
                  <w:vAlign w:val="center"/>
                </w:tcPr>
                <w:p w14:paraId="5695517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不需设置</w:t>
                  </w:r>
                </w:p>
              </w:tc>
            </w:tr>
            <w:tr w14:paraId="24113E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6" w:hRule="atLeast"/>
              </w:trPr>
              <w:tc>
                <w:tcPr>
                  <w:tcW w:w="696" w:type="pct"/>
                  <w:tcBorders>
                    <w:tl2br w:val="nil"/>
                    <w:tr2bl w:val="nil"/>
                  </w:tcBorders>
                  <w:noWrap w:val="0"/>
                  <w:vAlign w:val="center"/>
                </w:tcPr>
                <w:p w14:paraId="63869FB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生态</w:t>
                  </w:r>
                </w:p>
              </w:tc>
              <w:tc>
                <w:tcPr>
                  <w:tcW w:w="1849" w:type="pct"/>
                  <w:tcBorders>
                    <w:tl2br w:val="nil"/>
                    <w:tr2bl w:val="nil"/>
                  </w:tcBorders>
                  <w:noWrap w:val="0"/>
                  <w:vAlign w:val="center"/>
                </w:tcPr>
                <w:p w14:paraId="5AE20F9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取水口下游500米范围内有重要水生生物的自然产卵场、索饵场、越冬场和洄游通道的新增河道取水的污染类建设项目</w:t>
                  </w:r>
                </w:p>
              </w:tc>
              <w:tc>
                <w:tcPr>
                  <w:tcW w:w="1689" w:type="pct"/>
                  <w:tcBorders>
                    <w:tl2br w:val="nil"/>
                    <w:tr2bl w:val="nil"/>
                  </w:tcBorders>
                  <w:noWrap w:val="0"/>
                  <w:vAlign w:val="center"/>
                </w:tcPr>
                <w:p w14:paraId="6C51F45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本项目不涉及直接从河道取水</w:t>
                  </w:r>
                </w:p>
              </w:tc>
              <w:tc>
                <w:tcPr>
                  <w:tcW w:w="764" w:type="pct"/>
                  <w:tcBorders>
                    <w:tl2br w:val="nil"/>
                    <w:tr2bl w:val="nil"/>
                  </w:tcBorders>
                  <w:noWrap w:val="0"/>
                  <w:vAlign w:val="center"/>
                </w:tcPr>
                <w:p w14:paraId="5AA3DE9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不需设置</w:t>
                  </w:r>
                </w:p>
              </w:tc>
            </w:tr>
            <w:tr w14:paraId="2553BF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96" w:type="pct"/>
                  <w:tcBorders>
                    <w:tl2br w:val="nil"/>
                    <w:tr2bl w:val="nil"/>
                  </w:tcBorders>
                  <w:noWrap w:val="0"/>
                  <w:vAlign w:val="center"/>
                </w:tcPr>
                <w:p w14:paraId="13BA67D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海洋</w:t>
                  </w:r>
                </w:p>
              </w:tc>
              <w:tc>
                <w:tcPr>
                  <w:tcW w:w="1849" w:type="pct"/>
                  <w:tcBorders>
                    <w:tl2br w:val="nil"/>
                    <w:tr2bl w:val="nil"/>
                  </w:tcBorders>
                  <w:noWrap w:val="0"/>
                  <w:vAlign w:val="center"/>
                </w:tcPr>
                <w:p w14:paraId="6FD23A0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直接向海排放污染物的海洋工程建设项目</w:t>
                  </w:r>
                </w:p>
              </w:tc>
              <w:tc>
                <w:tcPr>
                  <w:tcW w:w="1689" w:type="pct"/>
                  <w:tcBorders>
                    <w:tl2br w:val="nil"/>
                    <w:tr2bl w:val="nil"/>
                  </w:tcBorders>
                  <w:noWrap w:val="0"/>
                  <w:vAlign w:val="center"/>
                </w:tcPr>
                <w:p w14:paraId="752E7AB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本项目不涉及直接向海排放污染物</w:t>
                  </w:r>
                </w:p>
              </w:tc>
              <w:tc>
                <w:tcPr>
                  <w:tcW w:w="764" w:type="pct"/>
                  <w:tcBorders>
                    <w:tl2br w:val="nil"/>
                    <w:tr2bl w:val="nil"/>
                  </w:tcBorders>
                  <w:noWrap w:val="0"/>
                  <w:vAlign w:val="center"/>
                </w:tcPr>
                <w:p w14:paraId="632C1A9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z w:val="21"/>
                      <w:szCs w:val="21"/>
                      <w:highlight w:val="none"/>
                    </w:rPr>
                  </w:pPr>
                  <w:r>
                    <w:rPr>
                      <w:rFonts w:hint="eastAsia" w:cs="宋体"/>
                      <w:color w:val="auto"/>
                      <w:kern w:val="0"/>
                      <w:sz w:val="21"/>
                      <w:szCs w:val="21"/>
                      <w:highlight w:val="none"/>
                      <w:lang w:bidi="ar"/>
                    </w:rPr>
                    <w:t>不需设置</w:t>
                  </w:r>
                </w:p>
              </w:tc>
            </w:tr>
          </w:tbl>
          <w:p w14:paraId="208503D1">
            <w:pPr>
              <w:spacing w:line="240" w:lineRule="auto"/>
              <w:ind w:firstLine="0" w:firstLineChars="0"/>
              <w:jc w:val="center"/>
              <w:rPr>
                <w:rFonts w:hint="eastAsia" w:ascii="宋体" w:hAnsi="宋体" w:eastAsia="宋体" w:cs="宋体"/>
                <w:color w:val="auto"/>
                <w:spacing w:val="0"/>
                <w:kern w:val="0"/>
                <w:sz w:val="24"/>
                <w:szCs w:val="24"/>
                <w:highlight w:val="none"/>
              </w:rPr>
            </w:pPr>
            <w:r>
              <w:rPr>
                <w:rFonts w:hint="eastAsia" w:cs="宋体"/>
                <w:color w:val="auto"/>
                <w:kern w:val="0"/>
                <w:sz w:val="24"/>
                <w:highlight w:val="none"/>
                <w:lang w:bidi="ar"/>
              </w:rPr>
              <w:t>根据上表分析可知，本项目无需开展专项评价工作。</w:t>
            </w:r>
          </w:p>
        </w:tc>
      </w:tr>
      <w:tr w14:paraId="71B00C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exact"/>
          <w:jc w:val="center"/>
        </w:trPr>
        <w:tc>
          <w:tcPr>
            <w:tcW w:w="704" w:type="dxa"/>
            <w:noWrap w:val="0"/>
            <w:vAlign w:val="center"/>
          </w:tcPr>
          <w:p w14:paraId="2B16AA68">
            <w:pPr>
              <w:spacing w:line="240" w:lineRule="auto"/>
              <w:ind w:firstLine="0" w:firstLineChars="0"/>
              <w:jc w:val="center"/>
              <w:rPr>
                <w:rFonts w:hint="eastAsia" w:ascii="宋体" w:hAnsi="宋体" w:eastAsia="宋体" w:cs="宋体"/>
                <w:color w:val="auto"/>
                <w:spacing w:val="0"/>
                <w:kern w:val="0"/>
                <w:sz w:val="24"/>
                <w:szCs w:val="24"/>
                <w:highlight w:val="none"/>
              </w:rPr>
            </w:pPr>
            <w:r>
              <w:rPr>
                <w:rFonts w:hint="eastAsia" w:ascii="宋体" w:hAnsi="宋体" w:eastAsia="宋体" w:cs="宋体"/>
                <w:color w:val="auto"/>
                <w:spacing w:val="0"/>
                <w:sz w:val="24"/>
                <w:szCs w:val="24"/>
                <w:highlight w:val="none"/>
              </w:rPr>
              <w:t>规划情况</w:t>
            </w:r>
          </w:p>
        </w:tc>
        <w:tc>
          <w:tcPr>
            <w:tcW w:w="7772" w:type="dxa"/>
            <w:gridSpan w:val="4"/>
            <w:noWrap w:val="0"/>
            <w:vAlign w:val="center"/>
          </w:tcPr>
          <w:p w14:paraId="5A42651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color w:val="auto"/>
                <w:highlight w:val="none"/>
                <w:lang w:val="en-US" w:eastAsia="zh-CN"/>
              </w:rPr>
            </w:pPr>
            <w:r>
              <w:rPr>
                <w:rFonts w:hint="default" w:ascii="Times New Roman" w:hAnsi="Times New Roman" w:eastAsia="宋体" w:cs="Times New Roman"/>
                <w:b w:val="0"/>
                <w:bCs w:val="0"/>
                <w:color w:val="auto"/>
                <w:sz w:val="24"/>
                <w:highlight w:val="none"/>
              </w:rPr>
              <w:t>《</w:t>
            </w:r>
            <w:r>
              <w:rPr>
                <w:rFonts w:hint="eastAsia" w:ascii="Times New Roman" w:hAnsi="Times New Roman" w:eastAsia="宋体" w:cs="Times New Roman"/>
                <w:b w:val="0"/>
                <w:bCs w:val="0"/>
                <w:color w:val="auto"/>
                <w:sz w:val="24"/>
                <w:highlight w:val="none"/>
                <w:lang w:eastAsia="zh-CN"/>
              </w:rPr>
              <w:t>黑龙江</w:t>
            </w:r>
            <w:r>
              <w:rPr>
                <w:rFonts w:hint="eastAsia" w:ascii="Times New Roman" w:hAnsi="Times New Roman" w:eastAsia="宋体" w:cs="Times New Roman"/>
                <w:b w:val="0"/>
                <w:bCs w:val="0"/>
                <w:color w:val="auto"/>
                <w:sz w:val="24"/>
                <w:highlight w:val="none"/>
              </w:rPr>
              <w:t>鸡西经济开发区</w:t>
            </w:r>
            <w:r>
              <w:rPr>
                <w:rFonts w:hint="eastAsia" w:ascii="Times New Roman" w:hAnsi="Times New Roman" w:eastAsia="宋体" w:cs="Times New Roman"/>
                <w:b w:val="0"/>
                <w:bCs w:val="0"/>
                <w:color w:val="auto"/>
                <w:sz w:val="24"/>
                <w:highlight w:val="none"/>
                <w:lang w:eastAsia="zh-CN"/>
              </w:rPr>
              <w:t>（</w:t>
            </w:r>
            <w:r>
              <w:rPr>
                <w:rFonts w:hint="eastAsia" w:ascii="Times New Roman" w:hAnsi="Times New Roman" w:eastAsia="宋体" w:cs="Times New Roman"/>
                <w:b w:val="0"/>
                <w:bCs w:val="0"/>
                <w:color w:val="auto"/>
                <w:sz w:val="24"/>
                <w:highlight w:val="none"/>
              </w:rPr>
              <w:t>梨树工业谷</w:t>
            </w:r>
            <w:r>
              <w:rPr>
                <w:rFonts w:hint="eastAsia" w:ascii="Times New Roman" w:hAnsi="Times New Roman" w:eastAsia="宋体" w:cs="Times New Roman"/>
                <w:b w:val="0"/>
                <w:bCs w:val="0"/>
                <w:color w:val="auto"/>
                <w:sz w:val="24"/>
                <w:highlight w:val="none"/>
                <w:lang w:eastAsia="zh-CN"/>
              </w:rPr>
              <w:t>）</w:t>
            </w:r>
            <w:r>
              <w:rPr>
                <w:rFonts w:hint="eastAsia" w:ascii="Times New Roman" w:hAnsi="Times New Roman" w:eastAsia="宋体" w:cs="Times New Roman"/>
                <w:b w:val="0"/>
                <w:bCs w:val="0"/>
                <w:color w:val="auto"/>
                <w:sz w:val="24"/>
                <w:highlight w:val="none"/>
              </w:rPr>
              <w:t>总体规划</w:t>
            </w:r>
            <w:r>
              <w:rPr>
                <w:rFonts w:hint="eastAsia" w:ascii="Times New Roman" w:hAnsi="Times New Roman" w:eastAsia="宋体" w:cs="Times New Roman"/>
                <w:b w:val="0"/>
                <w:bCs w:val="0"/>
                <w:color w:val="auto"/>
                <w:sz w:val="24"/>
                <w:highlight w:val="none"/>
                <w:lang w:eastAsia="zh-CN"/>
              </w:rPr>
              <w:t>（</w:t>
            </w:r>
            <w:r>
              <w:rPr>
                <w:rFonts w:hint="eastAsia" w:ascii="Times New Roman" w:hAnsi="Times New Roman" w:eastAsia="宋体" w:cs="Times New Roman"/>
                <w:b w:val="0"/>
                <w:bCs w:val="0"/>
                <w:color w:val="auto"/>
                <w:sz w:val="24"/>
                <w:highlight w:val="none"/>
                <w:lang w:val="en-US" w:eastAsia="zh-CN"/>
              </w:rPr>
              <w:t>2018-2030</w:t>
            </w:r>
            <w:r>
              <w:rPr>
                <w:rFonts w:hint="eastAsia" w:ascii="Times New Roman" w:hAnsi="Times New Roman" w:eastAsia="宋体" w:cs="Times New Roman"/>
                <w:b w:val="0"/>
                <w:bCs w:val="0"/>
                <w:color w:val="auto"/>
                <w:sz w:val="24"/>
                <w:highlight w:val="none"/>
                <w:lang w:eastAsia="zh-CN"/>
              </w:rPr>
              <w:t>）</w:t>
            </w:r>
            <w:r>
              <w:rPr>
                <w:rFonts w:hint="default" w:ascii="Times New Roman" w:hAnsi="Times New Roman" w:eastAsia="宋体" w:cs="Times New Roman"/>
                <w:b w:val="0"/>
                <w:bCs w:val="0"/>
                <w:color w:val="auto"/>
                <w:sz w:val="24"/>
                <w:highlight w:val="none"/>
              </w:rPr>
              <w:t>》</w:t>
            </w:r>
          </w:p>
        </w:tc>
      </w:tr>
      <w:tr w14:paraId="41B103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693" w:hRule="atLeast"/>
          <w:jc w:val="center"/>
        </w:trPr>
        <w:tc>
          <w:tcPr>
            <w:tcW w:w="704" w:type="dxa"/>
            <w:noWrap w:val="0"/>
            <w:vAlign w:val="center"/>
          </w:tcPr>
          <w:p w14:paraId="1B95AB7E">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规划环境影响</w:t>
            </w:r>
          </w:p>
          <w:p w14:paraId="40675964">
            <w:pPr>
              <w:spacing w:line="240" w:lineRule="auto"/>
              <w:ind w:firstLine="0" w:firstLineChars="0"/>
              <w:jc w:val="center"/>
              <w:rPr>
                <w:rFonts w:hint="eastAsia" w:ascii="宋体" w:hAnsi="宋体" w:eastAsia="宋体" w:cs="宋体"/>
                <w:color w:val="auto"/>
                <w:spacing w:val="0"/>
                <w:kern w:val="0"/>
                <w:sz w:val="24"/>
                <w:szCs w:val="24"/>
                <w:highlight w:val="none"/>
              </w:rPr>
            </w:pPr>
            <w:r>
              <w:rPr>
                <w:rFonts w:hint="eastAsia" w:ascii="宋体" w:hAnsi="宋体" w:eastAsia="宋体" w:cs="宋体"/>
                <w:color w:val="auto"/>
                <w:spacing w:val="0"/>
                <w:sz w:val="24"/>
                <w:szCs w:val="24"/>
                <w:highlight w:val="none"/>
              </w:rPr>
              <w:t>评价情况</w:t>
            </w:r>
          </w:p>
        </w:tc>
        <w:tc>
          <w:tcPr>
            <w:tcW w:w="7772" w:type="dxa"/>
            <w:gridSpan w:val="4"/>
            <w:noWrap w:val="0"/>
            <w:vAlign w:val="center"/>
          </w:tcPr>
          <w:p w14:paraId="2355375E">
            <w:pPr>
              <w:autoSpaceDE w:val="0"/>
              <w:autoSpaceDN w:val="0"/>
              <w:adjustRightInd w:val="0"/>
              <w:snapToGrid w:val="0"/>
              <w:spacing w:line="360" w:lineRule="auto"/>
              <w:ind w:firstLine="480" w:firstLineChars="200"/>
              <w:rPr>
                <w:rFonts w:hint="eastAsia" w:ascii="宋体" w:hAnsi="宋体" w:eastAsia="宋体" w:cs="宋体"/>
                <w:color w:val="auto"/>
                <w:spacing w:val="0"/>
                <w:kern w:val="0"/>
                <w:sz w:val="24"/>
                <w:highlight w:val="none"/>
              </w:rPr>
            </w:pPr>
            <w:r>
              <w:rPr>
                <w:rFonts w:hint="eastAsia" w:ascii="宋体" w:hAnsi="宋体" w:eastAsia="宋体" w:cs="宋体"/>
                <w:color w:val="auto"/>
                <w:spacing w:val="0"/>
                <w:kern w:val="0"/>
                <w:sz w:val="24"/>
                <w:highlight w:val="none"/>
              </w:rPr>
              <w:t>规划环评文件：</w:t>
            </w:r>
            <w:r>
              <w:rPr>
                <w:rFonts w:ascii="Times New Roman" w:hAnsi="Times New Roman"/>
                <w:color w:val="auto"/>
                <w:kern w:val="0"/>
                <w:sz w:val="24"/>
                <w:highlight w:val="none"/>
              </w:rPr>
              <w:t>《黑龙江鸡西经济开发区（梨树工业谷）总体规划（2018-2030）环境影响报告书》</w:t>
            </w:r>
            <w:r>
              <w:rPr>
                <w:rFonts w:hint="eastAsia" w:ascii="宋体" w:hAnsi="宋体" w:eastAsia="宋体" w:cs="宋体"/>
                <w:color w:val="auto"/>
                <w:spacing w:val="0"/>
                <w:kern w:val="0"/>
                <w:sz w:val="24"/>
                <w:highlight w:val="none"/>
              </w:rPr>
              <w:t>；</w:t>
            </w:r>
          </w:p>
          <w:p w14:paraId="244EE214">
            <w:pPr>
              <w:autoSpaceDE w:val="0"/>
              <w:autoSpaceDN w:val="0"/>
              <w:adjustRightInd w:val="0"/>
              <w:snapToGrid w:val="0"/>
              <w:spacing w:line="360" w:lineRule="auto"/>
              <w:ind w:firstLine="480" w:firstLineChars="200"/>
              <w:rPr>
                <w:rFonts w:hint="eastAsia" w:ascii="宋体" w:hAnsi="宋体" w:eastAsia="宋体" w:cs="宋体"/>
                <w:color w:val="auto"/>
                <w:spacing w:val="0"/>
                <w:kern w:val="0"/>
                <w:sz w:val="24"/>
                <w:highlight w:val="none"/>
              </w:rPr>
            </w:pPr>
            <w:r>
              <w:rPr>
                <w:rFonts w:hint="eastAsia" w:ascii="宋体" w:hAnsi="宋体" w:eastAsia="宋体" w:cs="宋体"/>
                <w:color w:val="auto"/>
                <w:spacing w:val="0"/>
                <w:kern w:val="0"/>
                <w:sz w:val="24"/>
                <w:highlight w:val="none"/>
              </w:rPr>
              <w:t>审</w:t>
            </w:r>
            <w:r>
              <w:rPr>
                <w:rFonts w:hint="eastAsia" w:ascii="宋体" w:hAnsi="宋体" w:eastAsia="宋体" w:cs="宋体"/>
                <w:color w:val="auto"/>
                <w:spacing w:val="0"/>
                <w:kern w:val="0"/>
                <w:sz w:val="24"/>
                <w:highlight w:val="none"/>
                <w:lang w:val="en-US" w:eastAsia="zh-CN"/>
              </w:rPr>
              <w:t>查</w:t>
            </w:r>
            <w:r>
              <w:rPr>
                <w:rFonts w:hint="eastAsia" w:ascii="宋体" w:hAnsi="宋体" w:eastAsia="宋体" w:cs="宋体"/>
                <w:color w:val="auto"/>
                <w:spacing w:val="0"/>
                <w:kern w:val="0"/>
                <w:sz w:val="24"/>
                <w:highlight w:val="none"/>
              </w:rPr>
              <w:t>机关：</w:t>
            </w:r>
            <w:r>
              <w:rPr>
                <w:rFonts w:hint="eastAsia" w:ascii="Times New Roman" w:hAnsi="Times New Roman"/>
                <w:color w:val="auto"/>
                <w:kern w:val="0"/>
                <w:sz w:val="24"/>
                <w:highlight w:val="none"/>
              </w:rPr>
              <w:t>黑龙江省生态环境厅</w:t>
            </w:r>
            <w:r>
              <w:rPr>
                <w:rFonts w:hint="eastAsia" w:ascii="宋体" w:hAnsi="宋体" w:eastAsia="宋体" w:cs="宋体"/>
                <w:color w:val="auto"/>
                <w:spacing w:val="0"/>
                <w:kern w:val="0"/>
                <w:sz w:val="24"/>
                <w:highlight w:val="none"/>
              </w:rPr>
              <w:t>；</w:t>
            </w:r>
          </w:p>
          <w:p w14:paraId="48CBD277">
            <w:pPr>
              <w:autoSpaceDE w:val="0"/>
              <w:autoSpaceDN w:val="0"/>
              <w:adjustRightInd w:val="0"/>
              <w:snapToGrid w:val="0"/>
              <w:spacing w:line="360" w:lineRule="auto"/>
              <w:ind w:firstLine="480" w:firstLineChars="200"/>
              <w:rPr>
                <w:rFonts w:hint="eastAsia" w:ascii="宋体" w:hAnsi="宋体" w:eastAsia="宋体" w:cs="宋体"/>
                <w:color w:val="auto"/>
                <w:spacing w:val="0"/>
                <w:kern w:val="0"/>
                <w:sz w:val="24"/>
                <w:highlight w:val="none"/>
              </w:rPr>
            </w:pPr>
            <w:r>
              <w:rPr>
                <w:rFonts w:hint="eastAsia" w:ascii="宋体" w:hAnsi="宋体" w:eastAsia="宋体" w:cs="宋体"/>
                <w:color w:val="auto"/>
                <w:spacing w:val="0"/>
                <w:kern w:val="0"/>
                <w:sz w:val="24"/>
                <w:highlight w:val="none"/>
              </w:rPr>
              <w:t>审批文件名称：</w:t>
            </w:r>
            <w:r>
              <w:rPr>
                <w:rFonts w:hint="eastAsia" w:ascii="Times New Roman" w:hAnsi="Times New Roman" w:eastAsia="宋体" w:cs="Times New Roman"/>
                <w:color w:val="auto"/>
                <w:sz w:val="24"/>
                <w:highlight w:val="none"/>
                <w:lang w:val="en-US" w:eastAsia="zh-CN"/>
              </w:rPr>
              <w:t>《关于黑龙江鸡西经济开发区（梨树工业谷）总体规划（</w:t>
            </w:r>
            <w:r>
              <w:rPr>
                <w:rFonts w:hint="default" w:ascii="Times New Roman" w:hAnsi="Times New Roman" w:eastAsia="宋体" w:cs="Times New Roman"/>
                <w:color w:val="auto"/>
                <w:sz w:val="24"/>
                <w:highlight w:val="none"/>
                <w:lang w:val="en-US" w:eastAsia="zh-CN"/>
              </w:rPr>
              <w:t>2018-2030</w:t>
            </w:r>
            <w:r>
              <w:rPr>
                <w:rFonts w:hint="eastAsia" w:ascii="Times New Roman" w:hAnsi="Times New Roman" w:eastAsia="宋体" w:cs="Times New Roman"/>
                <w:color w:val="auto"/>
                <w:sz w:val="24"/>
                <w:highlight w:val="none"/>
                <w:lang w:val="en-US" w:eastAsia="zh-CN"/>
              </w:rPr>
              <w:t>）环境影响报告书的审查意见》</w:t>
            </w:r>
            <w:r>
              <w:rPr>
                <w:rFonts w:hint="eastAsia" w:ascii="宋体" w:hAnsi="宋体" w:eastAsia="宋体" w:cs="宋体"/>
                <w:color w:val="auto"/>
                <w:spacing w:val="0"/>
                <w:kern w:val="0"/>
                <w:sz w:val="24"/>
                <w:highlight w:val="none"/>
              </w:rPr>
              <w:t>；</w:t>
            </w:r>
          </w:p>
          <w:p w14:paraId="39CAF5A0">
            <w:pPr>
              <w:keepNext w:val="0"/>
              <w:keepLines w:val="0"/>
              <w:pageBreakBefore w:val="0"/>
              <w:widowControl w:val="0"/>
              <w:kinsoku/>
              <w:wordWrap/>
              <w:overflowPunct/>
              <w:topLinePunct w:val="0"/>
              <w:autoSpaceDE w:val="0"/>
              <w:autoSpaceDN w:val="0"/>
              <w:bidi w:val="0"/>
              <w:adjustRightInd w:val="0"/>
              <w:snapToGrid w:val="0"/>
              <w:spacing w:line="240" w:lineRule="auto"/>
              <w:ind w:firstLine="480" w:firstLineChars="200"/>
              <w:jc w:val="both"/>
              <w:textAlignment w:val="auto"/>
              <w:rPr>
                <w:rFonts w:hint="default" w:ascii="宋体" w:hAnsi="宋体" w:eastAsia="宋体" w:cs="宋体"/>
                <w:color w:val="auto"/>
                <w:spacing w:val="0"/>
                <w:kern w:val="0"/>
                <w:sz w:val="24"/>
                <w:szCs w:val="24"/>
                <w:highlight w:val="none"/>
                <w:lang w:val="en-US" w:eastAsia="zh-CN"/>
              </w:rPr>
            </w:pPr>
            <w:r>
              <w:rPr>
                <w:rFonts w:hint="eastAsia" w:ascii="宋体" w:hAnsi="宋体" w:eastAsia="宋体" w:cs="宋体"/>
                <w:color w:val="auto"/>
                <w:spacing w:val="0"/>
                <w:kern w:val="0"/>
                <w:sz w:val="24"/>
                <w:highlight w:val="none"/>
              </w:rPr>
              <w:t>文号：</w:t>
            </w:r>
            <w:r>
              <w:rPr>
                <w:rFonts w:ascii="Times New Roman" w:hAnsi="Times New Roman"/>
                <w:color w:val="auto"/>
                <w:kern w:val="0"/>
                <w:sz w:val="24"/>
                <w:highlight w:val="none"/>
              </w:rPr>
              <w:t>黑环函〔2022〕94号</w:t>
            </w:r>
          </w:p>
        </w:tc>
      </w:tr>
      <w:tr w14:paraId="3E79AA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850" w:hRule="atLeast"/>
          <w:jc w:val="center"/>
        </w:trPr>
        <w:tc>
          <w:tcPr>
            <w:tcW w:w="704" w:type="dxa"/>
            <w:noWrap w:val="0"/>
            <w:vAlign w:val="center"/>
          </w:tcPr>
          <w:p w14:paraId="08C82273">
            <w:pPr>
              <w:spacing w:line="240" w:lineRule="auto"/>
              <w:ind w:firstLine="0" w:firstLineChars="0"/>
              <w:jc w:val="center"/>
              <w:rPr>
                <w:rFonts w:hint="eastAsia" w:ascii="宋体" w:hAnsi="宋体" w:eastAsia="宋体" w:cs="宋体"/>
                <w:color w:val="auto"/>
                <w:spacing w:val="0"/>
                <w:kern w:val="0"/>
                <w:sz w:val="24"/>
                <w:szCs w:val="24"/>
                <w:highlight w:val="none"/>
              </w:rPr>
            </w:pPr>
            <w:r>
              <w:rPr>
                <w:rFonts w:hint="eastAsia" w:ascii="宋体" w:hAnsi="宋体" w:eastAsia="宋体" w:cs="宋体"/>
                <w:color w:val="auto"/>
                <w:spacing w:val="0"/>
                <w:kern w:val="0"/>
                <w:sz w:val="24"/>
                <w:szCs w:val="24"/>
                <w:highlight w:val="none"/>
              </w:rPr>
              <w:t>规划及规划环境影响评价符合性分析</w:t>
            </w:r>
          </w:p>
        </w:tc>
        <w:tc>
          <w:tcPr>
            <w:tcW w:w="7772" w:type="dxa"/>
            <w:gridSpan w:val="4"/>
            <w:noWrap w:val="0"/>
            <w:vAlign w:val="center"/>
          </w:tcPr>
          <w:p w14:paraId="23137638">
            <w:pPr>
              <w:keepNext w:val="0"/>
              <w:keepLines w:val="0"/>
              <w:pageBreakBefore w:val="0"/>
              <w:kinsoku/>
              <w:wordWrap/>
              <w:overflowPunct/>
              <w:topLinePunct w:val="0"/>
              <w:autoSpaceDE/>
              <w:autoSpaceDN/>
              <w:bidi w:val="0"/>
              <w:spacing w:line="360" w:lineRule="auto"/>
              <w:ind w:firstLine="482" w:firstLineChars="200"/>
              <w:jc w:val="left"/>
              <w:textAlignment w:val="auto"/>
              <w:rPr>
                <w:rFonts w:ascii="Times New Roman" w:hAnsi="Times New Roman"/>
                <w:b/>
                <w:bCs/>
                <w:color w:val="auto"/>
                <w:kern w:val="21"/>
                <w:sz w:val="24"/>
                <w:szCs w:val="21"/>
                <w:highlight w:val="none"/>
              </w:rPr>
            </w:pPr>
            <w:r>
              <w:rPr>
                <w:rFonts w:ascii="Times New Roman" w:hAnsi="Times New Roman"/>
                <w:b/>
                <w:bCs/>
                <w:color w:val="auto"/>
                <w:kern w:val="21"/>
                <w:sz w:val="24"/>
                <w:szCs w:val="21"/>
                <w:highlight w:val="none"/>
              </w:rPr>
              <w:t>一、与《鸡西经济开发区梨树工业谷总体规划（2018～2030）》符合性分析</w:t>
            </w:r>
          </w:p>
          <w:p w14:paraId="06548FCE">
            <w:pPr>
              <w:keepNext w:val="0"/>
              <w:keepLines w:val="0"/>
              <w:pageBreakBefore w:val="0"/>
              <w:widowControl/>
              <w:kinsoku/>
              <w:wordWrap/>
              <w:overflowPunct/>
              <w:topLinePunct w:val="0"/>
              <w:autoSpaceDE/>
              <w:autoSpaceDN/>
              <w:bidi w:val="0"/>
              <w:spacing w:line="360" w:lineRule="auto"/>
              <w:ind w:firstLine="482" w:firstLineChars="200"/>
              <w:jc w:val="left"/>
              <w:textAlignment w:val="auto"/>
              <w:rPr>
                <w:rFonts w:ascii="Times New Roman" w:hAnsi="Times New Roman"/>
                <w:b/>
                <w:bCs/>
                <w:color w:val="auto"/>
                <w:sz w:val="24"/>
                <w:highlight w:val="none"/>
              </w:rPr>
            </w:pPr>
            <w:r>
              <w:rPr>
                <w:rFonts w:ascii="Times New Roman" w:hAnsi="Times New Roman"/>
                <w:b/>
                <w:bCs/>
                <w:color w:val="auto"/>
                <w:sz w:val="24"/>
                <w:highlight w:val="none"/>
              </w:rPr>
              <w:t>（一）规划内容</w:t>
            </w:r>
          </w:p>
          <w:p w14:paraId="045192B7">
            <w:pPr>
              <w:keepNext w:val="0"/>
              <w:keepLines w:val="0"/>
              <w:pageBreakBefore w:val="0"/>
              <w:widowControl/>
              <w:kinsoku/>
              <w:wordWrap/>
              <w:overflowPunct/>
              <w:topLinePunct w:val="0"/>
              <w:autoSpaceDE/>
              <w:autoSpaceDN/>
              <w:bidi w:val="0"/>
              <w:spacing w:line="360" w:lineRule="auto"/>
              <w:ind w:firstLine="480" w:firstLineChars="200"/>
              <w:jc w:val="left"/>
              <w:textAlignment w:val="auto"/>
              <w:rPr>
                <w:rFonts w:ascii="Times New Roman" w:hAnsi="Times New Roman"/>
                <w:color w:val="auto"/>
                <w:kern w:val="0"/>
                <w:sz w:val="24"/>
                <w:highlight w:val="none"/>
              </w:rPr>
            </w:pPr>
            <w:r>
              <w:rPr>
                <w:rFonts w:ascii="Times New Roman" w:hAnsi="Times New Roman"/>
                <w:color w:val="auto"/>
                <w:kern w:val="0"/>
                <w:sz w:val="24"/>
                <w:highlight w:val="none"/>
              </w:rPr>
              <w:t>1.范围与规模</w:t>
            </w:r>
          </w:p>
          <w:p w14:paraId="1E051A6E">
            <w:pPr>
              <w:keepNext w:val="0"/>
              <w:keepLines w:val="0"/>
              <w:pageBreakBefore w:val="0"/>
              <w:kinsoku/>
              <w:wordWrap/>
              <w:overflowPunct/>
              <w:topLinePunct w:val="0"/>
              <w:autoSpaceDE/>
              <w:autoSpaceDN/>
              <w:bidi w:val="0"/>
              <w:spacing w:line="360" w:lineRule="auto"/>
              <w:ind w:firstLine="480" w:firstLineChars="200"/>
              <w:textAlignment w:val="auto"/>
              <w:rPr>
                <w:rFonts w:ascii="Times New Roman" w:hAnsi="Times New Roman"/>
                <w:color w:val="auto"/>
                <w:highlight w:val="none"/>
              </w:rPr>
            </w:pPr>
            <w:r>
              <w:rPr>
                <w:rFonts w:ascii="Times New Roman" w:hAnsi="Times New Roman"/>
                <w:color w:val="auto"/>
                <w:kern w:val="0"/>
                <w:sz w:val="24"/>
                <w:highlight w:val="none"/>
              </w:rPr>
              <w:t>根据《鸡西经济开发区梨树工业谷总体规划（2018～2030）》，梨树工业谷的规划区主要以碱厂街道、碱厂煤矿、河口村等构成。规划区范围由北至白云灰农场，南至河口村村委会所在地南侧边界，东至河口村村委会所在地、碱厂煤矿东侧边界，西至碱厂煤矿西侧边界的范围围合而成，规划总用地面积为</w:t>
            </w:r>
            <w:r>
              <w:rPr>
                <w:rFonts w:hint="default" w:ascii="Times New Roman" w:hAnsi="Times New Roman" w:eastAsia="宋体" w:cs="Times New Roman"/>
                <w:color w:val="auto"/>
                <w:kern w:val="0"/>
                <w:sz w:val="24"/>
                <w:highlight w:val="none"/>
              </w:rPr>
              <w:t>4.72km</w:t>
            </w:r>
            <w:r>
              <w:rPr>
                <w:rFonts w:hint="default" w:ascii="Times New Roman" w:hAnsi="Times New Roman" w:eastAsia="宋体" w:cs="Times New Roman"/>
                <w:color w:val="auto"/>
                <w:kern w:val="0"/>
                <w:sz w:val="24"/>
                <w:highlight w:val="none"/>
                <w:vertAlign w:val="superscript"/>
              </w:rPr>
              <w:t>2</w:t>
            </w:r>
            <w:r>
              <w:rPr>
                <w:rFonts w:ascii="Times New Roman" w:hAnsi="Times New Roman"/>
                <w:color w:val="auto"/>
                <w:kern w:val="0"/>
                <w:sz w:val="24"/>
                <w:highlight w:val="none"/>
              </w:rPr>
              <w:t>。</w:t>
            </w:r>
          </w:p>
          <w:p w14:paraId="220E0C8C">
            <w:pPr>
              <w:keepNext w:val="0"/>
              <w:keepLines w:val="0"/>
              <w:pageBreakBefore w:val="0"/>
              <w:kinsoku/>
              <w:wordWrap/>
              <w:overflowPunct/>
              <w:topLinePunct w:val="0"/>
              <w:autoSpaceDE/>
              <w:autoSpaceDN/>
              <w:bidi w:val="0"/>
              <w:spacing w:line="360" w:lineRule="auto"/>
              <w:ind w:firstLine="480" w:firstLineChars="200"/>
              <w:jc w:val="left"/>
              <w:textAlignment w:val="auto"/>
              <w:rPr>
                <w:rFonts w:ascii="Times New Roman" w:hAnsi="Times New Roman"/>
                <w:color w:val="auto"/>
                <w:sz w:val="24"/>
                <w:highlight w:val="none"/>
              </w:rPr>
            </w:pPr>
            <w:r>
              <w:rPr>
                <w:rFonts w:ascii="Times New Roman" w:hAnsi="Times New Roman"/>
                <w:color w:val="auto"/>
                <w:sz w:val="24"/>
                <w:highlight w:val="none"/>
              </w:rPr>
              <w:t>2.规划期限</w:t>
            </w:r>
          </w:p>
          <w:p w14:paraId="25D0348F">
            <w:pPr>
              <w:pStyle w:val="75"/>
              <w:keepNext w:val="0"/>
              <w:keepLines w:val="0"/>
              <w:pageBreakBefore w:val="0"/>
              <w:kinsoku/>
              <w:wordWrap/>
              <w:overflowPunct/>
              <w:topLinePunct w:val="0"/>
              <w:autoSpaceDE/>
              <w:autoSpaceDN/>
              <w:bidi w:val="0"/>
              <w:spacing w:line="360" w:lineRule="auto"/>
              <w:ind w:firstLine="480" w:firstLineChars="200"/>
              <w:textAlignment w:val="auto"/>
              <w:rPr>
                <w:rFonts w:ascii="Times New Roman" w:hAnsi="Times New Roman" w:cs="Times New Roman"/>
                <w:color w:val="auto"/>
                <w:highlight w:val="none"/>
              </w:rPr>
            </w:pPr>
            <w:r>
              <w:rPr>
                <w:rFonts w:ascii="Times New Roman" w:hAnsi="Times New Roman" w:cs="Times New Roman"/>
                <w:color w:val="auto"/>
                <w:highlight w:val="none"/>
              </w:rPr>
              <w:t>2018</w:t>
            </w:r>
            <w:r>
              <w:rPr>
                <w:rFonts w:hint="eastAsia" w:cs="Times New Roman"/>
                <w:color w:val="auto"/>
                <w:highlight w:val="none"/>
                <w:lang w:eastAsia="zh-CN"/>
              </w:rPr>
              <w:t>—</w:t>
            </w:r>
            <w:r>
              <w:rPr>
                <w:rFonts w:ascii="Times New Roman" w:hAnsi="Times New Roman" w:cs="Times New Roman"/>
                <w:color w:val="auto"/>
                <w:highlight w:val="none"/>
              </w:rPr>
              <w:t>2030年，近期2018年—2025年，远期</w:t>
            </w:r>
            <w:r>
              <w:rPr>
                <w:rFonts w:hint="default" w:ascii="Times New Roman" w:hAnsi="Times New Roman" w:eastAsia="宋体" w:cs="Times New Roman"/>
                <w:color w:val="auto"/>
                <w:highlight w:val="none"/>
              </w:rPr>
              <w:t>2026</w:t>
            </w:r>
            <w:r>
              <w:rPr>
                <w:rFonts w:ascii="Times New Roman" w:hAnsi="Times New Roman" w:cs="Times New Roman"/>
                <w:color w:val="auto"/>
                <w:highlight w:val="none"/>
              </w:rPr>
              <w:t>年—</w:t>
            </w:r>
            <w:r>
              <w:rPr>
                <w:rFonts w:hint="default" w:ascii="Times New Roman" w:hAnsi="Times New Roman" w:eastAsia="宋体" w:cs="Times New Roman"/>
                <w:color w:val="auto"/>
                <w:highlight w:val="none"/>
              </w:rPr>
              <w:t>2030</w:t>
            </w:r>
            <w:r>
              <w:rPr>
                <w:rFonts w:ascii="Times New Roman" w:hAnsi="Times New Roman" w:cs="Times New Roman"/>
                <w:color w:val="auto"/>
                <w:highlight w:val="none"/>
              </w:rPr>
              <w:t>年。</w:t>
            </w:r>
          </w:p>
          <w:p w14:paraId="0DA479D1">
            <w:pPr>
              <w:keepNext w:val="0"/>
              <w:keepLines w:val="0"/>
              <w:pageBreakBefore w:val="0"/>
              <w:kinsoku/>
              <w:wordWrap/>
              <w:overflowPunct/>
              <w:topLinePunct w:val="0"/>
              <w:autoSpaceDE/>
              <w:autoSpaceDN/>
              <w:bidi w:val="0"/>
              <w:spacing w:line="360" w:lineRule="auto"/>
              <w:ind w:firstLine="480" w:firstLineChars="200"/>
              <w:jc w:val="left"/>
              <w:textAlignment w:val="auto"/>
              <w:rPr>
                <w:rFonts w:ascii="Times New Roman" w:hAnsi="Times New Roman"/>
                <w:color w:val="auto"/>
                <w:sz w:val="24"/>
                <w:highlight w:val="none"/>
              </w:rPr>
            </w:pPr>
            <w:r>
              <w:rPr>
                <w:rFonts w:ascii="Times New Roman" w:hAnsi="Times New Roman"/>
                <w:color w:val="auto"/>
                <w:sz w:val="24"/>
                <w:highlight w:val="none"/>
              </w:rPr>
              <w:t>3.功能定位与区域划分</w:t>
            </w:r>
          </w:p>
          <w:p w14:paraId="6898F419">
            <w:pPr>
              <w:keepNext w:val="0"/>
              <w:keepLines w:val="0"/>
              <w:pageBreakBefore w:val="0"/>
              <w:kinsoku/>
              <w:wordWrap/>
              <w:overflowPunct/>
              <w:topLinePunct w:val="0"/>
              <w:autoSpaceDE/>
              <w:autoSpaceDN/>
              <w:bidi w:val="0"/>
              <w:spacing w:line="360" w:lineRule="auto"/>
              <w:ind w:firstLine="480" w:firstLineChars="200"/>
              <w:jc w:val="left"/>
              <w:textAlignment w:val="auto"/>
              <w:rPr>
                <w:rFonts w:ascii="Times New Roman" w:hAnsi="Times New Roman"/>
                <w:color w:val="auto"/>
                <w:sz w:val="24"/>
                <w:highlight w:val="none"/>
              </w:rPr>
            </w:pPr>
            <w:r>
              <w:rPr>
                <w:rFonts w:ascii="Times New Roman" w:hAnsi="Times New Roman"/>
                <w:color w:val="auto"/>
                <w:sz w:val="24"/>
                <w:highlight w:val="none"/>
              </w:rPr>
              <w:t>梨树工业谷依托资源优势，借助国家可持续发展政策，重点发展精细化工、新材料等循环产业，重点发展医药中间体、染料中间体和石墨深加工等项目。梨树工业谷功能定位为：梨树工业谷产业重点发展精细化工、新材料等循环产业，达成新型化工、新材料、多种精细化工等产业为一体的循环、低碳、生态循环经济园区水准，建成东北地区最大的集生产、研发、应用于一体的综合性现代化工产业研发基地和平台，打造梨树工业谷成为一个围绕化工和新材料产业布局，以精细化工产业为主，新材料产业、加工制造为辅的资源综合利用、循环经济、生态绿色环保的产业示范园区。</w:t>
            </w:r>
          </w:p>
          <w:p w14:paraId="5D0741BB">
            <w:pPr>
              <w:keepNext w:val="0"/>
              <w:keepLines w:val="0"/>
              <w:pageBreakBefore w:val="0"/>
              <w:kinsoku/>
              <w:wordWrap/>
              <w:overflowPunct/>
              <w:topLinePunct w:val="0"/>
              <w:autoSpaceDE/>
              <w:autoSpaceDN/>
              <w:bidi w:val="0"/>
              <w:spacing w:line="360" w:lineRule="auto"/>
              <w:ind w:firstLine="480" w:firstLineChars="200"/>
              <w:textAlignment w:val="auto"/>
              <w:rPr>
                <w:rFonts w:ascii="Times New Roman" w:hAnsi="Times New Roman"/>
                <w:color w:val="auto"/>
                <w:sz w:val="24"/>
                <w:highlight w:val="none"/>
              </w:rPr>
            </w:pPr>
            <w:r>
              <w:rPr>
                <w:rFonts w:ascii="Times New Roman" w:hAnsi="Times New Roman"/>
                <w:color w:val="auto"/>
                <w:sz w:val="24"/>
                <w:highlight w:val="none"/>
              </w:rPr>
              <w:t>梨树工业谷分为化工产业区、新材料产业区、服务区、物流仓储区四大功能分区。</w:t>
            </w:r>
          </w:p>
          <w:p w14:paraId="20FC30B4">
            <w:pPr>
              <w:keepNext w:val="0"/>
              <w:keepLines w:val="0"/>
              <w:pageBreakBefore w:val="0"/>
              <w:kinsoku/>
              <w:wordWrap/>
              <w:overflowPunct/>
              <w:topLinePunct w:val="0"/>
              <w:autoSpaceDE/>
              <w:autoSpaceDN/>
              <w:bidi w:val="0"/>
              <w:spacing w:line="360" w:lineRule="auto"/>
              <w:ind w:firstLine="480" w:firstLineChars="200"/>
              <w:jc w:val="left"/>
              <w:textAlignment w:val="auto"/>
              <w:rPr>
                <w:rFonts w:ascii="Times New Roman" w:hAnsi="Times New Roman"/>
                <w:color w:val="auto"/>
                <w:sz w:val="24"/>
                <w:highlight w:val="none"/>
              </w:rPr>
            </w:pPr>
            <w:r>
              <w:rPr>
                <w:rFonts w:ascii="Times New Roman" w:hAnsi="Times New Roman"/>
                <w:color w:val="auto"/>
                <w:sz w:val="24"/>
                <w:highlight w:val="none"/>
              </w:rPr>
              <w:t>4.供热供气规划</w:t>
            </w:r>
          </w:p>
          <w:p w14:paraId="32C8046A">
            <w:pPr>
              <w:keepNext w:val="0"/>
              <w:keepLines w:val="0"/>
              <w:pageBreakBefore w:val="0"/>
              <w:kinsoku/>
              <w:wordWrap/>
              <w:overflowPunct/>
              <w:topLinePunct w:val="0"/>
              <w:autoSpaceDE/>
              <w:autoSpaceDN/>
              <w:bidi w:val="0"/>
              <w:spacing w:line="360" w:lineRule="auto"/>
              <w:ind w:firstLine="480" w:firstLineChars="200"/>
              <w:textAlignment w:val="auto"/>
              <w:rPr>
                <w:rFonts w:ascii="Times New Roman" w:hAnsi="Times New Roman"/>
                <w:color w:val="auto"/>
                <w:sz w:val="24"/>
                <w:highlight w:val="none"/>
              </w:rPr>
            </w:pPr>
            <w:r>
              <w:rPr>
                <w:rFonts w:ascii="Times New Roman" w:hAnsi="Times New Roman"/>
                <w:color w:val="auto"/>
                <w:sz w:val="24"/>
                <w:highlight w:val="none"/>
              </w:rPr>
              <w:t>供热工程规划：预测近期到</w:t>
            </w:r>
            <w:r>
              <w:rPr>
                <w:rFonts w:hint="eastAsia" w:ascii="宋体" w:hAnsi="宋体" w:eastAsia="宋体" w:cs="宋体"/>
                <w:color w:val="auto"/>
                <w:sz w:val="24"/>
                <w:highlight w:val="none"/>
              </w:rPr>
              <w:t>2025年，供热负荷为39兆瓦；远期到2030年，供热负荷为91兆瓦。规划近期拟利用沈阳焦煤鸡西盛隆有限责任公司煤矸石电厂现有2台75吨循环流化床锅炉进行供热。规划远期供热面积达到140万平方米，拟在沈阳焦煤鸡西盛隆有限责任公司煤矸石电厂的基础上进行扩建，扩建2台75t/h</w:t>
            </w:r>
            <w:r>
              <w:rPr>
                <w:rFonts w:ascii="Times New Roman" w:hAnsi="Times New Roman"/>
                <w:color w:val="auto"/>
                <w:sz w:val="24"/>
                <w:highlight w:val="none"/>
              </w:rPr>
              <w:t>循环流化床燃煤锅炉。目前园区至梨树区主管道已铺设完毕，可同时为园区和梨树区进行供热，实行热电联产。</w:t>
            </w:r>
          </w:p>
          <w:p w14:paraId="4671359F">
            <w:pPr>
              <w:keepNext w:val="0"/>
              <w:keepLines w:val="0"/>
              <w:pageBreakBefore w:val="0"/>
              <w:kinsoku/>
              <w:wordWrap/>
              <w:overflowPunct/>
              <w:topLinePunct w:val="0"/>
              <w:autoSpaceDE/>
              <w:autoSpaceDN/>
              <w:bidi w:val="0"/>
              <w:spacing w:line="360" w:lineRule="auto"/>
              <w:ind w:firstLine="480" w:firstLineChars="200"/>
              <w:textAlignment w:val="auto"/>
              <w:rPr>
                <w:rFonts w:ascii="Times New Roman" w:hAnsi="Times New Roman"/>
                <w:color w:val="auto"/>
                <w:sz w:val="24"/>
                <w:highlight w:val="none"/>
              </w:rPr>
            </w:pPr>
            <w:r>
              <w:rPr>
                <w:rFonts w:ascii="Times New Roman" w:hAnsi="Times New Roman"/>
                <w:color w:val="auto"/>
                <w:sz w:val="24"/>
                <w:highlight w:val="none"/>
              </w:rPr>
              <w:t>规划一级网供回水温度130/70摄氏度，二级网供回水温度80/55摄氏度。热网敷设采用直埋方式。采暖热网管道采用预制直埋保温管，采用枝状布置，覆土深度不小于0.9</w:t>
            </w:r>
            <w:r>
              <w:rPr>
                <w:rFonts w:hint="eastAsia" w:ascii="Times New Roman" w:hAnsi="Times New Roman"/>
                <w:color w:val="auto"/>
                <w:sz w:val="24"/>
                <w:highlight w:val="none"/>
                <w:lang w:eastAsia="zh-CN"/>
              </w:rPr>
              <w:t>～</w:t>
            </w:r>
            <w:r>
              <w:rPr>
                <w:rFonts w:ascii="Times New Roman" w:hAnsi="Times New Roman"/>
                <w:color w:val="auto"/>
                <w:sz w:val="24"/>
                <w:highlight w:val="none"/>
              </w:rPr>
              <w:t>1.2米，敷设方式为补偿直埋敷设。热网穿越公路和特殊障碍物时需做特殊处理。规划供热管径为Φ600毫米～Φ300毫米。</w:t>
            </w:r>
          </w:p>
          <w:p w14:paraId="03390A50">
            <w:pPr>
              <w:keepNext w:val="0"/>
              <w:keepLines w:val="0"/>
              <w:pageBreakBefore w:val="0"/>
              <w:tabs>
                <w:tab w:val="left" w:pos="3687"/>
              </w:tabs>
              <w:kinsoku/>
              <w:wordWrap/>
              <w:overflowPunct/>
              <w:topLinePunct w:val="0"/>
              <w:autoSpaceDE/>
              <w:autoSpaceDN/>
              <w:bidi w:val="0"/>
              <w:spacing w:line="360" w:lineRule="auto"/>
              <w:ind w:firstLine="480" w:firstLineChars="200"/>
              <w:jc w:val="both"/>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燃气工程规划：预测近期到2025年，全年用气量为35.42万立方米；远期到2030年，全年用气量为95.66万立方米。建立燃气储配站，总供气量达到40万立方米/年，占地1.5公顷，远期扩建燃气储配站，年储气量达到100万立方米/年。</w:t>
            </w:r>
            <w:bookmarkStart w:id="5" w:name="_Toc263276024"/>
            <w:r>
              <w:rPr>
                <w:rFonts w:hint="eastAsia" w:ascii="宋体" w:hAnsi="宋体" w:eastAsia="宋体" w:cs="宋体"/>
                <w:color w:val="auto"/>
                <w:sz w:val="24"/>
                <w:highlight w:val="none"/>
              </w:rPr>
              <w:t>规划逐步实现管道供应，燃气管网采用中压输气系统，主干管管径为400毫米、次干管管径为200毫米。</w:t>
            </w:r>
            <w:bookmarkEnd w:id="5"/>
          </w:p>
          <w:p w14:paraId="7C2604F1">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eastAsia"/>
                <w:color w:val="auto"/>
                <w:highlight w:val="none"/>
                <w:lang w:val="en-US" w:eastAsia="zh-CN"/>
              </w:rPr>
            </w:pPr>
            <w:r>
              <w:rPr>
                <w:rFonts w:hint="eastAsia"/>
                <w:color w:val="auto"/>
                <w:highlight w:val="none"/>
                <w:lang w:val="en-US" w:eastAsia="zh-CN"/>
              </w:rPr>
              <w:t>（二）符合性分析：</w:t>
            </w:r>
          </w:p>
          <w:p w14:paraId="0238AAEA">
            <w:pPr>
              <w:rPr>
                <w:rFonts w:hint="default"/>
                <w:color w:val="auto"/>
                <w:highlight w:val="none"/>
                <w:lang w:val="en-US" w:eastAsia="zh-CN"/>
              </w:rPr>
            </w:pPr>
            <w:r>
              <w:rPr>
                <w:rFonts w:hint="eastAsia"/>
                <w:color w:val="auto"/>
                <w:highlight w:val="none"/>
                <w:lang w:val="en-US" w:eastAsia="zh-CN"/>
              </w:rPr>
              <w:t>黑龙江省燎泰新材料科技有限公司位于</w:t>
            </w:r>
            <w:r>
              <w:rPr>
                <w:rFonts w:hint="default"/>
                <w:color w:val="auto"/>
                <w:highlight w:val="none"/>
                <w:lang w:val="en-US" w:eastAsia="zh-CN"/>
              </w:rPr>
              <w:t>梨树工</w:t>
            </w:r>
            <w:r>
              <w:rPr>
                <w:rFonts w:hint="eastAsia"/>
                <w:color w:val="auto"/>
                <w:highlight w:val="none"/>
                <w:lang w:val="en-US" w:eastAsia="zh-CN"/>
              </w:rPr>
              <w:t>业区</w:t>
            </w:r>
            <w:r>
              <w:rPr>
                <w:rFonts w:hint="default"/>
                <w:color w:val="auto"/>
                <w:highlight w:val="none"/>
                <w:lang w:val="en-US" w:eastAsia="zh-CN"/>
              </w:rPr>
              <w:t>北侧，选址符合梨树工业谷总体规划要求。</w:t>
            </w:r>
            <w:r>
              <w:rPr>
                <w:rFonts w:hint="eastAsia"/>
                <w:color w:val="auto"/>
                <w:highlight w:val="none"/>
                <w:lang w:val="en-US" w:eastAsia="zh-CN"/>
              </w:rPr>
              <w:t>燎泰新材料</w:t>
            </w:r>
            <w:r>
              <w:rPr>
                <w:rFonts w:hint="eastAsia" w:ascii="Times New Roman" w:hAnsi="Times New Roman" w:eastAsia="宋体" w:cs="Times New Roman"/>
                <w:color w:val="auto"/>
                <w:sz w:val="24"/>
                <w:highlight w:val="none"/>
                <w:lang w:val="en-US" w:eastAsia="zh-CN"/>
              </w:rPr>
              <w:t>（一期）产品种类共计13种，包括</w:t>
            </w:r>
            <w:r>
              <w:rPr>
                <w:rFonts w:hint="eastAsia" w:ascii="Times New Roman" w:hAnsi="Times New Roman" w:cs="Times New Roman"/>
                <w:color w:val="auto"/>
                <w:sz w:val="24"/>
                <w:highlight w:val="none"/>
                <w:lang w:val="en-US" w:eastAsia="zh-CN"/>
              </w:rPr>
              <w:t>1，4-二羟基蒽醌（6000t/a）、1，4-二羟基蒽醌升华品（1000t/a）、溶剂蓝104（200t/a）、溶剂紫36（40t/a）、溶剂紫13（400t/a）、溶剂绿3（300t/a）溶剂黑3（100t/a）、酸性绿25（200t/a）、酸性蓝80（200t/a）、1，4-二羟基蒽醌隐色体（200t/a）、分散蓝359（300t/a）、分散黄5（800t/a）、分散红60（800t/a）</w:t>
            </w:r>
            <w:r>
              <w:rPr>
                <w:rFonts w:hint="default" w:ascii="Times New Roman" w:hAnsi="Times New Roman" w:cs="Times New Roman"/>
                <w:color w:val="auto"/>
                <w:highlight w:val="none"/>
              </w:rPr>
              <w:t>，属于</w:t>
            </w:r>
            <w:r>
              <w:rPr>
                <w:rFonts w:hint="eastAsia" w:ascii="Times New Roman" w:hAnsi="Times New Roman" w:cs="Times New Roman"/>
                <w:color w:val="auto"/>
                <w:highlight w:val="none"/>
                <w:lang w:val="en-US" w:eastAsia="zh-CN"/>
              </w:rPr>
              <w:t>染料及染料中间体制造项目</w:t>
            </w:r>
            <w:r>
              <w:rPr>
                <w:rFonts w:hint="default" w:ascii="Times New Roman" w:hAnsi="Times New Roman" w:cs="Times New Roman"/>
                <w:color w:val="auto"/>
                <w:highlight w:val="none"/>
              </w:rPr>
              <w:t>，符合</w:t>
            </w:r>
            <w:r>
              <w:rPr>
                <w:rFonts w:hint="eastAsia" w:ascii="Times New Roman" w:hAnsi="Times New Roman" w:cs="Times New Roman"/>
                <w:color w:val="auto"/>
                <w:highlight w:val="none"/>
                <w:lang w:val="en-US" w:eastAsia="zh-CN"/>
              </w:rPr>
              <w:t>化工产业园区</w:t>
            </w:r>
            <w:r>
              <w:rPr>
                <w:rFonts w:hint="default" w:ascii="Times New Roman" w:hAnsi="Times New Roman" w:cs="Times New Roman"/>
                <w:color w:val="auto"/>
                <w:highlight w:val="none"/>
              </w:rPr>
              <w:t>入园要求。项目建成后，通过园区路网结构加强厂区与其它功能区、绿地系统及园区空间环境的有机联系，形成整体性强、结构清晰、联系紧密的工业园区。因此，符合总体规划产业布局的要求。</w:t>
            </w:r>
            <w:r>
              <w:rPr>
                <w:rFonts w:hint="eastAsia" w:ascii="宋体" w:hAnsi="宋体" w:eastAsia="宋体" w:cs="宋体"/>
                <w:color w:val="auto"/>
                <w:sz w:val="24"/>
                <w:highlight w:val="none"/>
              </w:rPr>
              <w:t>沈阳焦煤鸡西盛隆有限责任公司煤矸石电厂</w:t>
            </w:r>
            <w:r>
              <w:rPr>
                <w:rFonts w:hint="eastAsia" w:cs="宋体"/>
                <w:color w:val="auto"/>
                <w:sz w:val="24"/>
                <w:highlight w:val="none"/>
                <w:lang w:val="en-US" w:eastAsia="zh-CN"/>
              </w:rPr>
              <w:t>为园区提供集中供热，</w:t>
            </w:r>
            <w:r>
              <w:rPr>
                <w:rFonts w:hint="eastAsia" w:ascii="宋体" w:hAnsi="宋体" w:eastAsia="宋体" w:cs="宋体"/>
                <w:color w:val="auto"/>
                <w:sz w:val="24"/>
                <w:highlight w:val="none"/>
              </w:rPr>
              <w:t>沈阳焦煤鸡西盛隆有限责任公司煤矸石电厂</w:t>
            </w:r>
            <w:r>
              <w:rPr>
                <w:rFonts w:hint="eastAsia" w:cs="宋体"/>
                <w:color w:val="auto"/>
                <w:sz w:val="24"/>
                <w:highlight w:val="none"/>
                <w:lang w:val="en-US" w:eastAsia="zh-CN"/>
              </w:rPr>
              <w:t>夏季第三季度处于停产阶段，停产时间为90d/a，矸石电厂对于工业蒸汽将限制供应，预计30d/a，总计120d/a。为保证企业在第三季度以及冬季正常生产，</w:t>
            </w:r>
            <w:r>
              <w:rPr>
                <w:rFonts w:hint="eastAsia"/>
                <w:color w:val="auto"/>
                <w:highlight w:val="none"/>
                <w:lang w:val="en-US" w:eastAsia="zh-CN"/>
              </w:rPr>
              <w:t>因此</w:t>
            </w:r>
            <w:r>
              <w:rPr>
                <w:rFonts w:hint="default"/>
                <w:color w:val="auto"/>
                <w:highlight w:val="none"/>
                <w:lang w:val="en-US" w:eastAsia="zh-CN"/>
              </w:rPr>
              <w:t>本项目为拟建设1台</w:t>
            </w:r>
            <w:r>
              <w:rPr>
                <w:rFonts w:hint="eastAsia"/>
                <w:color w:val="auto"/>
                <w:highlight w:val="none"/>
                <w:lang w:val="en-US" w:eastAsia="zh-CN"/>
              </w:rPr>
              <w:t>6</w:t>
            </w:r>
            <w:r>
              <w:rPr>
                <w:rFonts w:hint="default"/>
                <w:color w:val="auto"/>
                <w:highlight w:val="none"/>
                <w:lang w:val="en-US" w:eastAsia="zh-CN"/>
              </w:rPr>
              <w:t>t/</w:t>
            </w:r>
            <w:r>
              <w:rPr>
                <w:rFonts w:hint="eastAsia"/>
                <w:color w:val="auto"/>
                <w:highlight w:val="none"/>
                <w:lang w:val="en-US" w:eastAsia="zh-CN"/>
              </w:rPr>
              <w:t>h</w:t>
            </w:r>
            <w:r>
              <w:rPr>
                <w:rFonts w:hint="default"/>
                <w:color w:val="auto"/>
                <w:highlight w:val="none"/>
                <w:lang w:val="en-US" w:eastAsia="zh-CN"/>
              </w:rPr>
              <w:t>生物质专用锅炉用于</w:t>
            </w:r>
            <w:r>
              <w:rPr>
                <w:rFonts w:hint="eastAsia" w:ascii="宋体" w:hAnsi="宋体" w:eastAsia="宋体" w:cs="宋体"/>
                <w:color w:val="auto"/>
                <w:sz w:val="24"/>
                <w:highlight w:val="none"/>
              </w:rPr>
              <w:t>沈阳焦煤鸡西盛隆有限责任公司煤矸石电厂</w:t>
            </w:r>
            <w:r>
              <w:rPr>
                <w:rFonts w:hint="eastAsia" w:cs="宋体"/>
                <w:color w:val="auto"/>
                <w:sz w:val="24"/>
                <w:highlight w:val="none"/>
                <w:lang w:val="en-US" w:eastAsia="zh-CN"/>
              </w:rPr>
              <w:t>在夏季停产阶段以及冬季极寒天气供暖期间使用</w:t>
            </w:r>
            <w:r>
              <w:rPr>
                <w:rFonts w:hint="default"/>
                <w:color w:val="auto"/>
                <w:highlight w:val="none"/>
                <w:lang w:val="en-US" w:eastAsia="zh-CN"/>
              </w:rPr>
              <w:t>。企业做出承诺（见附件</w:t>
            </w:r>
            <w:r>
              <w:rPr>
                <w:rFonts w:hint="eastAsia"/>
                <w:color w:val="auto"/>
                <w:highlight w:val="none"/>
                <w:lang w:val="en-US" w:eastAsia="zh-CN"/>
              </w:rPr>
              <w:t>9</w:t>
            </w:r>
            <w:r>
              <w:rPr>
                <w:rFonts w:hint="default"/>
                <w:color w:val="auto"/>
                <w:highlight w:val="none"/>
                <w:lang w:val="en-US" w:eastAsia="zh-CN"/>
              </w:rPr>
              <w:t>），</w:t>
            </w:r>
            <w:r>
              <w:rPr>
                <w:rFonts w:hint="eastAsia"/>
                <w:color w:val="auto"/>
                <w:highlight w:val="none"/>
                <w:lang w:val="en-US" w:eastAsia="zh-CN"/>
              </w:rPr>
              <w:t>在</w:t>
            </w:r>
            <w:r>
              <w:rPr>
                <w:rFonts w:hint="eastAsia" w:ascii="宋体" w:hAnsi="宋体" w:eastAsia="宋体" w:cs="宋体"/>
                <w:color w:val="auto"/>
                <w:sz w:val="24"/>
                <w:highlight w:val="none"/>
              </w:rPr>
              <w:t>沈阳焦煤鸡西盛隆有限责任公司煤矸石电厂</w:t>
            </w:r>
            <w:r>
              <w:rPr>
                <w:rFonts w:hint="eastAsia" w:cs="宋体"/>
                <w:color w:val="auto"/>
                <w:sz w:val="24"/>
                <w:highlight w:val="none"/>
                <w:lang w:eastAsia="zh-CN"/>
              </w:rPr>
              <w:t>的</w:t>
            </w:r>
            <w:r>
              <w:rPr>
                <w:rFonts w:hint="eastAsia" w:cs="宋体"/>
                <w:color w:val="auto"/>
                <w:sz w:val="24"/>
                <w:highlight w:val="none"/>
                <w:lang w:val="en-US" w:eastAsia="zh-CN"/>
              </w:rPr>
              <w:t>运行期间，将自建锅炉关闭，采用</w:t>
            </w:r>
            <w:r>
              <w:rPr>
                <w:rFonts w:hint="eastAsia" w:ascii="宋体" w:hAnsi="宋体" w:eastAsia="宋体" w:cs="宋体"/>
                <w:color w:val="auto"/>
                <w:sz w:val="24"/>
                <w:highlight w:val="none"/>
              </w:rPr>
              <w:t>沈阳焦煤鸡西盛隆有限责任公司煤矸石电厂</w:t>
            </w:r>
            <w:r>
              <w:rPr>
                <w:rFonts w:hint="eastAsia" w:cs="宋体"/>
                <w:color w:val="auto"/>
                <w:sz w:val="24"/>
                <w:highlight w:val="none"/>
                <w:lang w:val="en-US" w:eastAsia="zh-CN"/>
              </w:rPr>
              <w:t>提供的热源进行生产。</w:t>
            </w:r>
            <w:r>
              <w:rPr>
                <w:rFonts w:hint="eastAsia"/>
                <w:color w:val="auto"/>
                <w:highlight w:val="none"/>
                <w:lang w:val="en-US" w:eastAsia="zh-CN"/>
              </w:rPr>
              <w:t>并已取得鸡西经济开发区梨树工业谷管理委员会同意（见附件10），</w:t>
            </w:r>
            <w:r>
              <w:rPr>
                <w:rFonts w:hint="default"/>
                <w:color w:val="auto"/>
                <w:highlight w:val="none"/>
                <w:lang w:val="en-US" w:eastAsia="zh-CN"/>
              </w:rPr>
              <w:t>该锅炉作为</w:t>
            </w:r>
            <w:r>
              <w:rPr>
                <w:rFonts w:hint="eastAsia" w:ascii="宋体" w:hAnsi="宋体" w:eastAsia="宋体" w:cs="宋体"/>
                <w:color w:val="auto"/>
                <w:sz w:val="24"/>
                <w:highlight w:val="none"/>
              </w:rPr>
              <w:t>沈阳焦煤鸡西盛隆有限责任公司煤矸石电厂</w:t>
            </w:r>
            <w:r>
              <w:rPr>
                <w:rFonts w:hint="eastAsia" w:cs="宋体"/>
                <w:color w:val="auto"/>
                <w:sz w:val="24"/>
                <w:highlight w:val="none"/>
                <w:lang w:val="en-US" w:eastAsia="zh-CN"/>
              </w:rPr>
              <w:t>夏季停产期</w:t>
            </w:r>
            <w:r>
              <w:rPr>
                <w:rFonts w:hint="default"/>
                <w:color w:val="auto"/>
                <w:highlight w:val="none"/>
                <w:lang w:val="en-US" w:eastAsia="zh-CN"/>
              </w:rPr>
              <w:t>的过渡锅炉使用。</w:t>
            </w:r>
            <w:r>
              <w:rPr>
                <w:rFonts w:hint="eastAsia"/>
                <w:color w:val="auto"/>
                <w:highlight w:val="none"/>
                <w:lang w:val="en-US" w:eastAsia="zh-CN"/>
              </w:rPr>
              <w:t>根据</w:t>
            </w:r>
            <w:r>
              <w:rPr>
                <w:rFonts w:hint="default"/>
                <w:color w:val="auto"/>
                <w:highlight w:val="none"/>
                <w:lang w:val="en-US" w:eastAsia="zh-CN"/>
              </w:rPr>
              <w:t>《鸡西经济开发区梨树工业谷总体规划（2018～2030）》</w:t>
            </w:r>
            <w:r>
              <w:rPr>
                <w:rFonts w:hint="eastAsia"/>
                <w:color w:val="auto"/>
                <w:highlight w:val="none"/>
                <w:lang w:val="en-US" w:eastAsia="zh-CN"/>
              </w:rPr>
              <w:t>，规划内未明确园区内企业禁止自建供热锅炉，本项目建设的锅炉不作为长期供热方式，仅在集中供热锅炉厂停产阶段使用，并以取得园区管委会同意，符合规划要求。</w:t>
            </w:r>
          </w:p>
          <w:p w14:paraId="63C05F1F">
            <w:pPr>
              <w:rPr>
                <w:rFonts w:hint="default"/>
                <w:color w:val="auto"/>
                <w:highlight w:val="none"/>
                <w:lang w:val="en-US" w:eastAsia="zh-CN"/>
              </w:rPr>
            </w:pPr>
            <w:r>
              <w:rPr>
                <w:rFonts w:hint="default"/>
                <w:color w:val="auto"/>
                <w:highlight w:val="none"/>
                <w:lang w:val="en-US" w:eastAsia="zh-CN"/>
              </w:rPr>
              <w:t>因此本项目建设内容符合《鸡西经济开发区梨树工业谷总体规划（2018～2030）》要求。</w:t>
            </w:r>
          </w:p>
          <w:p w14:paraId="2295AB49">
            <w:pPr>
              <w:widowControl/>
              <w:numPr>
                <w:ilvl w:val="0"/>
                <w:numId w:val="3"/>
              </w:numPr>
              <w:spacing w:line="360" w:lineRule="auto"/>
              <w:ind w:firstLine="482" w:firstLineChars="200"/>
              <w:jc w:val="left"/>
              <w:rPr>
                <w:rFonts w:ascii="Times New Roman" w:hAnsi="Times New Roman"/>
                <w:b/>
                <w:bCs/>
                <w:color w:val="auto"/>
                <w:sz w:val="24"/>
                <w:highlight w:val="none"/>
              </w:rPr>
            </w:pPr>
            <w:r>
              <w:rPr>
                <w:rFonts w:ascii="Times New Roman" w:hAnsi="Times New Roman"/>
                <w:b/>
                <w:bCs/>
                <w:color w:val="auto"/>
                <w:sz w:val="24"/>
                <w:highlight w:val="none"/>
              </w:rPr>
              <w:t>与《鸡西经济开发区梨树工业谷总体规划（2018～2030）环境影响报告书》及其审查意见</w:t>
            </w:r>
            <w:r>
              <w:rPr>
                <w:rFonts w:hint="eastAsia" w:ascii="Times New Roman" w:hAnsi="Times New Roman"/>
                <w:b/>
                <w:bCs/>
                <w:color w:val="auto"/>
                <w:sz w:val="24"/>
                <w:highlight w:val="none"/>
                <w:lang w:eastAsia="zh-CN"/>
              </w:rPr>
              <w:t>符合性分析</w:t>
            </w:r>
            <w:r>
              <w:rPr>
                <w:rFonts w:ascii="Times New Roman" w:hAnsi="Times New Roman"/>
                <w:b/>
                <w:bCs/>
                <w:color w:val="auto"/>
                <w:sz w:val="24"/>
                <w:highlight w:val="none"/>
              </w:rPr>
              <w:t>，具体规划内容如下：</w:t>
            </w:r>
          </w:p>
          <w:p w14:paraId="64B1787A">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ascii="Times New Roman" w:hAnsi="Times New Roman"/>
                <w:bCs/>
                <w:color w:val="auto"/>
                <w:highlight w:val="none"/>
              </w:rPr>
            </w:pPr>
            <w:r>
              <w:rPr>
                <w:rFonts w:ascii="Times New Roman" w:hAnsi="Times New Roman"/>
                <w:bCs/>
                <w:color w:val="auto"/>
                <w:highlight w:val="none"/>
              </w:rPr>
              <w:t>根据黑龙江省生态环境厅于2022年4月28日出具的关于《黑龙江鸡西经济开发区（梨树工业谷）总体规划（2018-2030）环境影响报告书》的审查意见（黑环函〔2022〕94号），本项目与其中内容的相符性分析见表1-2。</w:t>
            </w:r>
          </w:p>
          <w:p w14:paraId="3A192BA2">
            <w:pPr>
              <w:pStyle w:val="25"/>
              <w:keepNext w:val="0"/>
              <w:keepLines w:val="0"/>
              <w:pageBreakBefore w:val="0"/>
              <w:widowControl w:val="0"/>
              <w:kinsoku/>
              <w:wordWrap/>
              <w:overflowPunct/>
              <w:topLinePunct w:val="0"/>
              <w:autoSpaceDE/>
              <w:autoSpaceDN/>
              <w:bidi w:val="0"/>
              <w:adjustRightInd w:val="0"/>
              <w:snapToGrid w:val="0"/>
              <w:spacing w:before="0" w:line="240" w:lineRule="auto"/>
              <w:ind w:firstLine="0" w:firstLineChars="0"/>
              <w:jc w:val="center"/>
              <w:textAlignment w:val="auto"/>
              <w:rPr>
                <w:rFonts w:ascii="Times New Roman" w:hAnsi="Times New Roman"/>
                <w:bCs w:val="0"/>
                <w:color w:val="auto"/>
                <w:szCs w:val="24"/>
                <w:highlight w:val="none"/>
              </w:rPr>
            </w:pPr>
            <w:r>
              <w:rPr>
                <w:rFonts w:ascii="Times New Roman" w:hAnsi="Times New Roman"/>
                <w:bCs w:val="0"/>
                <w:color w:val="auto"/>
                <w:szCs w:val="24"/>
                <w:highlight w:val="none"/>
              </w:rPr>
              <w:t>表1-2  与</w:t>
            </w:r>
            <w:r>
              <w:rPr>
                <w:rFonts w:ascii="Times New Roman" w:hAnsi="Times New Roman"/>
                <w:bCs w:val="0"/>
                <w:snapToGrid w:val="0"/>
                <w:color w:val="auto"/>
                <w:kern w:val="0"/>
                <w:szCs w:val="24"/>
                <w:highlight w:val="none"/>
              </w:rPr>
              <w:t>园区规划环评审查意见</w:t>
            </w:r>
            <w:r>
              <w:rPr>
                <w:rFonts w:ascii="Times New Roman" w:hAnsi="Times New Roman"/>
                <w:bCs w:val="0"/>
                <w:color w:val="auto"/>
                <w:szCs w:val="24"/>
                <w:highlight w:val="none"/>
              </w:rPr>
              <w:t>符合性分析一览表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
            <w:tblGrid>
              <w:gridCol w:w="677"/>
              <w:gridCol w:w="3132"/>
              <w:gridCol w:w="3041"/>
              <w:gridCol w:w="688"/>
            </w:tblGrid>
            <w:tr w14:paraId="1FB54CA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blHeader/>
                <w:jc w:val="center"/>
              </w:trPr>
              <w:tc>
                <w:tcPr>
                  <w:tcW w:w="3700" w:type="dxa"/>
                  <w:gridSpan w:val="2"/>
                  <w:noWrap w:val="0"/>
                  <w:vAlign w:val="center"/>
                </w:tcPr>
                <w:p w14:paraId="6801A1D2">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审查意见要求</w:t>
                  </w:r>
                </w:p>
              </w:tc>
              <w:tc>
                <w:tcPr>
                  <w:tcW w:w="2954" w:type="dxa"/>
                  <w:noWrap w:val="0"/>
                  <w:vAlign w:val="center"/>
                </w:tcPr>
                <w:p w14:paraId="73C56C2F">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本项目情况</w:t>
                  </w:r>
                </w:p>
              </w:tc>
              <w:tc>
                <w:tcPr>
                  <w:tcW w:w="668" w:type="dxa"/>
                  <w:noWrap w:val="0"/>
                  <w:vAlign w:val="center"/>
                </w:tcPr>
                <w:p w14:paraId="6FE8A586">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b/>
                      <w:bCs/>
                      <w:color w:val="auto"/>
                      <w:sz w:val="21"/>
                      <w:szCs w:val="21"/>
                      <w:highlight w:val="none"/>
                    </w:rPr>
                  </w:pPr>
                  <w:r>
                    <w:rPr>
                      <w:rFonts w:ascii="Times New Roman" w:hAnsi="Times New Roman"/>
                      <w:b/>
                      <w:bCs/>
                      <w:color w:val="auto"/>
                      <w:sz w:val="21"/>
                      <w:szCs w:val="21"/>
                      <w:highlight w:val="none"/>
                    </w:rPr>
                    <w:t>相符性分析</w:t>
                  </w:r>
                </w:p>
              </w:tc>
            </w:tr>
            <w:tr w14:paraId="3B0D9A7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2633" w:hRule="atLeast"/>
                <w:tblHeader/>
                <w:jc w:val="center"/>
              </w:trPr>
              <w:tc>
                <w:tcPr>
                  <w:tcW w:w="658" w:type="dxa"/>
                  <w:vMerge w:val="restart"/>
                  <w:noWrap w:val="0"/>
                  <w:vAlign w:val="center"/>
                </w:tcPr>
                <w:p w14:paraId="04ABE73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kern w:val="0"/>
                      <w:sz w:val="21"/>
                      <w:szCs w:val="21"/>
                      <w:highlight w:val="none"/>
                      <w:lang w:bidi="ar"/>
                    </w:rPr>
                    <w:t>在规划优化调整和实施过程中，应重点做好以下工作</w:t>
                  </w:r>
                </w:p>
                <w:p w14:paraId="2FEB353C">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p>
              </w:tc>
              <w:tc>
                <w:tcPr>
                  <w:tcW w:w="3042" w:type="dxa"/>
                  <w:noWrap w:val="0"/>
                  <w:vAlign w:val="center"/>
                </w:tcPr>
                <w:p w14:paraId="533C357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kern w:val="0"/>
                      <w:sz w:val="21"/>
                      <w:szCs w:val="21"/>
                      <w:highlight w:val="none"/>
                      <w:lang w:bidi="ar"/>
                    </w:rPr>
                    <w:t>（一）坚持绿色发展和协调发展理念，加强规划引导。根据国家和地方碳减排和碳达峰行动方案和路径要求，坚持生态优先、高效集约，以生态环境质量改善为核心，做好与各级国土空间规划和</w:t>
                  </w:r>
                  <w:r>
                    <w:rPr>
                      <w:rFonts w:hint="eastAsia" w:asciiTheme="minorEastAsia" w:hAnsiTheme="minorEastAsia" w:eastAsiaTheme="minorEastAsia" w:cstheme="minorEastAsia"/>
                      <w:color w:val="auto"/>
                      <w:kern w:val="0"/>
                      <w:sz w:val="21"/>
                      <w:szCs w:val="21"/>
                      <w:highlight w:val="none"/>
                      <w:lang w:bidi="ar"/>
                    </w:rPr>
                    <w:t>“</w:t>
                  </w:r>
                  <w:r>
                    <w:rPr>
                      <w:rFonts w:ascii="Times New Roman" w:hAnsi="Times New Roman"/>
                      <w:color w:val="auto"/>
                      <w:kern w:val="0"/>
                      <w:sz w:val="21"/>
                      <w:szCs w:val="21"/>
                      <w:highlight w:val="none"/>
                      <w:lang w:bidi="ar"/>
                    </w:rPr>
                    <w:t>三线一单</w:t>
                  </w:r>
                  <w:r>
                    <w:rPr>
                      <w:rFonts w:hint="eastAsia" w:asciiTheme="minorEastAsia" w:hAnsiTheme="minorEastAsia" w:eastAsiaTheme="minorEastAsia" w:cstheme="minorEastAsia"/>
                      <w:color w:val="auto"/>
                      <w:kern w:val="0"/>
                      <w:sz w:val="21"/>
                      <w:szCs w:val="21"/>
                      <w:highlight w:val="none"/>
                      <w:lang w:bidi="ar"/>
                    </w:rPr>
                    <w:t>”</w:t>
                  </w:r>
                  <w:r>
                    <w:rPr>
                      <w:rFonts w:ascii="Times New Roman" w:hAnsi="Times New Roman"/>
                      <w:color w:val="auto"/>
                      <w:kern w:val="0"/>
                      <w:sz w:val="21"/>
                      <w:szCs w:val="21"/>
                      <w:highlight w:val="none"/>
                      <w:lang w:bidi="ar"/>
                    </w:rPr>
                    <w:t>生态环境分区管控体系的衔接。梨树工业谷压覆矿产资源，存在地质灾害风险区，应进一步优化梨树工业谷空间布局和产业结构，严控产业规模和发展时序。梨树工业谷压覆的煤矿区不得开采，压覆的大理岩矿区和地质灾害高风险区不得引入建设项目。</w:t>
                  </w:r>
                </w:p>
              </w:tc>
              <w:tc>
                <w:tcPr>
                  <w:tcW w:w="2954" w:type="dxa"/>
                  <w:noWrap w:val="0"/>
                  <w:vAlign w:val="center"/>
                </w:tcPr>
                <w:p w14:paraId="07251672">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本项目位于在建工程“黑龙江省鸡西市梨树区燎泰高强度着色粉和中间体项目（一期）”厂区范围内，不新增占地，不涉及生态保护红线。本项目属于新建一台6t/h生物质锅炉项目，不涉及煤矿开采，</w:t>
                  </w:r>
                  <w:r>
                    <w:rPr>
                      <w:rFonts w:ascii="Times New Roman" w:hAnsi="Times New Roman"/>
                      <w:color w:val="auto"/>
                      <w:sz w:val="21"/>
                      <w:szCs w:val="21"/>
                      <w:highlight w:val="none"/>
                    </w:rPr>
                    <w:t>厂址所在区域未压覆矿产资源，结合梨树工业谷工程建设项目地灾危险性评估综合分区评估结论，项目选址区域适宜工程建设。</w:t>
                  </w:r>
                </w:p>
              </w:tc>
              <w:tc>
                <w:tcPr>
                  <w:tcW w:w="668" w:type="dxa"/>
                  <w:noWrap w:val="0"/>
                  <w:vAlign w:val="center"/>
                </w:tcPr>
                <w:p w14:paraId="2DBD60F3">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符合</w:t>
                  </w:r>
                </w:p>
              </w:tc>
            </w:tr>
            <w:tr w14:paraId="2718617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blHeader/>
                <w:jc w:val="center"/>
              </w:trPr>
              <w:tc>
                <w:tcPr>
                  <w:tcW w:w="658" w:type="dxa"/>
                  <w:vMerge w:val="continue"/>
                  <w:noWrap w:val="0"/>
                  <w:vAlign w:val="center"/>
                </w:tcPr>
                <w:p w14:paraId="7D621ABB">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p>
              </w:tc>
              <w:tc>
                <w:tcPr>
                  <w:tcW w:w="3042" w:type="dxa"/>
                  <w:noWrap w:val="0"/>
                  <w:vAlign w:val="center"/>
                </w:tcPr>
                <w:p w14:paraId="22C952A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kern w:val="0"/>
                      <w:sz w:val="21"/>
                      <w:szCs w:val="21"/>
                      <w:highlight w:val="none"/>
                      <w:lang w:bidi="ar"/>
                    </w:rPr>
                    <w:t>（二）严守环境质量底线，强化污染物排放总量管控。明确区域减排方案，采取有效措施，减少主要污染物的排放量，推动区域生态环境质量持续改善，促进产业发展与生态环境保护相协调。加强异味污染源排查整治，合理设置大气环境防护距离，减缓异味污染；加强挥发性有机物综合治理。</w:t>
                  </w:r>
                </w:p>
              </w:tc>
              <w:tc>
                <w:tcPr>
                  <w:tcW w:w="2954" w:type="dxa"/>
                  <w:noWrap w:val="0"/>
                  <w:vAlign w:val="center"/>
                </w:tcPr>
                <w:p w14:paraId="04C1EF52">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本项目建成后主要污染物为大气、废水、噪声、固废，废气主要为颗粒物、二氧化硫、氮氧化物、烟气黑度、汞及其化合物，经“</w:t>
                  </w:r>
                  <w:r>
                    <w:rPr>
                      <w:rFonts w:hint="eastAsia" w:ascii="Times New Roman" w:hAnsi="Times New Roman"/>
                      <w:color w:val="auto"/>
                      <w:sz w:val="21"/>
                      <w:szCs w:val="21"/>
                      <w:highlight w:val="none"/>
                      <w:lang w:val="en-US" w:eastAsia="zh-CN"/>
                    </w:rPr>
                    <w:t>低氮燃烧+旋风除尘器+布袋除尘器</w:t>
                  </w:r>
                  <w:r>
                    <w:rPr>
                      <w:rFonts w:hint="eastAsia" w:ascii="Times New Roman" w:hAnsi="Times New Roman"/>
                      <w:color w:val="auto"/>
                      <w:sz w:val="21"/>
                      <w:szCs w:val="21"/>
                      <w:highlight w:val="none"/>
                      <w:lang w:val="en-US" w:eastAsia="zh-CN"/>
                    </w:rPr>
                    <w:t>”净化处理后可做到达标排放。废水经管网排放至</w:t>
                  </w:r>
                  <w:r>
                    <w:rPr>
                      <w:rFonts w:hint="eastAsia" w:cs="宋体"/>
                      <w:color w:val="auto"/>
                      <w:spacing w:val="0"/>
                      <w:sz w:val="21"/>
                      <w:szCs w:val="21"/>
                      <w:highlight w:val="none"/>
                      <w:lang w:val="en-US" w:eastAsia="zh-CN"/>
                    </w:rPr>
                    <w:t>梨树工业谷污水处理厂</w:t>
                  </w:r>
                  <w:r>
                    <w:rPr>
                      <w:rFonts w:hint="eastAsia" w:ascii="宋体" w:hAnsi="宋体" w:eastAsia="宋体" w:cs="宋体"/>
                      <w:color w:val="auto"/>
                      <w:spacing w:val="0"/>
                      <w:sz w:val="21"/>
                      <w:szCs w:val="21"/>
                      <w:highlight w:val="none"/>
                      <w:lang w:val="en-US" w:eastAsia="zh-CN"/>
                    </w:rPr>
                    <w:t>集中处理；噪声经基础减振、厂房隔声等降噪措施后可做到达标排放。固体废物采取相应措施处理后，可实现固体废物处理的无害化、轻量化及资源化的目标。</w:t>
                  </w:r>
                </w:p>
              </w:tc>
              <w:tc>
                <w:tcPr>
                  <w:tcW w:w="668" w:type="dxa"/>
                  <w:noWrap w:val="0"/>
                  <w:vAlign w:val="center"/>
                </w:tcPr>
                <w:p w14:paraId="6307CF52">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符合</w:t>
                  </w:r>
                </w:p>
              </w:tc>
            </w:tr>
            <w:tr w14:paraId="4B192A6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blHeader/>
                <w:jc w:val="center"/>
              </w:trPr>
              <w:tc>
                <w:tcPr>
                  <w:tcW w:w="658" w:type="dxa"/>
                  <w:vMerge w:val="continue"/>
                  <w:noWrap w:val="0"/>
                  <w:vAlign w:val="center"/>
                </w:tcPr>
                <w:p w14:paraId="3CB1E495">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p>
              </w:tc>
              <w:tc>
                <w:tcPr>
                  <w:tcW w:w="3042" w:type="dxa"/>
                  <w:noWrap w:val="0"/>
                  <w:vAlign w:val="center"/>
                </w:tcPr>
                <w:p w14:paraId="220DB5D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kern w:val="0"/>
                      <w:sz w:val="21"/>
                      <w:szCs w:val="21"/>
                      <w:highlight w:val="none"/>
                      <w:lang w:bidi="ar"/>
                    </w:rPr>
                    <w:t>（三）严格执行生态环境准入要求。强化现有及入区企业污染物排放管控要求，禁止与主导产业不相关的项目入区，近期不引入“两高”建设项目，严格落实开发区规划水资源论证报告书及其审查意见。</w:t>
                  </w:r>
                </w:p>
              </w:tc>
              <w:tc>
                <w:tcPr>
                  <w:tcW w:w="2954" w:type="dxa"/>
                  <w:noWrap w:val="0"/>
                  <w:vAlign w:val="center"/>
                </w:tcPr>
                <w:p w14:paraId="61A5911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本项目为新建生物质锅炉项目，不属于与主导产业不相关的项目，不属于“两高”项目。</w:t>
                  </w:r>
                </w:p>
              </w:tc>
              <w:tc>
                <w:tcPr>
                  <w:tcW w:w="668" w:type="dxa"/>
                  <w:noWrap w:val="0"/>
                  <w:vAlign w:val="center"/>
                </w:tcPr>
                <w:p w14:paraId="05134CB7">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符合</w:t>
                  </w:r>
                </w:p>
              </w:tc>
            </w:tr>
            <w:tr w14:paraId="4233DBA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blHeader/>
                <w:jc w:val="center"/>
              </w:trPr>
              <w:tc>
                <w:tcPr>
                  <w:tcW w:w="658" w:type="dxa"/>
                  <w:vMerge w:val="continue"/>
                  <w:noWrap w:val="0"/>
                  <w:vAlign w:val="center"/>
                </w:tcPr>
                <w:p w14:paraId="7984E176">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p>
              </w:tc>
              <w:tc>
                <w:tcPr>
                  <w:tcW w:w="3042" w:type="dxa"/>
                  <w:noWrap w:val="0"/>
                  <w:vAlign w:val="center"/>
                </w:tcPr>
                <w:p w14:paraId="6DC7F1E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kern w:val="0"/>
                      <w:sz w:val="21"/>
                      <w:szCs w:val="21"/>
                      <w:highlight w:val="none"/>
                      <w:lang w:bidi="ar"/>
                    </w:rPr>
                    <w:t>（四）加强梨树工业谷环境基础设施建设。加快污水集中处理设施、中水回用设施、集中供热设施及配套管网建设进度，提高再生水回用率；一般工业固体废物、危险废物应依法依规收集、利用、处置。</w:t>
                  </w:r>
                </w:p>
              </w:tc>
              <w:tc>
                <w:tcPr>
                  <w:tcW w:w="2954" w:type="dxa"/>
                  <w:noWrap w:val="0"/>
                  <w:vAlign w:val="center"/>
                </w:tcPr>
                <w:p w14:paraId="261024EC">
                  <w:pPr>
                    <w:pStyle w:val="150"/>
                    <w:snapToGrid w:val="0"/>
                    <w:spacing w:line="240" w:lineRule="auto"/>
                    <w:rPr>
                      <w:rFonts w:ascii="Times New Roman" w:hAnsi="Times New Roman"/>
                      <w:color w:val="auto"/>
                      <w:sz w:val="21"/>
                      <w:szCs w:val="21"/>
                      <w:highlight w:val="none"/>
                    </w:rPr>
                  </w:pPr>
                  <w:r>
                    <w:rPr>
                      <w:rFonts w:ascii="Times New Roman" w:hAnsi="Times New Roman"/>
                      <w:color w:val="auto"/>
                      <w:sz w:val="21"/>
                      <w:szCs w:val="21"/>
                      <w:highlight w:val="none"/>
                    </w:rPr>
                    <w:t>本项目拟充分利用工业谷公共环境基础设施，目前梨树工业谷污水处理厂已建成，可接收处理本项目产生的污水。</w:t>
                  </w:r>
                </w:p>
                <w:p w14:paraId="45412658">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项目产生的</w:t>
                  </w:r>
                  <w:r>
                    <w:rPr>
                      <w:rFonts w:hint="eastAsia" w:ascii="Times New Roman" w:hAnsi="Times New Roman"/>
                      <w:color w:val="auto"/>
                      <w:sz w:val="21"/>
                      <w:szCs w:val="21"/>
                      <w:highlight w:val="none"/>
                      <w:lang w:eastAsia="zh-CN"/>
                    </w:rPr>
                    <w:t>废机油</w:t>
                  </w:r>
                  <w:r>
                    <w:rPr>
                      <w:rFonts w:hint="eastAsia" w:ascii="Times New Roman" w:hAnsi="Times New Roman"/>
                      <w:color w:val="auto"/>
                      <w:sz w:val="21"/>
                      <w:szCs w:val="21"/>
                      <w:highlight w:val="none"/>
                      <w:lang w:val="en-US" w:eastAsia="zh-CN"/>
                    </w:rPr>
                    <w:t>等危险废物</w:t>
                  </w:r>
                  <w:r>
                    <w:rPr>
                      <w:rFonts w:ascii="Times New Roman" w:hAnsi="Times New Roman"/>
                      <w:color w:val="auto"/>
                      <w:sz w:val="21"/>
                      <w:szCs w:val="21"/>
                      <w:highlight w:val="none"/>
                    </w:rPr>
                    <w:t>暂存后交有资质单位清运并处置；废离子交换树脂</w:t>
                  </w:r>
                  <w:r>
                    <w:rPr>
                      <w:rFonts w:ascii="Times New Roman" w:hAnsi="Times New Roman"/>
                      <w:snapToGrid w:val="0"/>
                      <w:color w:val="auto"/>
                      <w:sz w:val="21"/>
                      <w:szCs w:val="21"/>
                      <w:highlight w:val="none"/>
                    </w:rPr>
                    <w:t>交生产厂家回收；</w:t>
                  </w:r>
                  <w:r>
                    <w:rPr>
                      <w:rFonts w:ascii="Times New Roman" w:hAnsi="Times New Roman"/>
                      <w:color w:val="auto"/>
                      <w:sz w:val="21"/>
                      <w:szCs w:val="21"/>
                      <w:highlight w:val="none"/>
                    </w:rPr>
                    <w:t>炉渣、除尘灰等外售综合利用。因此，厂区产生</w:t>
                  </w:r>
                  <w:r>
                    <w:rPr>
                      <w:rFonts w:ascii="Times New Roman" w:hAnsi="Times New Roman"/>
                      <w:color w:val="auto"/>
                      <w:sz w:val="21"/>
                      <w:szCs w:val="21"/>
                      <w:highlight w:val="none"/>
                      <w:lang w:bidi="ar"/>
                    </w:rPr>
                    <w:t>一般工业固体废物和危险废物均可做到妥善处置，符合规划要求。</w:t>
                  </w:r>
                </w:p>
              </w:tc>
              <w:tc>
                <w:tcPr>
                  <w:tcW w:w="668" w:type="dxa"/>
                  <w:noWrap w:val="0"/>
                  <w:vAlign w:val="center"/>
                </w:tcPr>
                <w:p w14:paraId="20EFFE26">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符合</w:t>
                  </w:r>
                </w:p>
              </w:tc>
            </w:tr>
            <w:tr w14:paraId="75E0A1C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blHeader/>
                <w:jc w:val="center"/>
              </w:trPr>
              <w:tc>
                <w:tcPr>
                  <w:tcW w:w="658" w:type="dxa"/>
                  <w:vMerge w:val="continue"/>
                  <w:noWrap w:val="0"/>
                  <w:vAlign w:val="center"/>
                </w:tcPr>
                <w:p w14:paraId="54D31A08">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p>
              </w:tc>
              <w:tc>
                <w:tcPr>
                  <w:tcW w:w="3042" w:type="dxa"/>
                  <w:noWrap w:val="0"/>
                  <w:vAlign w:val="center"/>
                </w:tcPr>
                <w:p w14:paraId="5B0DA87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kern w:val="0"/>
                      <w:sz w:val="21"/>
                      <w:szCs w:val="21"/>
                      <w:highlight w:val="none"/>
                      <w:lang w:bidi="ar"/>
                    </w:rPr>
                    <w:t>（五）加快落实居民搬迁安置计划。在拟动迁的区域搬迁改造完成前，其周边区块应暂缓发展并预留足够的环境防护距离。</w:t>
                  </w:r>
                </w:p>
              </w:tc>
              <w:tc>
                <w:tcPr>
                  <w:tcW w:w="2954" w:type="dxa"/>
                  <w:noWrap w:val="0"/>
                  <w:vAlign w:val="center"/>
                </w:tcPr>
                <w:p w14:paraId="55C4D706">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本项目利用现有厂区进行建设，不涉及新增占地，不涉及居民搬迁等，符合规划要求。</w:t>
                  </w:r>
                </w:p>
              </w:tc>
              <w:tc>
                <w:tcPr>
                  <w:tcW w:w="668" w:type="dxa"/>
                  <w:noWrap w:val="0"/>
                  <w:vAlign w:val="center"/>
                </w:tcPr>
                <w:p w14:paraId="16D0082B">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符合</w:t>
                  </w:r>
                </w:p>
              </w:tc>
            </w:tr>
            <w:tr w14:paraId="0D4C1EC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blHeader/>
                <w:jc w:val="center"/>
              </w:trPr>
              <w:tc>
                <w:tcPr>
                  <w:tcW w:w="658" w:type="dxa"/>
                  <w:vMerge w:val="continue"/>
                  <w:noWrap w:val="0"/>
                  <w:vAlign w:val="center"/>
                </w:tcPr>
                <w:p w14:paraId="25ED2513">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p>
              </w:tc>
              <w:tc>
                <w:tcPr>
                  <w:tcW w:w="3042" w:type="dxa"/>
                  <w:noWrap w:val="0"/>
                  <w:vAlign w:val="center"/>
                </w:tcPr>
                <w:p w14:paraId="2E2F05C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kern w:val="0"/>
                      <w:sz w:val="21"/>
                      <w:szCs w:val="21"/>
                      <w:highlight w:val="none"/>
                      <w:lang w:bidi="ar"/>
                    </w:rPr>
                    <w:t>（六）提升环境风险防控水平。根据园区环境风险源识别结果，强化区域环境风险防控，建立应急响应联动机制，督促园区内企业落实环境风险管理要求，提升环境风险防控和应急响应能力，切实保障区域环境安全。邻近穆棱河的片区，应严格落实三级防控措施，防止发生水污染事件。</w:t>
                  </w:r>
                </w:p>
              </w:tc>
              <w:tc>
                <w:tcPr>
                  <w:tcW w:w="2954" w:type="dxa"/>
                  <w:noWrap w:val="0"/>
                  <w:vAlign w:val="center"/>
                </w:tcPr>
                <w:p w14:paraId="3627DDCB">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本项目建成结合全厂制定环境风险防范措施及突发环境事件应急预案。</w:t>
                  </w:r>
                  <w:r>
                    <w:rPr>
                      <w:rFonts w:ascii="Times New Roman" w:hAnsi="Times New Roman"/>
                      <w:color w:val="auto"/>
                      <w:sz w:val="21"/>
                      <w:szCs w:val="21"/>
                      <w:highlight w:val="none"/>
                      <w:lang w:bidi="ar"/>
                    </w:rPr>
                    <w:t>防止发生事故废水污染穆棱河及其支流的事件。</w:t>
                  </w:r>
                </w:p>
              </w:tc>
              <w:tc>
                <w:tcPr>
                  <w:tcW w:w="668" w:type="dxa"/>
                  <w:noWrap w:val="0"/>
                  <w:vAlign w:val="center"/>
                </w:tcPr>
                <w:p w14:paraId="48816A9E">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符合</w:t>
                  </w:r>
                </w:p>
              </w:tc>
            </w:tr>
            <w:tr w14:paraId="2AC48C2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trHeight w:val="105" w:hRule="atLeast"/>
                <w:tblHeader/>
                <w:jc w:val="center"/>
              </w:trPr>
              <w:tc>
                <w:tcPr>
                  <w:tcW w:w="658" w:type="dxa"/>
                  <w:vMerge w:val="continue"/>
                  <w:noWrap w:val="0"/>
                  <w:vAlign w:val="center"/>
                </w:tcPr>
                <w:p w14:paraId="7706D1BE">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p>
              </w:tc>
              <w:tc>
                <w:tcPr>
                  <w:tcW w:w="3042" w:type="dxa"/>
                  <w:noWrap w:val="0"/>
                  <w:vAlign w:val="center"/>
                </w:tcPr>
                <w:p w14:paraId="30310B1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kern w:val="0"/>
                      <w:sz w:val="21"/>
                      <w:szCs w:val="21"/>
                      <w:highlight w:val="none"/>
                      <w:lang w:bidi="ar"/>
                    </w:rPr>
                    <w:t>（七）建立健全环境监测体系。建立包括环境空气、地表水、地下水、土壤等环境要素的监控体系，加强定期监测和评估，并根据监测评估结果适时优化调整《规划》。</w:t>
                  </w:r>
                </w:p>
              </w:tc>
              <w:tc>
                <w:tcPr>
                  <w:tcW w:w="2954" w:type="dxa"/>
                  <w:noWrap w:val="0"/>
                  <w:vAlign w:val="center"/>
                </w:tcPr>
                <w:p w14:paraId="65E73B32">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本项目制定了环境监测计划，建设单位定期开展监测。</w:t>
                  </w:r>
                </w:p>
              </w:tc>
              <w:tc>
                <w:tcPr>
                  <w:tcW w:w="668" w:type="dxa"/>
                  <w:noWrap w:val="0"/>
                  <w:vAlign w:val="center"/>
                </w:tcPr>
                <w:p w14:paraId="0C04A340">
                  <w:pPr>
                    <w:pStyle w:val="150"/>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sz w:val="21"/>
                      <w:szCs w:val="21"/>
                      <w:highlight w:val="none"/>
                    </w:rPr>
                    <w:t>符合</w:t>
                  </w:r>
                </w:p>
              </w:tc>
            </w:tr>
          </w:tbl>
          <w:p w14:paraId="50E6A6A6">
            <w:pPr>
              <w:spacing w:line="360" w:lineRule="auto"/>
              <w:ind w:firstLine="480"/>
              <w:rPr>
                <w:rFonts w:hint="default"/>
                <w:color w:val="auto"/>
                <w:highlight w:val="none"/>
                <w:lang w:val="en-US" w:eastAsia="zh-CN"/>
              </w:rPr>
            </w:pPr>
            <w:r>
              <w:rPr>
                <w:rFonts w:ascii="Times New Roman" w:hAnsi="Times New Roman"/>
                <w:color w:val="auto"/>
                <w:sz w:val="24"/>
                <w:highlight w:val="none"/>
              </w:rPr>
              <w:t>由上表分析可知，本项目总体符合《</w:t>
            </w:r>
            <w:r>
              <w:rPr>
                <w:rFonts w:ascii="Times New Roman" w:hAnsi="Times New Roman"/>
                <w:iCs/>
                <w:color w:val="auto"/>
                <w:sz w:val="24"/>
                <w:highlight w:val="none"/>
              </w:rPr>
              <w:t>黑龙江鸡西经济开发区（梨树工业谷）总体规划（2018-2030）环境影响报告书</w:t>
            </w:r>
            <w:r>
              <w:rPr>
                <w:rFonts w:ascii="Times New Roman" w:hAnsi="Times New Roman"/>
                <w:color w:val="auto"/>
                <w:sz w:val="24"/>
                <w:highlight w:val="none"/>
              </w:rPr>
              <w:t>》及其审查意见相关要求。</w:t>
            </w:r>
          </w:p>
        </w:tc>
      </w:tr>
      <w:tr w14:paraId="20F91D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2416" w:hRule="atLeast"/>
          <w:jc w:val="center"/>
        </w:trPr>
        <w:tc>
          <w:tcPr>
            <w:tcW w:w="704" w:type="dxa"/>
            <w:noWrap w:val="0"/>
            <w:vAlign w:val="center"/>
          </w:tcPr>
          <w:p w14:paraId="44EC051E">
            <w:pPr>
              <w:spacing w:line="240" w:lineRule="auto"/>
              <w:ind w:firstLine="0" w:firstLineChars="0"/>
              <w:jc w:val="center"/>
              <w:rPr>
                <w:rFonts w:hint="eastAsia" w:ascii="宋体" w:hAnsi="宋体" w:eastAsia="宋体" w:cs="宋体"/>
                <w:color w:val="auto"/>
                <w:spacing w:val="0"/>
                <w:kern w:val="0"/>
                <w:sz w:val="24"/>
                <w:szCs w:val="24"/>
                <w:highlight w:val="none"/>
              </w:rPr>
            </w:pPr>
            <w:r>
              <w:rPr>
                <w:rFonts w:hint="eastAsia" w:ascii="宋体" w:hAnsi="宋体" w:eastAsia="宋体" w:cs="宋体"/>
                <w:color w:val="auto"/>
                <w:spacing w:val="0"/>
                <w:kern w:val="0"/>
                <w:sz w:val="24"/>
                <w:szCs w:val="24"/>
                <w:highlight w:val="none"/>
              </w:rPr>
              <w:t>其他符合性分析</w:t>
            </w:r>
          </w:p>
        </w:tc>
        <w:tc>
          <w:tcPr>
            <w:tcW w:w="7772" w:type="dxa"/>
            <w:gridSpan w:val="4"/>
            <w:tcBorders>
              <w:bottom w:val="single" w:color="auto" w:sz="4" w:space="0"/>
              <w:right w:val="single" w:color="auto" w:sz="4" w:space="0"/>
            </w:tcBorders>
            <w:noWrap w:val="0"/>
            <w:vAlign w:val="center"/>
          </w:tcPr>
          <w:p w14:paraId="6A0D670E">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1.</w:t>
            </w:r>
            <w:r>
              <w:rPr>
                <w:rFonts w:hint="eastAsia" w:ascii="宋体" w:hAnsi="宋体" w:eastAsia="宋体" w:cs="宋体"/>
                <w:b/>
                <w:bCs w:val="0"/>
                <w:color w:val="auto"/>
                <w:spacing w:val="0"/>
                <w:sz w:val="24"/>
                <w:szCs w:val="24"/>
                <w:highlight w:val="none"/>
                <w:lang w:val="en-US" w:eastAsia="zh-CN"/>
              </w:rPr>
              <w:t>“三线一单”符合性分析</w:t>
            </w:r>
          </w:p>
          <w:p w14:paraId="2F1AF9FD">
            <w:pPr>
              <w:keepNext w:val="0"/>
              <w:keepLines w:val="0"/>
              <w:pageBreakBefore w:val="0"/>
              <w:widowControl w:val="0"/>
              <w:numPr>
                <w:ilvl w:val="0"/>
                <w:numId w:val="0"/>
              </w:numPr>
              <w:shd w:val="clea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生态空间包括生态保护红线和一般生态空间，生态保护红线及一般生态空间均属于优先保护单元。本项目位于</w:t>
            </w:r>
            <w:r>
              <w:rPr>
                <w:rFonts w:hint="eastAsia" w:cs="宋体"/>
                <w:color w:val="auto"/>
                <w:spacing w:val="0"/>
                <w:sz w:val="24"/>
                <w:szCs w:val="24"/>
                <w:highlight w:val="none"/>
                <w:lang w:val="en-US" w:eastAsia="zh-CN"/>
              </w:rPr>
              <w:t>黑龙江鸡西经济开发区梨树工业谷黑龙江省燎泰新材料科技有限公司院内（原碱场社区026乡道与006乡道之间A-03-a-1-1地块）</w:t>
            </w:r>
            <w:r>
              <w:rPr>
                <w:rFonts w:hint="eastAsia" w:ascii="宋体" w:hAnsi="宋体" w:eastAsia="宋体" w:cs="宋体"/>
                <w:color w:val="auto"/>
                <w:spacing w:val="0"/>
                <w:sz w:val="24"/>
                <w:szCs w:val="24"/>
                <w:highlight w:val="none"/>
              </w:rPr>
              <w:t>，与</w:t>
            </w:r>
            <w:r>
              <w:rPr>
                <w:rFonts w:hint="eastAsia" w:ascii="宋体" w:hAnsi="宋体" w:eastAsia="宋体" w:cs="宋体"/>
                <w:color w:val="auto"/>
                <w:spacing w:val="0"/>
                <w:sz w:val="24"/>
                <w:szCs w:val="24"/>
                <w:highlight w:val="none"/>
                <w:lang w:val="en-US" w:eastAsia="zh-CN"/>
              </w:rPr>
              <w:t>鸡西市市</w:t>
            </w:r>
            <w:r>
              <w:rPr>
                <w:rFonts w:hint="eastAsia" w:ascii="宋体" w:hAnsi="宋体" w:eastAsia="宋体" w:cs="宋体"/>
                <w:color w:val="auto"/>
                <w:spacing w:val="0"/>
                <w:sz w:val="24"/>
                <w:szCs w:val="24"/>
                <w:highlight w:val="none"/>
              </w:rPr>
              <w:t>环境管控单元图对照，本项目所在区域不属于优先保护单元。选址位置处无自然保护区、风景旅游区、文物保护区及珍稀动物保护区等敏感因素。</w:t>
            </w:r>
          </w:p>
          <w:p w14:paraId="55C44591">
            <w:pP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“三区三线”中，三区是指农业空间、生态空间、城镇空间三种类型的国土空间</w:t>
            </w:r>
            <w:r>
              <w:rPr>
                <w:rFonts w:hint="eastAsia" w:cs="宋体"/>
                <w:color w:val="auto"/>
                <w:spacing w:val="0"/>
                <w:sz w:val="24"/>
                <w:szCs w:val="24"/>
                <w:highlight w:val="none"/>
                <w:lang w:eastAsia="zh-CN"/>
              </w:rPr>
              <w:t>：</w:t>
            </w:r>
            <w:r>
              <w:rPr>
                <w:rFonts w:hint="eastAsia" w:ascii="宋体" w:hAnsi="宋体" w:eastAsia="宋体" w:cs="宋体"/>
                <w:color w:val="auto"/>
                <w:spacing w:val="0"/>
                <w:sz w:val="24"/>
                <w:szCs w:val="24"/>
                <w:highlight w:val="none"/>
              </w:rPr>
              <w:t>三线分别对应在农业空间、生态空间、城镇空间划定的永久基本农田保护红线、生态保护红线和城镇开发边界三条控制线。黑龙江省“三区三线”划定成果通过自然资源部质检，并于11月1日经自然资源部正式批准启用。</w:t>
            </w:r>
            <w:r>
              <w:rPr>
                <w:rFonts w:hint="eastAsia" w:cs="宋体"/>
                <w:color w:val="auto"/>
                <w:spacing w:val="0"/>
                <w:sz w:val="24"/>
                <w:szCs w:val="24"/>
                <w:highlight w:val="none"/>
                <w:lang w:val="en-US" w:eastAsia="zh-CN"/>
              </w:rPr>
              <w:t>根据《黑龙江省生态环境分区管控数据应用平台》出具的生态环境分区管控分析报告，本项目与生态保护红线交际面积为0平方公里，占项目占地面积的0%，项目不涉及占压生态保护红线，详见附件8。</w:t>
            </w:r>
            <w:r>
              <w:rPr>
                <w:rFonts w:hint="eastAsia" w:ascii="宋体" w:hAnsi="宋体" w:eastAsia="宋体" w:cs="宋体"/>
                <w:color w:val="auto"/>
                <w:spacing w:val="0"/>
                <w:sz w:val="24"/>
                <w:szCs w:val="24"/>
                <w:highlight w:val="none"/>
              </w:rPr>
              <w:t>根据</w:t>
            </w:r>
            <w:r>
              <w:rPr>
                <w:rFonts w:ascii="Times New Roman" w:hAnsi="Times New Roman"/>
                <w:bCs/>
                <w:color w:val="auto"/>
                <w:kern w:val="21"/>
                <w:sz w:val="24"/>
                <w:highlight w:val="none"/>
              </w:rPr>
              <w:t>《鸡西市人民政府关于实施</w:t>
            </w:r>
            <w:r>
              <w:rPr>
                <w:rFonts w:hint="eastAsia" w:ascii="宋体" w:hAnsi="宋体" w:eastAsia="宋体" w:cs="宋体"/>
                <w:bCs/>
                <w:color w:val="auto"/>
                <w:kern w:val="21"/>
                <w:sz w:val="24"/>
                <w:highlight w:val="none"/>
              </w:rPr>
              <w:t>“</w:t>
            </w:r>
            <w:r>
              <w:rPr>
                <w:rFonts w:ascii="Times New Roman" w:hAnsi="Times New Roman"/>
                <w:bCs/>
                <w:color w:val="auto"/>
                <w:kern w:val="21"/>
                <w:sz w:val="24"/>
                <w:highlight w:val="none"/>
              </w:rPr>
              <w:t>三线一单</w:t>
            </w:r>
            <w:r>
              <w:rPr>
                <w:rFonts w:hint="eastAsia" w:ascii="宋体" w:hAnsi="宋体" w:eastAsia="宋体" w:cs="宋体"/>
                <w:bCs/>
                <w:color w:val="auto"/>
                <w:kern w:val="21"/>
                <w:sz w:val="24"/>
                <w:highlight w:val="none"/>
              </w:rPr>
              <w:t>”</w:t>
            </w:r>
            <w:r>
              <w:rPr>
                <w:rFonts w:ascii="Times New Roman" w:hAnsi="Times New Roman"/>
                <w:bCs/>
                <w:color w:val="auto"/>
                <w:kern w:val="21"/>
                <w:sz w:val="24"/>
                <w:highlight w:val="none"/>
              </w:rPr>
              <w:t>生态环境分区管控的意见》（鸡政发</w:t>
            </w:r>
            <w:r>
              <w:rPr>
                <w:rFonts w:hint="eastAsia" w:cs="宋体"/>
                <w:color w:val="auto"/>
                <w:spacing w:val="0"/>
                <w:sz w:val="24"/>
                <w:szCs w:val="24"/>
                <w:highlight w:val="none"/>
                <w:lang w:eastAsia="zh-CN"/>
              </w:rPr>
              <w:t>〔</w:t>
            </w:r>
            <w:r>
              <w:rPr>
                <w:rFonts w:ascii="Times New Roman" w:hAnsi="Times New Roman"/>
                <w:bCs/>
                <w:color w:val="auto"/>
                <w:kern w:val="21"/>
                <w:sz w:val="24"/>
                <w:highlight w:val="none"/>
              </w:rPr>
              <w:t>2021</w:t>
            </w:r>
            <w:r>
              <w:rPr>
                <w:rFonts w:hint="eastAsia" w:cs="宋体"/>
                <w:color w:val="auto"/>
                <w:spacing w:val="0"/>
                <w:sz w:val="24"/>
                <w:szCs w:val="24"/>
                <w:highlight w:val="none"/>
                <w:lang w:eastAsia="zh-CN"/>
              </w:rPr>
              <w:t>〕</w:t>
            </w:r>
            <w:r>
              <w:rPr>
                <w:rFonts w:ascii="Times New Roman" w:hAnsi="Times New Roman"/>
                <w:bCs/>
                <w:color w:val="auto"/>
                <w:kern w:val="21"/>
                <w:sz w:val="24"/>
                <w:highlight w:val="none"/>
              </w:rPr>
              <w:t>7号）</w:t>
            </w:r>
            <w:r>
              <w:rPr>
                <w:rFonts w:hint="eastAsia" w:ascii="宋体" w:hAnsi="宋体" w:eastAsia="宋体" w:cs="宋体"/>
                <w:color w:val="auto"/>
                <w:spacing w:val="0"/>
                <w:sz w:val="24"/>
                <w:szCs w:val="24"/>
                <w:highlight w:val="none"/>
              </w:rPr>
              <w:t>和《自然资源部办公厅关于依据“三区三线</w:t>
            </w:r>
            <w:r>
              <w:rPr>
                <w:rFonts w:hint="default" w:cs="宋体"/>
                <w:color w:val="auto"/>
                <w:spacing w:val="0"/>
                <w:sz w:val="24"/>
                <w:szCs w:val="24"/>
                <w:highlight w:val="none"/>
                <w:lang w:val="en-US" w:eastAsia="zh-CN"/>
              </w:rPr>
              <w:t>”</w:t>
            </w:r>
            <w:r>
              <w:rPr>
                <w:rFonts w:hint="eastAsia" w:ascii="宋体" w:hAnsi="宋体" w:eastAsia="宋体" w:cs="宋体"/>
                <w:color w:val="auto"/>
                <w:spacing w:val="0"/>
                <w:sz w:val="24"/>
                <w:szCs w:val="24"/>
                <w:highlight w:val="none"/>
              </w:rPr>
              <w:t>划定成果报批建设项目用地用海有关事宜的函》</w:t>
            </w:r>
            <w:r>
              <w:rPr>
                <w:rFonts w:hint="eastAsia" w:cs="宋体"/>
                <w:color w:val="auto"/>
                <w:spacing w:val="0"/>
                <w:sz w:val="24"/>
                <w:szCs w:val="24"/>
                <w:highlight w:val="none"/>
                <w:lang w:val="en-US" w:eastAsia="zh-CN"/>
              </w:rPr>
              <w:t>（</w:t>
            </w:r>
            <w:r>
              <w:rPr>
                <w:rFonts w:hint="eastAsia" w:ascii="宋体" w:hAnsi="宋体" w:eastAsia="宋体" w:cs="宋体"/>
                <w:color w:val="auto"/>
                <w:spacing w:val="0"/>
                <w:sz w:val="24"/>
                <w:szCs w:val="24"/>
                <w:highlight w:val="none"/>
              </w:rPr>
              <w:t>自然资办函</w:t>
            </w:r>
            <w:r>
              <w:rPr>
                <w:rFonts w:hint="eastAsia" w:cs="宋体"/>
                <w:color w:val="auto"/>
                <w:spacing w:val="0"/>
                <w:sz w:val="24"/>
                <w:szCs w:val="24"/>
                <w:highlight w:val="none"/>
                <w:lang w:eastAsia="zh-CN"/>
              </w:rPr>
              <w:t>〔2022〕2072号）</w:t>
            </w:r>
            <w:r>
              <w:rPr>
                <w:rFonts w:hint="eastAsia" w:ascii="宋体" w:hAnsi="宋体" w:eastAsia="宋体" w:cs="宋体"/>
                <w:color w:val="auto"/>
                <w:spacing w:val="0"/>
                <w:sz w:val="24"/>
                <w:szCs w:val="24"/>
                <w:highlight w:val="none"/>
              </w:rPr>
              <w:t>文件及附图，本项目所在地不在生态空间内，同时也不在生态红线内。综上所述，本项目满足生态保护红线要求</w:t>
            </w:r>
            <w:r>
              <w:rPr>
                <w:rFonts w:hint="eastAsia" w:ascii="宋体" w:hAnsi="宋体" w:eastAsia="宋体" w:cs="宋体"/>
                <w:color w:val="auto"/>
                <w:spacing w:val="0"/>
                <w:sz w:val="24"/>
                <w:szCs w:val="24"/>
                <w:highlight w:val="none"/>
                <w:lang w:eastAsia="zh-CN"/>
              </w:rPr>
              <w:t>。</w:t>
            </w:r>
          </w:p>
          <w:p w14:paraId="6E7A3861">
            <w:pPr>
              <w:numPr>
                <w:ilvl w:val="0"/>
                <w:numId w:val="4"/>
              </w:numPr>
              <w:adjustRightInd w:val="0"/>
              <w:snapToGrid w:val="0"/>
              <w:spacing w:line="360" w:lineRule="auto"/>
              <w:ind w:firstLine="480" w:firstLineChars="200"/>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环境质量底线</w:t>
            </w:r>
          </w:p>
          <w:p w14:paraId="572F9D2D">
            <w:pPr>
              <w:adjustRightInd w:val="0"/>
              <w:snapToGrid w:val="0"/>
              <w:spacing w:line="360" w:lineRule="auto"/>
              <w:ind w:firstLine="480" w:firstLineChars="200"/>
              <w:jc w:val="left"/>
              <w:rPr>
                <w:rFonts w:hint="eastAsia" w:ascii="宋体" w:hAnsi="宋体" w:eastAsia="宋体" w:cs="宋体"/>
                <w:iCs/>
                <w:color w:val="auto"/>
                <w:spacing w:val="0"/>
                <w:sz w:val="24"/>
                <w:highlight w:val="none"/>
              </w:rPr>
            </w:pPr>
            <w:r>
              <w:rPr>
                <w:rFonts w:hint="eastAsia" w:ascii="宋体" w:hAnsi="宋体" w:eastAsia="宋体" w:cs="宋体"/>
                <w:color w:val="auto"/>
                <w:spacing w:val="0"/>
                <w:highlight w:val="none"/>
              </w:rPr>
              <w:t>根据《2024年黑龙江省生态环境质量状况》，鸡西市空气质量级别达二级标准</w:t>
            </w:r>
            <w:r>
              <w:rPr>
                <w:rFonts w:hint="eastAsia" w:cs="宋体"/>
                <w:color w:val="auto"/>
                <w:spacing w:val="0"/>
                <w:highlight w:val="none"/>
                <w:lang w:eastAsia="zh-CN"/>
              </w:rPr>
              <w:t>，</w:t>
            </w:r>
            <w:r>
              <w:rPr>
                <w:rFonts w:hint="eastAsia" w:cs="宋体"/>
                <w:color w:val="auto"/>
                <w:spacing w:val="0"/>
                <w:highlight w:val="none"/>
                <w:lang w:val="en-US" w:eastAsia="zh-CN"/>
              </w:rPr>
              <w:t>项目所在区域为达标区</w:t>
            </w:r>
            <w:r>
              <w:rPr>
                <w:rFonts w:hint="eastAsia" w:ascii="宋体" w:hAnsi="宋体" w:eastAsia="宋体" w:cs="宋体"/>
                <w:color w:val="auto"/>
                <w:spacing w:val="0"/>
                <w:highlight w:val="none"/>
              </w:rPr>
              <w:t>。根据《2024年黑龙江省生态环境状况公报》，穆棱河鸡东境内该段水体指标可满足Ⅲ类水体功能标准，水体状况良好。根据《2024年黑龙江省生态环境质量状况公报》，鸡西市区域昼间声环境质量为二级，等效声级为53.6dB（A）；道路交通昼间声环境质量为一级，等效声级为65.8dB（A）；功能区昼间达标率100%；功能区夜间达标率100%。</w:t>
            </w:r>
          </w:p>
          <w:p w14:paraId="035464C4">
            <w:pPr>
              <w:adjustRightInd w:val="0"/>
              <w:snapToGrid w:val="0"/>
              <w:spacing w:line="360" w:lineRule="auto"/>
              <w:ind w:firstLine="480" w:firstLineChars="200"/>
              <w:jc w:val="left"/>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本项目产生的废气主要为</w:t>
            </w:r>
            <w:r>
              <w:rPr>
                <w:rFonts w:hint="eastAsia" w:cs="宋体"/>
                <w:color w:val="auto"/>
                <w:spacing w:val="0"/>
                <w:sz w:val="24"/>
                <w:highlight w:val="none"/>
                <w:lang w:val="en-US" w:eastAsia="zh-CN"/>
              </w:rPr>
              <w:t>生物质锅炉</w:t>
            </w:r>
            <w:r>
              <w:rPr>
                <w:rFonts w:hint="eastAsia" w:ascii="宋体" w:hAnsi="宋体" w:eastAsia="宋体" w:cs="宋体"/>
                <w:color w:val="auto"/>
                <w:spacing w:val="0"/>
                <w:sz w:val="24"/>
                <w:highlight w:val="none"/>
                <w:lang w:val="en-US" w:eastAsia="zh-CN"/>
              </w:rPr>
              <w:t>产生锅炉废气，产生的废气经</w:t>
            </w:r>
            <w:r>
              <w:rPr>
                <w:rFonts w:hint="eastAsia" w:cs="宋体"/>
                <w:color w:val="auto"/>
                <w:spacing w:val="0"/>
                <w:sz w:val="24"/>
                <w:highlight w:val="none"/>
                <w:lang w:val="en-US" w:eastAsia="zh-CN"/>
              </w:rPr>
              <w:t>DA010</w:t>
            </w:r>
            <w:r>
              <w:rPr>
                <w:rFonts w:hint="eastAsia" w:ascii="宋体" w:hAnsi="宋体" w:eastAsia="宋体" w:cs="宋体"/>
                <w:color w:val="auto"/>
                <w:spacing w:val="0"/>
                <w:sz w:val="24"/>
                <w:highlight w:val="none"/>
                <w:lang w:val="en-US" w:eastAsia="zh-CN"/>
              </w:rPr>
              <w:t>排气筒有组织排放，颗粒物、二氧化硫、氮氧化物、烟气黑度排放</w:t>
            </w:r>
            <w:r>
              <w:rPr>
                <w:rFonts w:hint="eastAsia" w:ascii="宋体" w:hAnsi="宋体" w:eastAsia="宋体" w:cs="宋体"/>
                <w:color w:val="auto"/>
                <w:spacing w:val="0"/>
                <w:sz w:val="24"/>
                <w:highlight w:val="none"/>
              </w:rPr>
              <w:t>满足《</w:t>
            </w:r>
            <w:r>
              <w:rPr>
                <w:rFonts w:hint="eastAsia" w:ascii="宋体" w:hAnsi="宋体" w:eastAsia="宋体" w:cs="宋体"/>
                <w:color w:val="auto"/>
                <w:spacing w:val="0"/>
                <w:sz w:val="24"/>
                <w:highlight w:val="none"/>
                <w:lang w:val="en-US" w:eastAsia="zh-CN"/>
              </w:rPr>
              <w:t>锅炉大气污染物排放标准</w:t>
            </w:r>
            <w:r>
              <w:rPr>
                <w:rFonts w:hint="eastAsia" w:ascii="宋体" w:hAnsi="宋体" w:eastAsia="宋体" w:cs="宋体"/>
                <w:color w:val="auto"/>
                <w:spacing w:val="0"/>
                <w:sz w:val="24"/>
                <w:highlight w:val="none"/>
              </w:rPr>
              <w:t>》（GB</w:t>
            </w:r>
            <w:r>
              <w:rPr>
                <w:rFonts w:hint="eastAsia" w:ascii="宋体" w:hAnsi="宋体" w:eastAsia="宋体" w:cs="宋体"/>
                <w:color w:val="auto"/>
                <w:spacing w:val="0"/>
                <w:sz w:val="24"/>
                <w:highlight w:val="none"/>
                <w:lang w:val="en-US" w:eastAsia="zh-CN"/>
              </w:rPr>
              <w:t>13271</w:t>
            </w:r>
            <w:r>
              <w:rPr>
                <w:rFonts w:hint="eastAsia" w:ascii="宋体" w:hAnsi="宋体" w:eastAsia="宋体" w:cs="宋体"/>
                <w:color w:val="auto"/>
                <w:spacing w:val="0"/>
                <w:sz w:val="24"/>
                <w:highlight w:val="none"/>
              </w:rPr>
              <w:t>-</w:t>
            </w:r>
            <w:r>
              <w:rPr>
                <w:rFonts w:hint="eastAsia" w:ascii="宋体" w:hAnsi="宋体" w:eastAsia="宋体" w:cs="宋体"/>
                <w:color w:val="auto"/>
                <w:spacing w:val="0"/>
                <w:sz w:val="24"/>
                <w:highlight w:val="none"/>
                <w:lang w:val="en-US" w:eastAsia="zh-CN"/>
              </w:rPr>
              <w:t>2014</w:t>
            </w:r>
            <w:r>
              <w:rPr>
                <w:rFonts w:hint="eastAsia" w:ascii="宋体" w:hAnsi="宋体" w:eastAsia="宋体" w:cs="宋体"/>
                <w:color w:val="auto"/>
                <w:spacing w:val="0"/>
                <w:sz w:val="24"/>
                <w:highlight w:val="none"/>
              </w:rPr>
              <w:t>）表</w:t>
            </w:r>
            <w:r>
              <w:rPr>
                <w:rFonts w:hint="eastAsia" w:ascii="宋体" w:hAnsi="宋体" w:eastAsia="宋体" w:cs="宋体"/>
                <w:color w:val="auto"/>
                <w:spacing w:val="0"/>
                <w:sz w:val="24"/>
                <w:highlight w:val="none"/>
                <w:lang w:val="en-US" w:eastAsia="zh-CN"/>
              </w:rPr>
              <w:t>2排放限值</w:t>
            </w:r>
            <w:r>
              <w:rPr>
                <w:rFonts w:hint="eastAsia" w:ascii="宋体" w:hAnsi="宋体" w:eastAsia="宋体" w:cs="宋体"/>
                <w:color w:val="auto"/>
                <w:spacing w:val="0"/>
                <w:sz w:val="24"/>
                <w:highlight w:val="none"/>
              </w:rPr>
              <w:t>；本项目产生的废水主要为</w:t>
            </w:r>
            <w:r>
              <w:rPr>
                <w:rFonts w:hint="eastAsia" w:cs="宋体"/>
                <w:color w:val="auto"/>
                <w:spacing w:val="0"/>
                <w:sz w:val="24"/>
                <w:highlight w:val="none"/>
                <w:lang w:val="en-US" w:eastAsia="zh-CN"/>
              </w:rPr>
              <w:t>锅炉排污水和软水制备废水</w:t>
            </w:r>
            <w:r>
              <w:rPr>
                <w:rFonts w:hint="eastAsia" w:ascii="宋体" w:hAnsi="宋体" w:eastAsia="宋体" w:cs="宋体"/>
                <w:color w:val="auto"/>
                <w:spacing w:val="0"/>
                <w:sz w:val="24"/>
                <w:highlight w:val="none"/>
              </w:rPr>
              <w:t>，</w:t>
            </w:r>
            <w:r>
              <w:rPr>
                <w:rFonts w:hint="eastAsia" w:ascii="宋体" w:hAnsi="宋体" w:eastAsia="宋体" w:cs="宋体"/>
                <w:color w:val="auto"/>
                <w:spacing w:val="0"/>
                <w:sz w:val="24"/>
                <w:highlight w:val="none"/>
                <w:lang w:val="en-US" w:eastAsia="zh-CN"/>
              </w:rPr>
              <w:t>锅炉排污水</w:t>
            </w:r>
            <w:r>
              <w:rPr>
                <w:rFonts w:hint="eastAsia" w:cs="宋体"/>
                <w:color w:val="auto"/>
                <w:spacing w:val="0"/>
                <w:sz w:val="24"/>
                <w:highlight w:val="none"/>
                <w:lang w:val="en-US" w:eastAsia="zh-CN"/>
              </w:rPr>
              <w:t>和软水制备废水经</w:t>
            </w:r>
            <w:r>
              <w:rPr>
                <w:rFonts w:hint="eastAsia" w:ascii="宋体" w:hAnsi="宋体" w:eastAsia="宋体" w:cs="宋体"/>
                <w:color w:val="auto"/>
                <w:spacing w:val="0"/>
                <w:sz w:val="24"/>
                <w:highlight w:val="none"/>
              </w:rPr>
              <w:t>市政管网</w:t>
            </w:r>
            <w:r>
              <w:rPr>
                <w:rFonts w:hint="eastAsia" w:cs="宋体"/>
                <w:color w:val="auto"/>
                <w:spacing w:val="0"/>
                <w:sz w:val="24"/>
                <w:highlight w:val="none"/>
                <w:lang w:val="en-US" w:eastAsia="zh-CN"/>
              </w:rPr>
              <w:t>排入</w:t>
            </w:r>
            <w:r>
              <w:rPr>
                <w:rFonts w:hint="eastAsia" w:cs="宋体"/>
                <w:color w:val="auto"/>
                <w:spacing w:val="0"/>
                <w:sz w:val="24"/>
                <w:highlight w:val="none"/>
                <w:lang w:eastAsia="zh-CN"/>
              </w:rPr>
              <w:t>梨树工业谷污水处理厂</w:t>
            </w:r>
            <w:r>
              <w:rPr>
                <w:rFonts w:hint="eastAsia" w:ascii="宋体" w:hAnsi="宋体" w:eastAsia="宋体" w:cs="宋体"/>
                <w:color w:val="auto"/>
                <w:spacing w:val="0"/>
                <w:sz w:val="24"/>
                <w:highlight w:val="none"/>
              </w:rPr>
              <w:t>集中处理</w:t>
            </w:r>
            <w:r>
              <w:rPr>
                <w:rFonts w:hint="eastAsia" w:cs="宋体"/>
                <w:color w:val="auto"/>
                <w:spacing w:val="0"/>
                <w:sz w:val="24"/>
                <w:highlight w:val="none"/>
                <w:lang w:eastAsia="zh-CN"/>
              </w:rPr>
              <w:t>；</w:t>
            </w:r>
            <w:r>
              <w:rPr>
                <w:rFonts w:hint="eastAsia" w:ascii="宋体" w:hAnsi="宋体" w:eastAsia="宋体" w:cs="宋体"/>
                <w:color w:val="auto"/>
                <w:spacing w:val="0"/>
                <w:sz w:val="24"/>
                <w:highlight w:val="none"/>
              </w:rPr>
              <w:t>本项目噪声主要来自</w:t>
            </w:r>
            <w:r>
              <w:rPr>
                <w:rFonts w:hint="eastAsia" w:ascii="宋体" w:hAnsi="宋体" w:eastAsia="宋体" w:cs="宋体"/>
                <w:color w:val="auto"/>
                <w:spacing w:val="0"/>
                <w:sz w:val="24"/>
                <w:highlight w:val="none"/>
                <w:lang w:val="en-US" w:eastAsia="zh-CN"/>
              </w:rPr>
              <w:t>锅炉</w:t>
            </w:r>
            <w:r>
              <w:rPr>
                <w:rFonts w:hint="eastAsia" w:cs="宋体"/>
                <w:color w:val="auto"/>
                <w:spacing w:val="0"/>
                <w:sz w:val="24"/>
                <w:highlight w:val="none"/>
                <w:lang w:val="en-US" w:eastAsia="zh-CN"/>
              </w:rPr>
              <w:t>、水泵</w:t>
            </w:r>
            <w:r>
              <w:rPr>
                <w:rFonts w:hint="eastAsia" w:ascii="宋体" w:hAnsi="宋体" w:eastAsia="宋体" w:cs="宋体"/>
                <w:color w:val="auto"/>
                <w:spacing w:val="0"/>
                <w:sz w:val="24"/>
                <w:highlight w:val="none"/>
              </w:rPr>
              <w:t>运转过程产生的噪声，在采取选用低噪声设备，基础减振、厂房隔声等措施，能够满足《工业企业厂界环境噪声排放标准》（GB12348-2008）</w:t>
            </w:r>
            <w:r>
              <w:rPr>
                <w:rFonts w:hint="eastAsia" w:cs="宋体"/>
                <w:color w:val="auto"/>
                <w:spacing w:val="0"/>
                <w:sz w:val="24"/>
                <w:highlight w:val="none"/>
                <w:lang w:val="en-US" w:eastAsia="zh-CN"/>
              </w:rPr>
              <w:t>3</w:t>
            </w:r>
            <w:r>
              <w:rPr>
                <w:rFonts w:hint="eastAsia" w:ascii="宋体" w:hAnsi="宋体" w:eastAsia="宋体" w:cs="宋体"/>
                <w:color w:val="auto"/>
                <w:spacing w:val="0"/>
                <w:sz w:val="24"/>
                <w:highlight w:val="none"/>
              </w:rPr>
              <w:t>类标准；本项目产生的固体废物通过采取相应的处理措施后，可实现固体废物处理的无害化，减量化及资源化的目标。本项目的建设不会降低项目所在地周边环境的环境功能质量，符合环境质量控制底线要求。</w:t>
            </w:r>
          </w:p>
          <w:p w14:paraId="7FC94050">
            <w:pPr>
              <w:adjustRightInd w:val="0"/>
              <w:snapToGrid w:val="0"/>
              <w:spacing w:line="360" w:lineRule="auto"/>
              <w:ind w:firstLine="480" w:firstLineChars="200"/>
              <w:jc w:val="left"/>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w:t>
            </w:r>
            <w:r>
              <w:rPr>
                <w:rFonts w:hint="eastAsia" w:cs="宋体"/>
                <w:color w:val="auto"/>
                <w:spacing w:val="0"/>
                <w:sz w:val="24"/>
                <w:highlight w:val="none"/>
                <w:lang w:val="en-US" w:eastAsia="zh-CN"/>
              </w:rPr>
              <w:t>2</w:t>
            </w:r>
            <w:r>
              <w:rPr>
                <w:rFonts w:hint="eastAsia" w:ascii="宋体" w:hAnsi="宋体" w:eastAsia="宋体" w:cs="宋体"/>
                <w:color w:val="auto"/>
                <w:spacing w:val="0"/>
                <w:sz w:val="24"/>
                <w:highlight w:val="none"/>
              </w:rPr>
              <w:t>）与资源利用上线符合性</w:t>
            </w:r>
          </w:p>
          <w:p w14:paraId="6160A4BC">
            <w:pPr>
              <w:adjustRightInd w:val="0"/>
              <w:snapToGrid w:val="0"/>
              <w:spacing w:line="360" w:lineRule="auto"/>
              <w:ind w:firstLine="480" w:firstLineChars="200"/>
              <w:jc w:val="left"/>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1）资源利用上线相关要求</w:t>
            </w:r>
          </w:p>
          <w:p w14:paraId="2A99556C">
            <w:pPr>
              <w:adjustRightInd w:val="0"/>
              <w:snapToGrid w:val="0"/>
              <w:spacing w:line="360" w:lineRule="auto"/>
              <w:ind w:firstLine="480" w:firstLineChars="200"/>
              <w:jc w:val="left"/>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①能源利用上线</w:t>
            </w:r>
          </w:p>
          <w:p w14:paraId="6C4058EE">
            <w:pPr>
              <w:adjustRightInd w:val="0"/>
              <w:snapToGrid w:val="0"/>
              <w:spacing w:line="360" w:lineRule="auto"/>
              <w:ind w:firstLine="480" w:firstLineChars="200"/>
              <w:jc w:val="left"/>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煤炭消费上线预测以碳排放相关指标数据为基础，结合各市（地）能源结构、能源消费总量、污染物排放及减排潜力情况、大气环境质量现状及目标，充分考虑达标城市抓好经济发展、保障民生工程的需求，确定哈尔滨市目标年煤炭消费上线。</w:t>
            </w:r>
          </w:p>
          <w:p w14:paraId="523E75AD">
            <w:pPr>
              <w:adjustRightInd w:val="0"/>
              <w:snapToGrid w:val="0"/>
              <w:spacing w:line="360" w:lineRule="auto"/>
              <w:ind w:firstLine="480" w:firstLineChars="200"/>
              <w:jc w:val="left"/>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②水资源利用上线</w:t>
            </w:r>
          </w:p>
          <w:p w14:paraId="60324F4C">
            <w:pPr>
              <w:adjustRightInd w:val="0"/>
              <w:snapToGrid w:val="0"/>
              <w:spacing w:line="360" w:lineRule="auto"/>
              <w:ind w:firstLine="480" w:firstLineChars="200"/>
              <w:jc w:val="left"/>
              <w:rPr>
                <w:rFonts w:hint="eastAsia" w:ascii="宋体" w:hAnsi="宋体" w:eastAsia="宋体" w:cs="宋体"/>
                <w:color w:val="auto"/>
                <w:spacing w:val="0"/>
                <w:sz w:val="24"/>
                <w:highlight w:val="none"/>
              </w:rPr>
            </w:pPr>
            <w:r>
              <w:rPr>
                <w:rFonts w:hint="eastAsia" w:ascii="宋体" w:hAnsi="宋体" w:eastAsia="宋体" w:cs="宋体"/>
                <w:color w:val="auto"/>
                <w:spacing w:val="0"/>
                <w:highlight w:val="none"/>
                <w:lang w:val="en-US" w:eastAsia="zh-CN"/>
              </w:rPr>
              <w:t>本项目用水为锅炉补水。</w:t>
            </w:r>
            <w:r>
              <w:rPr>
                <w:rFonts w:hint="eastAsia" w:ascii="宋体" w:hAnsi="宋体" w:eastAsia="宋体" w:cs="宋体"/>
                <w:color w:val="auto"/>
                <w:spacing w:val="0"/>
                <w:sz w:val="24"/>
                <w:highlight w:val="none"/>
              </w:rPr>
              <w:t>本项目用水为</w:t>
            </w:r>
            <w:r>
              <w:rPr>
                <w:rFonts w:hint="eastAsia" w:cs="宋体"/>
                <w:color w:val="auto"/>
                <w:spacing w:val="0"/>
                <w:sz w:val="24"/>
                <w:highlight w:val="none"/>
                <w:lang w:val="en-US" w:eastAsia="zh-CN"/>
              </w:rPr>
              <w:t>园区</w:t>
            </w:r>
            <w:r>
              <w:rPr>
                <w:rFonts w:hint="eastAsia" w:ascii="宋体" w:hAnsi="宋体" w:eastAsia="宋体" w:cs="宋体"/>
                <w:color w:val="auto"/>
                <w:spacing w:val="0"/>
                <w:sz w:val="24"/>
                <w:highlight w:val="none"/>
              </w:rPr>
              <w:t>管网供给，不开采地下水，不会突破水资源利用上线。</w:t>
            </w:r>
          </w:p>
          <w:p w14:paraId="7C47525D">
            <w:pPr>
              <w:adjustRightInd w:val="0"/>
              <w:snapToGrid w:val="0"/>
              <w:spacing w:line="360" w:lineRule="auto"/>
              <w:ind w:firstLine="480" w:firstLineChars="200"/>
              <w:jc w:val="left"/>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③土地资源利用上线</w:t>
            </w:r>
          </w:p>
          <w:p w14:paraId="421F022F">
            <w:pPr>
              <w:adjustRightInd w:val="0"/>
              <w:snapToGrid w:val="0"/>
              <w:spacing w:line="360" w:lineRule="auto"/>
              <w:ind w:firstLine="480" w:firstLineChars="200"/>
              <w:jc w:val="left"/>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根据《黑龙江省国土规划（2016</w:t>
            </w:r>
            <w:r>
              <w:rPr>
                <w:rFonts w:hint="eastAsia" w:cs="宋体"/>
                <w:color w:val="auto"/>
                <w:spacing w:val="0"/>
                <w:sz w:val="24"/>
                <w:highlight w:val="none"/>
                <w:lang w:eastAsia="zh-CN"/>
              </w:rPr>
              <w:t>—</w:t>
            </w:r>
            <w:r>
              <w:rPr>
                <w:rFonts w:hint="eastAsia" w:ascii="宋体" w:hAnsi="宋体" w:eastAsia="宋体" w:cs="宋体"/>
                <w:color w:val="auto"/>
                <w:spacing w:val="0"/>
                <w:sz w:val="24"/>
                <w:highlight w:val="none"/>
              </w:rPr>
              <w:t>2030年）</w:t>
            </w:r>
            <w:r>
              <w:rPr>
                <w:rFonts w:hint="eastAsia" w:cs="宋体"/>
                <w:color w:val="auto"/>
                <w:spacing w:val="0"/>
                <w:sz w:val="24"/>
                <w:highlight w:val="none"/>
                <w:lang w:eastAsia="zh-CN"/>
              </w:rPr>
              <w:t>》《</w:t>
            </w:r>
            <w:r>
              <w:rPr>
                <w:rFonts w:hint="eastAsia" w:ascii="宋体" w:hAnsi="宋体" w:eastAsia="宋体" w:cs="宋体"/>
                <w:color w:val="auto"/>
                <w:spacing w:val="0"/>
                <w:sz w:val="24"/>
                <w:highlight w:val="none"/>
              </w:rPr>
              <w:t>黑龙江省主体功能区规划》的要求，围绕国土空间总体布局，全面推进国土集聚开发、分类保护和综合整治。</w:t>
            </w:r>
          </w:p>
          <w:p w14:paraId="6E52BC3C">
            <w:pPr>
              <w:adjustRightInd w:val="0"/>
              <w:snapToGrid w:val="0"/>
              <w:spacing w:line="360" w:lineRule="auto"/>
              <w:ind w:firstLine="480" w:firstLineChars="200"/>
              <w:jc w:val="left"/>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2）符合性分析</w:t>
            </w:r>
          </w:p>
          <w:p w14:paraId="34C2471F">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highlight w:val="none"/>
              </w:rPr>
              <w:t>本项目使用能源为</w:t>
            </w:r>
            <w:r>
              <w:rPr>
                <w:rFonts w:hint="eastAsia" w:ascii="宋体" w:hAnsi="宋体" w:eastAsia="宋体" w:cs="宋体"/>
                <w:color w:val="auto"/>
                <w:spacing w:val="0"/>
                <w:sz w:val="24"/>
                <w:highlight w:val="none"/>
                <w:lang w:eastAsia="zh-CN"/>
              </w:rPr>
              <w:t>电力</w:t>
            </w:r>
            <w:r>
              <w:rPr>
                <w:rFonts w:hint="eastAsia" w:ascii="宋体" w:hAnsi="宋体" w:eastAsia="宋体" w:cs="宋体"/>
                <w:color w:val="auto"/>
                <w:spacing w:val="0"/>
                <w:sz w:val="24"/>
                <w:highlight w:val="none"/>
              </w:rPr>
              <w:t>能源</w:t>
            </w:r>
            <w:r>
              <w:rPr>
                <w:rFonts w:hint="eastAsia" w:ascii="宋体" w:hAnsi="宋体" w:eastAsia="宋体" w:cs="宋体"/>
                <w:color w:val="auto"/>
                <w:spacing w:val="0"/>
                <w:sz w:val="24"/>
                <w:highlight w:val="none"/>
                <w:lang w:val="en-US" w:eastAsia="zh-CN"/>
              </w:rPr>
              <w:t>和</w:t>
            </w:r>
            <w:r>
              <w:rPr>
                <w:rFonts w:hint="eastAsia" w:cs="宋体"/>
                <w:color w:val="auto"/>
                <w:spacing w:val="0"/>
                <w:sz w:val="24"/>
                <w:highlight w:val="none"/>
                <w:lang w:val="en-US" w:eastAsia="zh-CN"/>
              </w:rPr>
              <w:t>生物质成型颗粒</w:t>
            </w:r>
            <w:r>
              <w:rPr>
                <w:rFonts w:hint="eastAsia" w:ascii="宋体" w:hAnsi="宋体" w:eastAsia="宋体" w:cs="宋体"/>
                <w:color w:val="auto"/>
                <w:spacing w:val="0"/>
                <w:sz w:val="24"/>
                <w:highlight w:val="none"/>
              </w:rPr>
              <w:t>，不使用燃煤。本项目所在地为地下水重点管控区，本项目用水为市政管网供给，不开采地下水，不会超过区域水资源承载能力。本项目位于</w:t>
            </w:r>
            <w:r>
              <w:rPr>
                <w:rFonts w:hint="eastAsia" w:cs="宋体"/>
                <w:color w:val="auto"/>
                <w:spacing w:val="0"/>
                <w:sz w:val="24"/>
                <w:szCs w:val="24"/>
                <w:highlight w:val="none"/>
                <w:lang w:val="en-US" w:eastAsia="zh-CN"/>
              </w:rPr>
              <w:t>黑龙江鸡西经济开发区梨树工业谷黑龙江省燎泰新材料科技有限公司院内（原碱场社区026乡道与006乡道之间A-03-a-1-1地块）</w:t>
            </w:r>
            <w:r>
              <w:rPr>
                <w:rFonts w:hint="eastAsia" w:ascii="宋体" w:hAnsi="宋体" w:eastAsia="宋体" w:cs="宋体"/>
                <w:color w:val="auto"/>
                <w:spacing w:val="0"/>
                <w:sz w:val="24"/>
                <w:highlight w:val="none"/>
              </w:rPr>
              <w:t>，土地性质为工业用地，土地使用符合《黑龙江省国土规划（2016</w:t>
            </w:r>
            <w:r>
              <w:rPr>
                <w:rFonts w:hint="eastAsia" w:cs="宋体"/>
                <w:color w:val="auto"/>
                <w:spacing w:val="0"/>
                <w:sz w:val="24"/>
                <w:highlight w:val="none"/>
                <w:lang w:eastAsia="zh-CN"/>
              </w:rPr>
              <w:t>—</w:t>
            </w:r>
            <w:r>
              <w:rPr>
                <w:rFonts w:hint="eastAsia" w:ascii="宋体" w:hAnsi="宋体" w:eastAsia="宋体" w:cs="宋体"/>
                <w:color w:val="auto"/>
                <w:spacing w:val="0"/>
                <w:sz w:val="24"/>
                <w:highlight w:val="none"/>
              </w:rPr>
              <w:t>2030年）</w:t>
            </w:r>
            <w:r>
              <w:rPr>
                <w:rFonts w:hint="eastAsia" w:cs="宋体"/>
                <w:color w:val="auto"/>
                <w:spacing w:val="0"/>
                <w:sz w:val="24"/>
                <w:highlight w:val="none"/>
                <w:lang w:eastAsia="zh-CN"/>
              </w:rPr>
              <w:t>》《</w:t>
            </w:r>
            <w:r>
              <w:rPr>
                <w:rFonts w:hint="eastAsia" w:ascii="宋体" w:hAnsi="宋体" w:eastAsia="宋体" w:cs="宋体"/>
                <w:color w:val="auto"/>
                <w:spacing w:val="0"/>
                <w:sz w:val="24"/>
                <w:highlight w:val="none"/>
              </w:rPr>
              <w:t>黑龙江省主体功能区规划》。因此本项目符合“三线一单”中</w:t>
            </w:r>
            <w:r>
              <w:rPr>
                <w:rFonts w:hint="eastAsia" w:cs="宋体"/>
                <w:color w:val="auto"/>
                <w:spacing w:val="0"/>
                <w:sz w:val="24"/>
                <w:highlight w:val="none"/>
                <w:lang w:val="en-US" w:eastAsia="zh-CN"/>
              </w:rPr>
              <w:t>鸡西市</w:t>
            </w:r>
            <w:r>
              <w:rPr>
                <w:rFonts w:hint="eastAsia" w:ascii="宋体" w:hAnsi="宋体" w:eastAsia="宋体" w:cs="宋体"/>
                <w:color w:val="auto"/>
                <w:spacing w:val="0"/>
                <w:sz w:val="24"/>
                <w:highlight w:val="none"/>
              </w:rPr>
              <w:t>能源利用上线、水资源利用上线和土地资源利用上线的相关要求</w:t>
            </w:r>
            <w:r>
              <w:rPr>
                <w:rFonts w:hint="eastAsia" w:ascii="宋体" w:hAnsi="宋体" w:eastAsia="宋体" w:cs="宋体"/>
                <w:color w:val="auto"/>
                <w:spacing w:val="0"/>
                <w:sz w:val="24"/>
                <w:szCs w:val="24"/>
                <w:highlight w:val="none"/>
              </w:rPr>
              <w:t>。</w:t>
            </w:r>
          </w:p>
          <w:p w14:paraId="6A27912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200"/>
              <w:jc w:val="left"/>
              <w:textAlignment w:val="auto"/>
              <w:rPr>
                <w:rFonts w:hint="eastAsia" w:ascii="宋体" w:hAnsi="宋体" w:eastAsia="宋体" w:cs="宋体"/>
                <w:caps w:val="0"/>
                <w:color w:val="auto"/>
                <w:spacing w:val="0"/>
                <w:sz w:val="24"/>
                <w:highlight w:val="none"/>
                <w:lang w:val="en-US" w:eastAsia="zh-CN"/>
              </w:rPr>
            </w:pPr>
            <w:r>
              <w:rPr>
                <w:rFonts w:hint="eastAsia" w:ascii="宋体" w:hAnsi="宋体" w:eastAsia="宋体" w:cs="宋体"/>
                <w:caps w:val="0"/>
                <w:color w:val="auto"/>
                <w:spacing w:val="0"/>
                <w:sz w:val="24"/>
                <w:highlight w:val="none"/>
                <w:lang w:val="en-US" w:eastAsia="zh-CN"/>
              </w:rPr>
              <w:t>（</w:t>
            </w:r>
            <w:r>
              <w:rPr>
                <w:rFonts w:hint="eastAsia" w:cs="宋体"/>
                <w:caps w:val="0"/>
                <w:color w:val="auto"/>
                <w:spacing w:val="0"/>
                <w:sz w:val="24"/>
                <w:highlight w:val="none"/>
                <w:lang w:val="en-US" w:eastAsia="zh-CN"/>
              </w:rPr>
              <w:t>3</w:t>
            </w:r>
            <w:r>
              <w:rPr>
                <w:rFonts w:hint="eastAsia" w:ascii="宋体" w:hAnsi="宋体" w:eastAsia="宋体" w:cs="宋体"/>
                <w:caps w:val="0"/>
                <w:color w:val="auto"/>
                <w:spacing w:val="0"/>
                <w:sz w:val="24"/>
                <w:highlight w:val="none"/>
                <w:lang w:val="en-US" w:eastAsia="zh-CN"/>
              </w:rPr>
              <w:t>）生态环境准入清单</w:t>
            </w:r>
          </w:p>
          <w:p w14:paraId="1DA04F18">
            <w:pPr>
              <w:widowControl/>
              <w:shd w:val="clear"/>
              <w:adjustRightInd/>
              <w:snapToGrid/>
              <w:spacing w:line="360" w:lineRule="auto"/>
              <w:ind w:firstLine="480" w:firstLineChars="200"/>
              <w:jc w:val="left"/>
              <w:rPr>
                <w:rFonts w:hint="default" w:cs="宋体"/>
                <w:color w:val="auto"/>
                <w:spacing w:val="0"/>
                <w:sz w:val="24"/>
                <w:szCs w:val="24"/>
                <w:highlight w:val="none"/>
                <w:lang w:val="en-US" w:eastAsia="zh-CN"/>
              </w:rPr>
            </w:pPr>
            <w:r>
              <w:rPr>
                <w:rFonts w:hint="eastAsia" w:cs="宋体"/>
                <w:color w:val="auto"/>
                <w:spacing w:val="0"/>
                <w:sz w:val="24"/>
                <w:szCs w:val="24"/>
                <w:highlight w:val="none"/>
                <w:lang w:val="en-US" w:eastAsia="zh-CN"/>
              </w:rPr>
              <w:t>根据2025年9月16日由《黑龙江省生态环境分区管控数据应用平台》出具的《黑龙江省燎泰新材料科技有限公司</w:t>
            </w:r>
            <w:r>
              <w:rPr>
                <w:rFonts w:hint="eastAsia" w:cs="宋体"/>
                <w:bCs/>
                <w:color w:val="auto"/>
                <w:spacing w:val="0"/>
                <w:sz w:val="24"/>
                <w:szCs w:val="24"/>
                <w:highlight w:val="none"/>
                <w:lang w:val="en-US" w:eastAsia="zh-CN"/>
              </w:rPr>
              <w:t>过渡期热源改造生态环境分区管控分析报告</w:t>
            </w:r>
            <w:r>
              <w:rPr>
                <w:rFonts w:hint="eastAsia" w:cs="宋体"/>
                <w:color w:val="auto"/>
                <w:spacing w:val="0"/>
                <w:sz w:val="24"/>
                <w:szCs w:val="24"/>
                <w:highlight w:val="none"/>
                <w:lang w:val="en-US" w:eastAsia="zh-CN"/>
              </w:rPr>
              <w:t>》，本项目与地下水环境管控区、与生态环境准入清单符合性如下：</w:t>
            </w:r>
          </w:p>
          <w:p w14:paraId="2E704837">
            <w:pPr>
              <w:widowControl/>
              <w:shd w:val="clear"/>
              <w:adjustRightInd/>
              <w:snapToGrid/>
              <w:spacing w:line="360" w:lineRule="auto"/>
              <w:ind w:firstLine="480" w:firstLineChars="200"/>
              <w:jc w:val="left"/>
              <w:rPr>
                <w:rFonts w:hint="default" w:ascii="宋体" w:hAnsi="宋体" w:eastAsia="宋体" w:cs="宋体"/>
                <w:color w:val="auto"/>
                <w:spacing w:val="0"/>
                <w:sz w:val="24"/>
                <w:szCs w:val="24"/>
                <w:highlight w:val="none"/>
                <w:lang w:val="en-US" w:eastAsia="zh-CN"/>
              </w:rPr>
            </w:pPr>
            <w:r>
              <w:rPr>
                <w:rFonts w:hint="eastAsia" w:cs="宋体"/>
                <w:color w:val="auto"/>
                <w:spacing w:val="0"/>
                <w:sz w:val="24"/>
                <w:szCs w:val="24"/>
                <w:highlight w:val="none"/>
                <w:lang w:val="en-US" w:eastAsia="zh-CN"/>
              </w:rPr>
              <w:t>1）一图</w:t>
            </w:r>
          </w:p>
          <w:p w14:paraId="5F93AB47">
            <w:pPr>
              <w:keepNext w:val="0"/>
              <w:keepLines w:val="0"/>
              <w:pageBreakBefore w:val="0"/>
              <w:widowControl/>
              <w:shd w:val="clear"/>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auto"/>
                <w:spacing w:val="0"/>
                <w:sz w:val="24"/>
                <w:szCs w:val="24"/>
                <w:highlight w:val="none"/>
              </w:rPr>
            </w:pPr>
            <w:r>
              <w:rPr>
                <w:color w:val="auto"/>
                <w:highlight w:val="none"/>
              </w:rPr>
              <w:drawing>
                <wp:inline distT="0" distB="0" distL="114300" distR="114300">
                  <wp:extent cx="4777740" cy="2443480"/>
                  <wp:effectExtent l="0" t="0" r="3810" b="13970"/>
                  <wp:docPr id="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pic:cNvPicPr>
                            <a:picLocks noChangeAspect="1"/>
                          </pic:cNvPicPr>
                        </pic:nvPicPr>
                        <pic:blipFill>
                          <a:blip r:embed="rId18"/>
                          <a:stretch>
                            <a:fillRect/>
                          </a:stretch>
                        </pic:blipFill>
                        <pic:spPr>
                          <a:xfrm>
                            <a:off x="0" y="0"/>
                            <a:ext cx="4777740" cy="2443480"/>
                          </a:xfrm>
                          <a:prstGeom prst="rect">
                            <a:avLst/>
                          </a:prstGeom>
                          <a:noFill/>
                          <a:ln>
                            <a:noFill/>
                          </a:ln>
                        </pic:spPr>
                      </pic:pic>
                    </a:graphicData>
                  </a:graphic>
                </wp:inline>
              </w:drawing>
            </w:r>
          </w:p>
          <w:p w14:paraId="3BB7943D">
            <w:pPr>
              <w:keepNext w:val="0"/>
              <w:keepLines w:val="0"/>
              <w:pageBreakBefore w:val="0"/>
              <w:widowControl/>
              <w:shd w:val="clear"/>
              <w:kinsoku/>
              <w:wordWrap/>
              <w:overflowPunct/>
              <w:topLinePunct w:val="0"/>
              <w:autoSpaceDE/>
              <w:autoSpaceDN/>
              <w:bidi w:val="0"/>
              <w:adjustRightInd/>
              <w:snapToGrid/>
              <w:spacing w:line="240" w:lineRule="auto"/>
              <w:ind w:firstLine="0" w:firstLineChars="0"/>
              <w:jc w:val="center"/>
              <w:textAlignment w:val="auto"/>
              <w:rPr>
                <w:rFonts w:hint="eastAsia" w:cs="宋体"/>
                <w:color w:val="auto"/>
                <w:spacing w:val="0"/>
                <w:sz w:val="24"/>
                <w:szCs w:val="24"/>
                <w:highlight w:val="none"/>
                <w:lang w:val="en-US" w:eastAsia="zh-CN"/>
              </w:rPr>
            </w:pPr>
            <w:r>
              <w:rPr>
                <w:rFonts w:hint="eastAsia"/>
                <w:b/>
                <w:bCs/>
                <w:color w:val="auto"/>
                <w:highlight w:val="none"/>
                <w:lang w:val="en-US" w:eastAsia="zh-CN"/>
              </w:rPr>
              <w:t>图1-1 本项目与管控单元叠加图</w:t>
            </w:r>
          </w:p>
          <w:p w14:paraId="313276D1">
            <w:pPr>
              <w:widowControl/>
              <w:shd w:val="clear"/>
              <w:adjustRightInd/>
              <w:snapToGrid/>
              <w:spacing w:line="360" w:lineRule="auto"/>
              <w:ind w:firstLine="480" w:firstLineChars="200"/>
              <w:jc w:val="left"/>
              <w:rPr>
                <w:rFonts w:hint="default" w:ascii="宋体" w:hAnsi="宋体" w:eastAsia="宋体" w:cs="宋体"/>
                <w:color w:val="auto"/>
                <w:spacing w:val="0"/>
                <w:sz w:val="24"/>
                <w:szCs w:val="24"/>
                <w:highlight w:val="none"/>
                <w:lang w:val="en-US" w:eastAsia="zh-CN"/>
              </w:rPr>
            </w:pPr>
            <w:r>
              <w:rPr>
                <w:rFonts w:hint="eastAsia" w:cs="宋体"/>
                <w:color w:val="auto"/>
                <w:spacing w:val="0"/>
                <w:sz w:val="24"/>
                <w:szCs w:val="24"/>
                <w:highlight w:val="none"/>
                <w:lang w:val="en-US" w:eastAsia="zh-CN"/>
              </w:rPr>
              <w:t>2）一表</w:t>
            </w:r>
          </w:p>
          <w:p w14:paraId="1B4A3BF3">
            <w:pPr>
              <w:shd w:val="clear"/>
              <w:tabs>
                <w:tab w:val="left" w:pos="3687"/>
              </w:tabs>
              <w:spacing w:line="240" w:lineRule="auto"/>
              <w:ind w:firstLine="0" w:firstLineChars="0"/>
              <w:jc w:val="center"/>
              <w:rPr>
                <w:rFonts w:hint="eastAsia" w:ascii="宋体" w:hAnsi="宋体" w:eastAsia="宋体" w:cs="宋体"/>
                <w:b/>
                <w:bCs w:val="0"/>
                <w:color w:val="auto"/>
                <w:spacing w:val="0"/>
                <w:kern w:val="2"/>
                <w:sz w:val="21"/>
                <w:szCs w:val="21"/>
                <w:highlight w:val="none"/>
                <w:lang w:val="en-US" w:eastAsia="zh-CN" w:bidi="ar-SA"/>
              </w:rPr>
            </w:pPr>
            <w:r>
              <w:rPr>
                <w:rFonts w:hint="eastAsia" w:ascii="宋体" w:hAnsi="宋体" w:eastAsia="宋体" w:cs="宋体"/>
                <w:b/>
                <w:bCs w:val="0"/>
                <w:color w:val="auto"/>
                <w:spacing w:val="0"/>
                <w:kern w:val="2"/>
                <w:sz w:val="21"/>
                <w:szCs w:val="21"/>
                <w:highlight w:val="none"/>
                <w:lang w:val="en-US" w:eastAsia="zh-CN" w:bidi="ar-SA"/>
              </w:rPr>
              <w:t>表1-</w:t>
            </w:r>
            <w:r>
              <w:rPr>
                <w:rFonts w:hint="eastAsia" w:cs="宋体"/>
                <w:b/>
                <w:bCs w:val="0"/>
                <w:color w:val="auto"/>
                <w:spacing w:val="0"/>
                <w:kern w:val="2"/>
                <w:sz w:val="21"/>
                <w:szCs w:val="21"/>
                <w:highlight w:val="none"/>
                <w:lang w:val="en-US" w:eastAsia="zh-CN" w:bidi="ar-SA"/>
              </w:rPr>
              <w:t>2</w:t>
            </w:r>
            <w:r>
              <w:rPr>
                <w:rFonts w:hint="eastAsia" w:ascii="宋体" w:hAnsi="宋体" w:eastAsia="宋体" w:cs="宋体"/>
                <w:b/>
                <w:bCs w:val="0"/>
                <w:color w:val="auto"/>
                <w:spacing w:val="0"/>
                <w:kern w:val="2"/>
                <w:sz w:val="21"/>
                <w:szCs w:val="21"/>
                <w:highlight w:val="none"/>
                <w:lang w:val="en-US" w:eastAsia="zh-CN" w:bidi="ar-SA"/>
              </w:rPr>
              <w:t xml:space="preserve"> 生态环境准入清单管控要求符合性分析</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794"/>
              <w:gridCol w:w="4111"/>
              <w:gridCol w:w="1783"/>
            </w:tblGrid>
            <w:tr w14:paraId="64A1E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8" w:type="dxa"/>
                  <w:gridSpan w:val="4"/>
                  <w:noWrap w:val="0"/>
                  <w:vAlign w:val="center"/>
                </w:tcPr>
                <w:p w14:paraId="1FEA9CD1">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color w:val="auto"/>
                      <w:spacing w:val="0"/>
                      <w:sz w:val="21"/>
                      <w:szCs w:val="21"/>
                      <w:highlight w:val="none"/>
                      <w:lang w:val="en-US"/>
                    </w:rPr>
                  </w:pPr>
                  <w:r>
                    <w:rPr>
                      <w:rFonts w:hint="eastAsia" w:ascii="宋体" w:hAnsi="宋体" w:eastAsia="宋体" w:cs="宋体"/>
                      <w:b/>
                      <w:bCs w:val="0"/>
                      <w:color w:val="auto"/>
                      <w:sz w:val="21"/>
                      <w:szCs w:val="21"/>
                      <w:highlight w:val="none"/>
                      <w:lang w:val="en-US" w:eastAsia="zh-CN"/>
                    </w:rPr>
                    <w:t>地下水环境管控区</w:t>
                  </w:r>
                </w:p>
              </w:tc>
            </w:tr>
            <w:tr w14:paraId="3FFB3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0" w:type="dxa"/>
                  <w:noWrap w:val="0"/>
                  <w:vAlign w:val="center"/>
                </w:tcPr>
                <w:p w14:paraId="746FF691">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val="0"/>
                      <w:color w:val="auto"/>
                      <w:spacing w:val="0"/>
                      <w:sz w:val="21"/>
                      <w:szCs w:val="21"/>
                      <w:highlight w:val="none"/>
                    </w:rPr>
                  </w:pPr>
                  <w:r>
                    <w:rPr>
                      <w:rFonts w:hint="eastAsia" w:ascii="宋体" w:hAnsi="宋体" w:eastAsia="宋体" w:cs="宋体"/>
                      <w:b/>
                      <w:bCs w:val="0"/>
                      <w:color w:val="auto"/>
                      <w:spacing w:val="0"/>
                      <w:kern w:val="0"/>
                      <w:sz w:val="21"/>
                      <w:szCs w:val="21"/>
                      <w:highlight w:val="none"/>
                    </w:rPr>
                    <w:t>环境管控</w:t>
                  </w:r>
                  <w:r>
                    <w:rPr>
                      <w:rFonts w:hint="eastAsia" w:ascii="宋体" w:hAnsi="宋体" w:eastAsia="宋体" w:cs="宋体"/>
                      <w:b/>
                      <w:bCs w:val="0"/>
                      <w:color w:val="auto"/>
                      <w:spacing w:val="0"/>
                      <w:kern w:val="0"/>
                      <w:sz w:val="21"/>
                      <w:szCs w:val="21"/>
                      <w:highlight w:val="none"/>
                      <w:lang w:val="en-US" w:eastAsia="zh-CN"/>
                    </w:rPr>
                    <w:t>区</w:t>
                  </w:r>
                  <w:r>
                    <w:rPr>
                      <w:rFonts w:hint="eastAsia" w:ascii="宋体" w:hAnsi="宋体" w:eastAsia="宋体" w:cs="宋体"/>
                      <w:b/>
                      <w:bCs w:val="0"/>
                      <w:color w:val="auto"/>
                      <w:spacing w:val="0"/>
                      <w:kern w:val="0"/>
                      <w:sz w:val="21"/>
                      <w:szCs w:val="21"/>
                      <w:highlight w:val="none"/>
                    </w:rPr>
                    <w:t>名称</w:t>
                  </w:r>
                </w:p>
              </w:tc>
              <w:tc>
                <w:tcPr>
                  <w:tcW w:w="6688" w:type="dxa"/>
                  <w:gridSpan w:val="3"/>
                  <w:noWrap w:val="0"/>
                  <w:vAlign w:val="center"/>
                </w:tcPr>
                <w:p w14:paraId="585B6A48">
                  <w:pPr>
                    <w:keepNext w:val="0"/>
                    <w:keepLines w:val="0"/>
                    <w:pageBreakBefore w:val="0"/>
                    <w:widowControl w:val="0"/>
                    <w:shd w:val="clear"/>
                    <w:tabs>
                      <w:tab w:val="center" w:pos="4153"/>
                      <w:tab w:val="right" w:pos="8306"/>
                    </w:tabs>
                    <w:kinsoku/>
                    <w:wordWrap/>
                    <w:overflowPunct/>
                    <w:topLinePunct w:val="0"/>
                    <w:autoSpaceDE/>
                    <w:autoSpaceDN/>
                    <w:bidi w:val="0"/>
                    <w:adjustRightInd w:val="0"/>
                    <w:snapToGrid w:val="0"/>
                    <w:spacing w:line="0" w:lineRule="atLeast"/>
                    <w:ind w:left="0" w:leftChars="0"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lang w:val="en-US" w:eastAsia="zh-CN"/>
                    </w:rPr>
                    <w:t>梨树区地下水环境一级管控区</w:t>
                  </w:r>
                </w:p>
              </w:tc>
            </w:tr>
            <w:tr w14:paraId="2DDE0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0" w:type="dxa"/>
                  <w:noWrap w:val="0"/>
                  <w:vAlign w:val="center"/>
                </w:tcPr>
                <w:p w14:paraId="138FA594">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val="0"/>
                      <w:color w:val="auto"/>
                      <w:spacing w:val="0"/>
                      <w:sz w:val="21"/>
                      <w:szCs w:val="21"/>
                      <w:highlight w:val="none"/>
                    </w:rPr>
                  </w:pPr>
                  <w:r>
                    <w:rPr>
                      <w:rFonts w:hint="eastAsia" w:ascii="宋体" w:hAnsi="宋体" w:eastAsia="宋体" w:cs="宋体"/>
                      <w:b/>
                      <w:bCs w:val="0"/>
                      <w:color w:val="auto"/>
                      <w:spacing w:val="0"/>
                      <w:kern w:val="0"/>
                      <w:sz w:val="21"/>
                      <w:szCs w:val="21"/>
                      <w:highlight w:val="none"/>
                    </w:rPr>
                    <w:t>环境管控</w:t>
                  </w:r>
                  <w:r>
                    <w:rPr>
                      <w:rFonts w:hint="eastAsia" w:ascii="宋体" w:hAnsi="宋体" w:eastAsia="宋体" w:cs="宋体"/>
                      <w:b/>
                      <w:bCs w:val="0"/>
                      <w:color w:val="auto"/>
                      <w:spacing w:val="0"/>
                      <w:kern w:val="0"/>
                      <w:sz w:val="21"/>
                      <w:szCs w:val="21"/>
                      <w:highlight w:val="none"/>
                      <w:lang w:val="en-US" w:eastAsia="zh-CN"/>
                    </w:rPr>
                    <w:t>区</w:t>
                  </w:r>
                  <w:r>
                    <w:rPr>
                      <w:rFonts w:hint="eastAsia" w:ascii="宋体" w:hAnsi="宋体" w:eastAsia="宋体" w:cs="宋体"/>
                      <w:b/>
                      <w:bCs w:val="0"/>
                      <w:color w:val="auto"/>
                      <w:spacing w:val="0"/>
                      <w:kern w:val="0"/>
                      <w:sz w:val="21"/>
                      <w:szCs w:val="21"/>
                      <w:highlight w:val="none"/>
                    </w:rPr>
                    <w:t>编码</w:t>
                  </w:r>
                </w:p>
              </w:tc>
              <w:tc>
                <w:tcPr>
                  <w:tcW w:w="6688" w:type="dxa"/>
                  <w:gridSpan w:val="3"/>
                  <w:noWrap w:val="0"/>
                  <w:vAlign w:val="center"/>
                </w:tcPr>
                <w:p w14:paraId="555675F9">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lang w:val="en-US" w:eastAsia="zh-CN"/>
                    </w:rPr>
                    <w:t>YS2303056210001</w:t>
                  </w:r>
                </w:p>
              </w:tc>
            </w:tr>
            <w:tr w14:paraId="60F47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0" w:type="dxa"/>
                  <w:noWrap w:val="0"/>
                  <w:vAlign w:val="center"/>
                </w:tcPr>
                <w:p w14:paraId="2A6E08E3">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val="0"/>
                      <w:color w:val="auto"/>
                      <w:spacing w:val="0"/>
                      <w:sz w:val="21"/>
                      <w:szCs w:val="21"/>
                      <w:highlight w:val="none"/>
                    </w:rPr>
                  </w:pPr>
                  <w:r>
                    <w:rPr>
                      <w:rFonts w:hint="eastAsia" w:ascii="宋体" w:hAnsi="宋体" w:eastAsia="宋体" w:cs="宋体"/>
                      <w:b/>
                      <w:bCs w:val="0"/>
                      <w:color w:val="auto"/>
                      <w:spacing w:val="0"/>
                      <w:kern w:val="0"/>
                      <w:sz w:val="21"/>
                      <w:szCs w:val="21"/>
                      <w:highlight w:val="none"/>
                    </w:rPr>
                    <w:t>管控</w:t>
                  </w:r>
                  <w:r>
                    <w:rPr>
                      <w:rFonts w:hint="eastAsia" w:ascii="宋体" w:hAnsi="宋体" w:eastAsia="宋体" w:cs="宋体"/>
                      <w:b/>
                      <w:bCs w:val="0"/>
                      <w:color w:val="auto"/>
                      <w:spacing w:val="0"/>
                      <w:kern w:val="0"/>
                      <w:sz w:val="21"/>
                      <w:szCs w:val="21"/>
                      <w:highlight w:val="none"/>
                      <w:lang w:val="en-US" w:eastAsia="zh-CN"/>
                    </w:rPr>
                    <w:t>区类型</w:t>
                  </w:r>
                </w:p>
              </w:tc>
              <w:tc>
                <w:tcPr>
                  <w:tcW w:w="6688" w:type="dxa"/>
                  <w:gridSpan w:val="3"/>
                  <w:noWrap w:val="0"/>
                  <w:vAlign w:val="center"/>
                </w:tcPr>
                <w:p w14:paraId="57C60AFB">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lang w:val="en-US" w:eastAsia="zh-CN"/>
                    </w:rPr>
                    <w:t>重点管控区</w:t>
                  </w:r>
                </w:p>
              </w:tc>
            </w:tr>
            <w:tr w14:paraId="36E35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45" w:type="dxa"/>
                  <w:gridSpan w:val="3"/>
                  <w:noWrap w:val="0"/>
                  <w:vAlign w:val="center"/>
                </w:tcPr>
                <w:p w14:paraId="1041A6E4">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Cs/>
                      <w:color w:val="auto"/>
                      <w:spacing w:val="0"/>
                      <w:kern w:val="2"/>
                      <w:sz w:val="21"/>
                      <w:szCs w:val="21"/>
                      <w:highlight w:val="none"/>
                      <w:lang w:val="en-US" w:eastAsia="zh-CN" w:bidi="ar-SA"/>
                    </w:rPr>
                  </w:pPr>
                  <w:r>
                    <w:rPr>
                      <w:rFonts w:hint="eastAsia" w:ascii="宋体" w:hAnsi="宋体" w:eastAsia="宋体" w:cs="宋体"/>
                      <w:b/>
                      <w:bCs/>
                      <w:color w:val="auto"/>
                      <w:spacing w:val="0"/>
                      <w:sz w:val="21"/>
                      <w:szCs w:val="21"/>
                      <w:highlight w:val="none"/>
                    </w:rPr>
                    <w:t>管控要求</w:t>
                  </w:r>
                </w:p>
              </w:tc>
              <w:tc>
                <w:tcPr>
                  <w:tcW w:w="1783" w:type="dxa"/>
                  <w:noWrap w:val="0"/>
                  <w:vAlign w:val="center"/>
                </w:tcPr>
                <w:p w14:paraId="3D008EB3">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Cs/>
                      <w:color w:val="auto"/>
                      <w:spacing w:val="0"/>
                      <w:kern w:val="2"/>
                      <w:sz w:val="21"/>
                      <w:szCs w:val="21"/>
                      <w:highlight w:val="none"/>
                      <w:lang w:val="en-US" w:eastAsia="zh-CN" w:bidi="ar-SA"/>
                    </w:rPr>
                  </w:pPr>
                  <w:r>
                    <w:rPr>
                      <w:rFonts w:hint="eastAsia" w:ascii="宋体" w:hAnsi="宋体" w:eastAsia="宋体" w:cs="宋体"/>
                      <w:b/>
                      <w:bCs/>
                      <w:color w:val="auto"/>
                      <w:spacing w:val="0"/>
                      <w:sz w:val="21"/>
                      <w:szCs w:val="21"/>
                      <w:highlight w:val="none"/>
                    </w:rPr>
                    <w:t>项目符合性分析</w:t>
                  </w:r>
                </w:p>
              </w:tc>
            </w:tr>
            <w:tr w14:paraId="02BBB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634" w:type="dxa"/>
                  <w:gridSpan w:val="2"/>
                  <w:noWrap w:val="0"/>
                  <w:vAlign w:val="center"/>
                </w:tcPr>
                <w:p w14:paraId="19EF3DF9">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val="0"/>
                      <w:color w:val="auto"/>
                      <w:spacing w:val="0"/>
                      <w:kern w:val="0"/>
                      <w:sz w:val="21"/>
                      <w:szCs w:val="21"/>
                      <w:highlight w:val="none"/>
                    </w:rPr>
                  </w:pPr>
                  <w:r>
                    <w:rPr>
                      <w:rFonts w:hint="eastAsia" w:ascii="宋体" w:hAnsi="宋体" w:eastAsia="宋体" w:cs="宋体"/>
                      <w:b/>
                      <w:bCs w:val="0"/>
                      <w:color w:val="auto"/>
                      <w:spacing w:val="0"/>
                      <w:kern w:val="0"/>
                      <w:sz w:val="21"/>
                      <w:szCs w:val="21"/>
                      <w:highlight w:val="none"/>
                      <w:lang w:val="en-US" w:eastAsia="zh-CN"/>
                    </w:rPr>
                    <w:t>空间布局约束</w:t>
                  </w:r>
                </w:p>
              </w:tc>
              <w:tc>
                <w:tcPr>
                  <w:tcW w:w="4111" w:type="dxa"/>
                  <w:noWrap w:val="0"/>
                  <w:vAlign w:val="center"/>
                </w:tcPr>
                <w:p w14:paraId="628C599C">
                  <w:pPr>
                    <w:keepNext w:val="0"/>
                    <w:keepLines w:val="0"/>
                    <w:pageBreakBefore w:val="0"/>
                    <w:shd w:val="clear"/>
                    <w:kinsoku/>
                    <w:wordWrap/>
                    <w:overflowPunct/>
                    <w:topLinePunct w:val="0"/>
                    <w:bidi w:val="0"/>
                    <w:adjustRightInd w:val="0"/>
                    <w:snapToGrid w:val="0"/>
                    <w:spacing w:line="240" w:lineRule="auto"/>
                    <w:ind w:firstLine="0" w:firstLineChars="0"/>
                    <w:jc w:val="left"/>
                    <w:textAlignment w:val="baseline"/>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1.严格建设项目土壤环境影响评价制度。对涉及有毒有害物质可能造成土壤污染的新（改、扩）建项目，依法进行环境影响评价，提出并落实防腐蚀、防渗漏、防遗撒等土壤污染防治具体措施。</w:t>
                  </w:r>
                </w:p>
                <w:p w14:paraId="3BFB986A">
                  <w:pPr>
                    <w:keepNext w:val="0"/>
                    <w:keepLines w:val="0"/>
                    <w:pageBreakBefore w:val="0"/>
                    <w:shd w:val="clear"/>
                    <w:kinsoku/>
                    <w:wordWrap/>
                    <w:overflowPunct/>
                    <w:topLinePunct w:val="0"/>
                    <w:bidi w:val="0"/>
                    <w:adjustRightInd w:val="0"/>
                    <w:snapToGrid w:val="0"/>
                    <w:spacing w:line="240" w:lineRule="auto"/>
                    <w:ind w:firstLine="0" w:firstLineChars="0"/>
                    <w:jc w:val="left"/>
                    <w:textAlignment w:val="baseline"/>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2.合理规划污染地块用途，从严管控农药、化工等行业中的重度污染地块规划用途，确需开发利用的，鼓励用于拓展生态空间。</w:t>
                  </w:r>
                </w:p>
                <w:p w14:paraId="1F9F54A4">
                  <w:pPr>
                    <w:keepNext w:val="0"/>
                    <w:keepLines w:val="0"/>
                    <w:pageBreakBefore w:val="0"/>
                    <w:shd w:val="clear"/>
                    <w:kinsoku/>
                    <w:wordWrap/>
                    <w:overflowPunct/>
                    <w:topLinePunct w:val="0"/>
                    <w:bidi w:val="0"/>
                    <w:adjustRightInd w:val="0"/>
                    <w:snapToGrid w:val="0"/>
                    <w:spacing w:line="240" w:lineRule="auto"/>
                    <w:ind w:firstLine="0" w:firstLineChars="0"/>
                    <w:jc w:val="left"/>
                    <w:textAlignment w:val="baseline"/>
                    <w:rPr>
                      <w:rFonts w:hint="eastAsia" w:ascii="宋体" w:hAnsi="宋体" w:eastAsia="宋体" w:cs="宋体"/>
                      <w:b/>
                      <w:bCs w:val="0"/>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3.污染地块未经治理与修复，或者经治理与修复但未达到相关规划用地土壤环境质量要求的，有关环境保护主管部门不予批准选址涉及该污染地块的建设项目环境影响报告书或者报告表。</w:t>
                  </w:r>
                </w:p>
              </w:tc>
              <w:tc>
                <w:tcPr>
                  <w:tcW w:w="1783" w:type="dxa"/>
                  <w:noWrap w:val="0"/>
                  <w:vAlign w:val="center"/>
                </w:tcPr>
                <w:p w14:paraId="2125C9F0">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本项目为生物质锅炉建设项目，不属于对土壤可能造成污染的项目。不属于农药、化工等行业。建设地点不属于污染地块。</w:t>
                  </w:r>
                </w:p>
              </w:tc>
            </w:tr>
            <w:tr w14:paraId="23B26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634" w:type="dxa"/>
                  <w:gridSpan w:val="2"/>
                  <w:noWrap w:val="0"/>
                  <w:vAlign w:val="center"/>
                </w:tcPr>
                <w:p w14:paraId="49AE991E">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val="0"/>
                      <w:color w:val="auto"/>
                      <w:spacing w:val="0"/>
                      <w:kern w:val="0"/>
                      <w:sz w:val="21"/>
                      <w:szCs w:val="21"/>
                      <w:highlight w:val="none"/>
                    </w:rPr>
                  </w:pPr>
                  <w:r>
                    <w:rPr>
                      <w:rFonts w:hint="eastAsia" w:ascii="宋体" w:hAnsi="宋体" w:eastAsia="宋体" w:cs="宋体"/>
                      <w:b/>
                      <w:bCs w:val="0"/>
                      <w:color w:val="auto"/>
                      <w:spacing w:val="0"/>
                      <w:kern w:val="0"/>
                      <w:sz w:val="21"/>
                      <w:szCs w:val="21"/>
                      <w:highlight w:val="none"/>
                      <w:lang w:val="en-US" w:eastAsia="zh-CN"/>
                    </w:rPr>
                    <w:t>环境风险防控</w:t>
                  </w:r>
                </w:p>
              </w:tc>
              <w:tc>
                <w:tcPr>
                  <w:tcW w:w="4111" w:type="dxa"/>
                  <w:noWrap w:val="0"/>
                  <w:vAlign w:val="center"/>
                </w:tcPr>
                <w:p w14:paraId="011533D5">
                  <w:pPr>
                    <w:keepNext w:val="0"/>
                    <w:keepLines w:val="0"/>
                    <w:pageBreakBefore w:val="0"/>
                    <w:shd w:val="clear"/>
                    <w:kinsoku/>
                    <w:wordWrap/>
                    <w:overflowPunct/>
                    <w:topLinePunct w:val="0"/>
                    <w:bidi w:val="0"/>
                    <w:adjustRightInd w:val="0"/>
                    <w:snapToGrid w:val="0"/>
                    <w:spacing w:line="240" w:lineRule="auto"/>
                    <w:ind w:firstLine="0" w:firstLineChars="0"/>
                    <w:jc w:val="left"/>
                    <w:textAlignment w:val="baseline"/>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1.化学品生产企业以及工业集聚区、矿山开采区、尾矿库、危险废物处置场、垃圾填埋场等的运营、管理单位，应当采取防渗漏等措施，并建设地下水水质监测井进行监测，防止地下水污染。</w:t>
                  </w:r>
                </w:p>
                <w:p w14:paraId="1257DC29">
                  <w:pPr>
                    <w:keepNext w:val="0"/>
                    <w:keepLines w:val="0"/>
                    <w:pageBreakBefore w:val="0"/>
                    <w:shd w:val="clear"/>
                    <w:kinsoku/>
                    <w:wordWrap/>
                    <w:overflowPunct/>
                    <w:topLinePunct w:val="0"/>
                    <w:bidi w:val="0"/>
                    <w:adjustRightInd w:val="0"/>
                    <w:snapToGrid w:val="0"/>
                    <w:spacing w:line="240" w:lineRule="auto"/>
                    <w:ind w:firstLine="0" w:firstLineChars="0"/>
                    <w:jc w:val="left"/>
                    <w:textAlignment w:val="baseline"/>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2.指导地下水污染防治重点排污单位优先开展地下水污染渗漏排查，针对存在问题的设施，采取污染防渗改造措施。</w:t>
                  </w:r>
                </w:p>
                <w:p w14:paraId="1190032A">
                  <w:pPr>
                    <w:keepNext w:val="0"/>
                    <w:keepLines w:val="0"/>
                    <w:pageBreakBefore w:val="0"/>
                    <w:shd w:val="clear"/>
                    <w:kinsoku/>
                    <w:wordWrap/>
                    <w:overflowPunct/>
                    <w:topLinePunct w:val="0"/>
                    <w:bidi w:val="0"/>
                    <w:adjustRightInd w:val="0"/>
                    <w:snapToGrid w:val="0"/>
                    <w:spacing w:line="240" w:lineRule="auto"/>
                    <w:ind w:firstLine="0" w:firstLineChars="0"/>
                    <w:jc w:val="left"/>
                    <w:textAlignment w:val="baseline"/>
                    <w:rPr>
                      <w:rFonts w:hint="eastAsia" w:ascii="宋体" w:hAnsi="宋体" w:eastAsia="宋体" w:cs="宋体"/>
                      <w:b/>
                      <w:bCs w:val="0"/>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3.重点单位在隐患排查、监测等活动中发现工矿用地土壤和地下水存在污染迹象的，应当排查污染源，查明污染原因，采取措施防止新增污染，并参照污染地块土壤环境管理有关规定及时开展土壤和地下水环境调查与风险评估，根据调查与风险评估结果采取风险管控或者治理与修复等措施。</w:t>
                  </w:r>
                </w:p>
              </w:tc>
              <w:tc>
                <w:tcPr>
                  <w:tcW w:w="1783" w:type="dxa"/>
                  <w:noWrap w:val="0"/>
                  <w:vAlign w:val="center"/>
                </w:tcPr>
                <w:p w14:paraId="74C63095">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宋体" w:hAnsi="宋体" w:eastAsia="宋体" w:cs="宋体"/>
                      <w:b w:val="0"/>
                      <w:bCs/>
                      <w:color w:val="auto"/>
                      <w:spacing w:val="0"/>
                      <w:kern w:val="0"/>
                      <w:sz w:val="21"/>
                      <w:szCs w:val="21"/>
                      <w:highlight w:val="none"/>
                      <w:lang w:val="en-US" w:eastAsia="zh-CN"/>
                    </w:rPr>
                  </w:pPr>
                  <w:r>
                    <w:rPr>
                      <w:rFonts w:hint="eastAsia" w:ascii="宋体" w:hAnsi="宋体" w:eastAsia="宋体" w:cs="宋体"/>
                      <w:b w:val="0"/>
                      <w:bCs/>
                      <w:color w:val="auto"/>
                      <w:spacing w:val="0"/>
                      <w:kern w:val="0"/>
                      <w:sz w:val="21"/>
                      <w:szCs w:val="21"/>
                      <w:highlight w:val="none"/>
                      <w:lang w:val="en-US" w:eastAsia="zh-CN"/>
                    </w:rPr>
                    <w:t>本项目为生物质锅炉项目，不属于化学品生产企业、不属于矿山开采区、尾矿库、危废处置场、垃圾填埋场等运营、管理单位。不属于地下水污染防治重点排污单位。本项目不属于存在土壤和地下水存在污染的工矿用地。</w:t>
                  </w:r>
                </w:p>
              </w:tc>
            </w:tr>
            <w:tr w14:paraId="2C4AC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634" w:type="dxa"/>
                  <w:gridSpan w:val="2"/>
                  <w:noWrap w:val="0"/>
                  <w:vAlign w:val="center"/>
                </w:tcPr>
                <w:p w14:paraId="06BADCDC">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val="0"/>
                      <w:color w:val="auto"/>
                      <w:spacing w:val="0"/>
                      <w:kern w:val="0"/>
                      <w:sz w:val="21"/>
                      <w:szCs w:val="21"/>
                      <w:highlight w:val="none"/>
                    </w:rPr>
                  </w:pPr>
                  <w:r>
                    <w:rPr>
                      <w:rFonts w:hint="eastAsia" w:ascii="宋体" w:hAnsi="宋体" w:eastAsia="宋体" w:cs="宋体"/>
                      <w:b/>
                      <w:bCs w:val="0"/>
                      <w:color w:val="auto"/>
                      <w:spacing w:val="0"/>
                      <w:kern w:val="0"/>
                      <w:sz w:val="21"/>
                      <w:szCs w:val="21"/>
                      <w:highlight w:val="none"/>
                      <w:lang w:val="en-US" w:eastAsia="zh-CN"/>
                    </w:rPr>
                    <w:t>污染物排放管控</w:t>
                  </w:r>
                </w:p>
              </w:tc>
              <w:tc>
                <w:tcPr>
                  <w:tcW w:w="4111" w:type="dxa"/>
                  <w:noWrap w:val="0"/>
                  <w:vAlign w:val="center"/>
                </w:tcPr>
                <w:p w14:paraId="672EB2BE">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val="0"/>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新建、扩建“两高”项目应采用先进适用的工艺技术和装备，单位产品物耗、能耗、水耗等达到清洁生产先进水平，依法制定并严格落实防治地下水污染的措施。</w:t>
                  </w:r>
                </w:p>
              </w:tc>
              <w:tc>
                <w:tcPr>
                  <w:tcW w:w="1783" w:type="dxa"/>
                  <w:noWrap w:val="0"/>
                  <w:vAlign w:val="center"/>
                </w:tcPr>
                <w:p w14:paraId="6452A107">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default" w:ascii="宋体" w:hAnsi="宋体" w:eastAsia="宋体" w:cs="宋体"/>
                      <w:b w:val="0"/>
                      <w:bCs/>
                      <w:color w:val="auto"/>
                      <w:spacing w:val="0"/>
                      <w:kern w:val="0"/>
                      <w:sz w:val="21"/>
                      <w:szCs w:val="21"/>
                      <w:highlight w:val="none"/>
                      <w:lang w:val="en-US" w:eastAsia="zh-CN"/>
                    </w:rPr>
                  </w:pPr>
                  <w:r>
                    <w:rPr>
                      <w:rFonts w:hint="eastAsia" w:ascii="宋体" w:hAnsi="宋体" w:eastAsia="宋体" w:cs="宋体"/>
                      <w:b w:val="0"/>
                      <w:bCs/>
                      <w:color w:val="auto"/>
                      <w:spacing w:val="0"/>
                      <w:kern w:val="0"/>
                      <w:sz w:val="21"/>
                      <w:szCs w:val="21"/>
                      <w:highlight w:val="none"/>
                      <w:lang w:val="en-US" w:eastAsia="zh-CN"/>
                    </w:rPr>
                    <w:t>本项目为生物质锅炉项目，不属于“两高”项目。</w:t>
                  </w:r>
                </w:p>
              </w:tc>
            </w:tr>
            <w:tr w14:paraId="67EF3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528" w:type="dxa"/>
                  <w:gridSpan w:val="4"/>
                  <w:noWrap w:val="0"/>
                  <w:vAlign w:val="center"/>
                </w:tcPr>
                <w:p w14:paraId="282FF337">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color w:val="auto"/>
                      <w:spacing w:val="0"/>
                      <w:sz w:val="21"/>
                      <w:szCs w:val="21"/>
                      <w:highlight w:val="none"/>
                    </w:rPr>
                  </w:pPr>
                  <w:r>
                    <w:rPr>
                      <w:rFonts w:hint="eastAsia" w:ascii="宋体" w:hAnsi="宋体" w:eastAsia="宋体" w:cs="宋体"/>
                      <w:b/>
                      <w:bCs/>
                      <w:color w:val="auto"/>
                      <w:spacing w:val="0"/>
                      <w:sz w:val="21"/>
                      <w:szCs w:val="21"/>
                      <w:highlight w:val="none"/>
                    </w:rPr>
                    <w:t>环境准入清单</w:t>
                  </w:r>
                </w:p>
              </w:tc>
            </w:tr>
            <w:tr w14:paraId="44469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0" w:type="dxa"/>
                  <w:noWrap w:val="0"/>
                  <w:vAlign w:val="center"/>
                </w:tcPr>
                <w:p w14:paraId="6D4B15DC">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环境管控单元名称</w:t>
                  </w:r>
                </w:p>
              </w:tc>
              <w:tc>
                <w:tcPr>
                  <w:tcW w:w="6688" w:type="dxa"/>
                  <w:gridSpan w:val="3"/>
                  <w:noWrap w:val="0"/>
                  <w:vAlign w:val="center"/>
                </w:tcPr>
                <w:p w14:paraId="56C097D6">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val="0"/>
                      <w:color w:val="auto"/>
                      <w:spacing w:val="0"/>
                      <w:sz w:val="21"/>
                      <w:szCs w:val="21"/>
                      <w:highlight w:val="none"/>
                    </w:rPr>
                  </w:pPr>
                  <w:r>
                    <w:rPr>
                      <w:rFonts w:hint="eastAsia" w:ascii="宋体" w:hAnsi="宋体" w:eastAsia="宋体" w:cs="宋体"/>
                      <w:b/>
                      <w:bCs w:val="0"/>
                      <w:color w:val="auto"/>
                      <w:spacing w:val="0"/>
                      <w:sz w:val="21"/>
                      <w:szCs w:val="21"/>
                      <w:highlight w:val="none"/>
                      <w:lang w:val="en-US" w:eastAsia="zh-CN"/>
                    </w:rPr>
                    <w:t>黑龙江鸡西经济开发区</w:t>
                  </w:r>
                </w:p>
              </w:tc>
            </w:tr>
            <w:tr w14:paraId="43663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0" w:type="dxa"/>
                  <w:noWrap w:val="0"/>
                  <w:vAlign w:val="center"/>
                </w:tcPr>
                <w:p w14:paraId="19F1B66F">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环境管控单元编码</w:t>
                  </w:r>
                </w:p>
              </w:tc>
              <w:tc>
                <w:tcPr>
                  <w:tcW w:w="6688" w:type="dxa"/>
                  <w:gridSpan w:val="3"/>
                  <w:noWrap w:val="0"/>
                  <w:vAlign w:val="center"/>
                </w:tcPr>
                <w:p w14:paraId="288D3D1E">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val="0"/>
                      <w:color w:val="auto"/>
                      <w:spacing w:val="0"/>
                      <w:sz w:val="21"/>
                      <w:szCs w:val="21"/>
                      <w:highlight w:val="none"/>
                    </w:rPr>
                  </w:pPr>
                  <w:r>
                    <w:rPr>
                      <w:rFonts w:hint="eastAsia" w:ascii="宋体" w:hAnsi="宋体" w:eastAsia="宋体" w:cs="宋体"/>
                      <w:b/>
                      <w:bCs w:val="0"/>
                      <w:color w:val="auto"/>
                      <w:spacing w:val="0"/>
                      <w:sz w:val="21"/>
                      <w:szCs w:val="21"/>
                      <w:highlight w:val="none"/>
                      <w:lang w:val="en-US" w:eastAsia="zh-CN"/>
                    </w:rPr>
                    <w:t>ZH23030520001</w:t>
                  </w:r>
                </w:p>
              </w:tc>
            </w:tr>
            <w:tr w14:paraId="5E4EA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0" w:type="dxa"/>
                  <w:noWrap w:val="0"/>
                  <w:vAlign w:val="center"/>
                </w:tcPr>
                <w:p w14:paraId="4AFDD528">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管控单元类别</w:t>
                  </w:r>
                </w:p>
              </w:tc>
              <w:tc>
                <w:tcPr>
                  <w:tcW w:w="6688" w:type="dxa"/>
                  <w:gridSpan w:val="3"/>
                  <w:noWrap w:val="0"/>
                  <w:vAlign w:val="center"/>
                </w:tcPr>
                <w:p w14:paraId="6EE014FD">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val="0"/>
                      <w:color w:val="auto"/>
                      <w:spacing w:val="0"/>
                      <w:sz w:val="21"/>
                      <w:szCs w:val="21"/>
                      <w:highlight w:val="none"/>
                    </w:rPr>
                  </w:pPr>
                  <w:r>
                    <w:rPr>
                      <w:rFonts w:hint="eastAsia" w:ascii="宋体" w:hAnsi="宋体" w:eastAsia="宋体" w:cs="宋体"/>
                      <w:b/>
                      <w:bCs w:val="0"/>
                      <w:color w:val="auto"/>
                      <w:spacing w:val="0"/>
                      <w:sz w:val="21"/>
                      <w:szCs w:val="21"/>
                      <w:highlight w:val="none"/>
                      <w:lang w:val="en-US" w:eastAsia="zh-CN"/>
                    </w:rPr>
                    <w:t>重点管控单元</w:t>
                  </w:r>
                </w:p>
              </w:tc>
            </w:tr>
            <w:tr w14:paraId="22FC4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45" w:type="dxa"/>
                  <w:gridSpan w:val="3"/>
                  <w:noWrap w:val="0"/>
                  <w:vAlign w:val="center"/>
                </w:tcPr>
                <w:p w14:paraId="45DFB628">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color w:val="auto"/>
                      <w:spacing w:val="0"/>
                      <w:sz w:val="21"/>
                      <w:szCs w:val="21"/>
                      <w:highlight w:val="none"/>
                    </w:rPr>
                  </w:pPr>
                  <w:r>
                    <w:rPr>
                      <w:rFonts w:hint="eastAsia" w:ascii="宋体" w:hAnsi="宋体" w:eastAsia="宋体" w:cs="宋体"/>
                      <w:b/>
                      <w:bCs/>
                      <w:color w:val="auto"/>
                      <w:spacing w:val="0"/>
                      <w:sz w:val="21"/>
                      <w:szCs w:val="21"/>
                      <w:highlight w:val="none"/>
                    </w:rPr>
                    <w:t>管控要求</w:t>
                  </w:r>
                </w:p>
              </w:tc>
              <w:tc>
                <w:tcPr>
                  <w:tcW w:w="1783" w:type="dxa"/>
                  <w:noWrap w:val="0"/>
                  <w:vAlign w:val="center"/>
                </w:tcPr>
                <w:p w14:paraId="11B812AF">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color w:val="auto"/>
                      <w:spacing w:val="0"/>
                      <w:sz w:val="21"/>
                      <w:szCs w:val="21"/>
                      <w:highlight w:val="none"/>
                    </w:rPr>
                  </w:pPr>
                  <w:r>
                    <w:rPr>
                      <w:rFonts w:hint="eastAsia" w:ascii="宋体" w:hAnsi="宋体" w:eastAsia="宋体" w:cs="宋体"/>
                      <w:b/>
                      <w:bCs/>
                      <w:color w:val="auto"/>
                      <w:spacing w:val="0"/>
                      <w:sz w:val="21"/>
                      <w:szCs w:val="21"/>
                      <w:highlight w:val="none"/>
                    </w:rPr>
                    <w:t>项目符合性分析</w:t>
                  </w:r>
                </w:p>
              </w:tc>
            </w:tr>
            <w:tr w14:paraId="636FD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0" w:type="dxa"/>
                  <w:noWrap w:val="0"/>
                  <w:vAlign w:val="center"/>
                </w:tcPr>
                <w:p w14:paraId="49F24372">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空间布局约束</w:t>
                  </w:r>
                </w:p>
              </w:tc>
              <w:tc>
                <w:tcPr>
                  <w:tcW w:w="4905" w:type="dxa"/>
                  <w:gridSpan w:val="2"/>
                  <w:noWrap w:val="0"/>
                  <w:vAlign w:val="center"/>
                </w:tcPr>
                <w:p w14:paraId="330299E6">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1.严禁低产出、高污染、土地集约利用程度低的企业进入。</w:t>
                  </w:r>
                </w:p>
                <w:p w14:paraId="4E028FC2">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2.新型材料产业限制传统排污量大的石墨生产项目，包括石墨浮选，晶质石墨、微晶石墨选矿产品等项目进入。</w:t>
                  </w:r>
                </w:p>
                <w:p w14:paraId="0F7A6553">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3.同时执行（1）入园建设项目开展环评工作时，应以产业园区规划环评为依据，重点分析项目环评与规划环评结论及审查意见的符合性；产业园区招商引资、入园建设项目环评审批等应将规划环评结论及审查意见作为重要依据。（2）新建、扩建石化、化工、焦化、有色金属冶炼、平板玻璃项目应布设在依法合规设立并经规划环评的产业园区。煤化工产业项目选址及污染控制措施等须满足安全、环境准入要求，新建项目需布局在一般或较低安全风险等级的化工园区。（3）重大制造业项目、依托能源和矿产资源的资源加工业项目原则上布局在重点开发区。（4）未纳入国家有关领域产业规划的，一律不得新建改扩建炼油和新建乙烯、对二甲苯、煤制烯烃项目。（5）禁止引进国家产业政策明令淘汰和限制的产品、技术、工艺、设备及行为。（6）编制产业园区开发建设规划时应依法开展规划环评。（7）规划审</w:t>
                  </w:r>
                </w:p>
                <w:p w14:paraId="70CC4C74">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批机关在审批规划时，应将规划环评结论及审查意见作为决策的重要依据，在审批中未采纳环境影响报告书结论及审查意见的，应当作出说明并存档备查。（8）产业园区招商引资、入园建设项目环评审批等应将规划环评结论及审查意见作为重要依据。（9）产业园区开发建设规划应符合国家政策和相关法律法规要求，规划发生重大调整或修订的，应当依法重新或补充开展规划环评工作。（10）水环境城镇生活污染重点管控区同时执行除干旱地区外，新建城区应全面实行雨污分流，鼓励对初期雨水进行收集、处理和资源化利用。（11）水环境工业污染重点管控区同时执行①区域内严格控制高耗水、高污染行业发展。②加快淘汰落后产能，大力推进产业结构调整和优化升级。③根据水资源和水环境承载能力，以水定城、以水定地、以水定人、以水定产。</w:t>
                  </w:r>
                </w:p>
              </w:tc>
              <w:tc>
                <w:tcPr>
                  <w:tcW w:w="1783" w:type="dxa"/>
                  <w:noWrap w:val="0"/>
                  <w:vAlign w:val="center"/>
                </w:tcPr>
                <w:p w14:paraId="4C324C15">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本项目为新建一台6t/h的生物质锅炉作为生产热源，不属于低产出、高污染、土地集约利用程度地的项目。本项目建设符合园区规划、规划环评及审查意见的相关要求。</w:t>
                  </w:r>
                </w:p>
              </w:tc>
            </w:tr>
            <w:tr w14:paraId="264AC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0" w:type="dxa"/>
                  <w:noWrap w:val="0"/>
                  <w:vAlign w:val="center"/>
                </w:tcPr>
                <w:p w14:paraId="0C1B9DED">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污染物排放管控</w:t>
                  </w:r>
                </w:p>
              </w:tc>
              <w:tc>
                <w:tcPr>
                  <w:tcW w:w="4905" w:type="dxa"/>
                  <w:gridSpan w:val="2"/>
                  <w:noWrap w:val="0"/>
                  <w:vAlign w:val="center"/>
                </w:tcPr>
                <w:p w14:paraId="5496C3D1">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jc w:val="left"/>
                    <w:rPr>
                      <w:rFonts w:hint="default" w:ascii="宋体" w:hAnsi="宋体" w:eastAsia="宋体" w:cs="宋体"/>
                      <w:b w:val="0"/>
                      <w:bCs w:val="0"/>
                      <w:color w:val="auto"/>
                      <w:kern w:val="2"/>
                      <w:sz w:val="21"/>
                      <w:szCs w:val="21"/>
                      <w:highlight w:val="none"/>
                      <w:lang w:val="en-US" w:eastAsia="zh-CN" w:bidi="ar-SA"/>
                    </w:rPr>
                  </w:pPr>
                  <w:r>
                    <w:rPr>
                      <w:rFonts w:hint="default" w:ascii="宋体" w:hAnsi="宋体" w:eastAsia="宋体" w:cs="宋体"/>
                      <w:b w:val="0"/>
                      <w:bCs w:val="0"/>
                      <w:color w:val="auto"/>
                      <w:kern w:val="2"/>
                      <w:sz w:val="21"/>
                      <w:szCs w:val="21"/>
                      <w:highlight w:val="none"/>
                      <w:lang w:val="en-US" w:eastAsia="zh-CN" w:bidi="ar-SA"/>
                    </w:rPr>
                    <w:t>1.应按规定建设污水集中处理设施，并安装自动在线监控装置。</w:t>
                  </w:r>
                </w:p>
                <w:p w14:paraId="31F0D2AD">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jc w:val="left"/>
                    <w:rPr>
                      <w:rFonts w:hint="default" w:ascii="宋体" w:hAnsi="宋体" w:eastAsia="宋体" w:cs="宋体"/>
                      <w:b w:val="0"/>
                      <w:bCs w:val="0"/>
                      <w:color w:val="auto"/>
                      <w:kern w:val="2"/>
                      <w:sz w:val="21"/>
                      <w:szCs w:val="21"/>
                      <w:highlight w:val="none"/>
                      <w:lang w:val="en-US" w:eastAsia="zh-CN" w:bidi="ar-SA"/>
                    </w:rPr>
                  </w:pPr>
                  <w:r>
                    <w:rPr>
                      <w:rFonts w:hint="default" w:ascii="宋体" w:hAnsi="宋体" w:eastAsia="宋体" w:cs="宋体"/>
                      <w:b w:val="0"/>
                      <w:bCs w:val="0"/>
                      <w:color w:val="auto"/>
                      <w:kern w:val="2"/>
                      <w:sz w:val="21"/>
                      <w:szCs w:val="21"/>
                      <w:highlight w:val="none"/>
                      <w:lang w:val="en-US" w:eastAsia="zh-CN" w:bidi="ar-SA"/>
                    </w:rPr>
                    <w:t>2.新建、扩建“两高”项目应采用先进适用的工艺技术和装备，单位产品物耗、能耗、水耗等达到清洁生产先进水平，依法制定并严格落实防治土壤与地下水污染的措施。严把新上项目碳排放关，新建、改建、扩建煤电、石化、化工、钢铁、有色冶炼、建材等高耗能、高排放项目，要充分论证，确保能耗、物耗、水耗达到清洁生产先进水平。</w:t>
                  </w:r>
                </w:p>
                <w:p w14:paraId="1D33805B">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jc w:val="left"/>
                    <w:rPr>
                      <w:rFonts w:hint="default" w:ascii="宋体" w:hAnsi="宋体" w:eastAsia="宋体" w:cs="宋体"/>
                      <w:b w:val="0"/>
                      <w:bCs w:val="0"/>
                      <w:color w:val="auto"/>
                      <w:kern w:val="2"/>
                      <w:sz w:val="21"/>
                      <w:szCs w:val="21"/>
                      <w:highlight w:val="none"/>
                      <w:lang w:val="en-US" w:eastAsia="zh-CN" w:bidi="ar-SA"/>
                    </w:rPr>
                  </w:pPr>
                  <w:r>
                    <w:rPr>
                      <w:rFonts w:hint="default" w:ascii="宋体" w:hAnsi="宋体" w:eastAsia="宋体" w:cs="宋体"/>
                      <w:b w:val="0"/>
                      <w:bCs w:val="0"/>
                      <w:color w:val="auto"/>
                      <w:kern w:val="2"/>
                      <w:sz w:val="21"/>
                      <w:szCs w:val="21"/>
                      <w:highlight w:val="none"/>
                      <w:lang w:val="en-US" w:eastAsia="zh-CN" w:bidi="ar-SA"/>
                    </w:rPr>
                    <w:t>3.新、改、扩建涉重金属重点行业建设项目必须遵循重点重金属污染物排放“减量置换”或“等量替换”原则。</w:t>
                  </w:r>
                </w:p>
                <w:p w14:paraId="05BF086A">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jc w:val="left"/>
                    <w:rPr>
                      <w:rFonts w:hint="default" w:ascii="宋体" w:hAnsi="宋体" w:eastAsia="宋体" w:cs="宋体"/>
                      <w:b w:val="0"/>
                      <w:bCs w:val="0"/>
                      <w:color w:val="auto"/>
                      <w:kern w:val="2"/>
                      <w:sz w:val="21"/>
                      <w:szCs w:val="21"/>
                      <w:highlight w:val="none"/>
                      <w:lang w:val="en-US" w:eastAsia="zh-CN" w:bidi="ar-SA"/>
                    </w:rPr>
                  </w:pPr>
                  <w:r>
                    <w:rPr>
                      <w:rFonts w:hint="default" w:ascii="宋体" w:hAnsi="宋体" w:eastAsia="宋体" w:cs="宋体"/>
                      <w:b w:val="0"/>
                      <w:bCs w:val="0"/>
                      <w:color w:val="auto"/>
                      <w:kern w:val="2"/>
                      <w:sz w:val="21"/>
                      <w:szCs w:val="21"/>
                      <w:highlight w:val="none"/>
                      <w:lang w:val="en-US" w:eastAsia="zh-CN" w:bidi="ar-SA"/>
                    </w:rPr>
                    <w:t>4.对于含有毒有害水污染物的工业废水和生活污水混合处理的污水处理厂产生的污泥，不能采用土地利用方式。</w:t>
                  </w:r>
                </w:p>
                <w:p w14:paraId="066ED842">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jc w:val="left"/>
                    <w:rPr>
                      <w:rFonts w:hint="default" w:ascii="宋体" w:hAnsi="宋体" w:eastAsia="宋体" w:cs="宋体"/>
                      <w:b w:val="0"/>
                      <w:bCs w:val="0"/>
                      <w:color w:val="auto"/>
                      <w:kern w:val="2"/>
                      <w:sz w:val="21"/>
                      <w:szCs w:val="21"/>
                      <w:highlight w:val="none"/>
                      <w:lang w:val="en-US" w:eastAsia="zh-CN" w:bidi="ar-SA"/>
                    </w:rPr>
                  </w:pPr>
                  <w:r>
                    <w:rPr>
                      <w:rFonts w:hint="default" w:ascii="宋体" w:hAnsi="宋体" w:eastAsia="宋体" w:cs="宋体"/>
                      <w:b w:val="0"/>
                      <w:bCs w:val="0"/>
                      <w:color w:val="auto"/>
                      <w:kern w:val="2"/>
                      <w:sz w:val="21"/>
                      <w:szCs w:val="21"/>
                      <w:highlight w:val="none"/>
                      <w:lang w:val="en-US" w:eastAsia="zh-CN" w:bidi="ar-SA"/>
                    </w:rPr>
                    <w:t>5.加强消耗臭氧层物质和氢氟碳化物环境管理，加强泡沫、制冷、氟化工等行业治理，逐步淘汰氢氯氟烃使用。</w:t>
                  </w:r>
                </w:p>
                <w:p w14:paraId="1DB7B6C4">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jc w:val="left"/>
                    <w:rPr>
                      <w:rFonts w:hint="default" w:ascii="宋体" w:hAnsi="宋体" w:eastAsia="宋体" w:cs="宋体"/>
                      <w:b w:val="0"/>
                      <w:bCs w:val="0"/>
                      <w:color w:val="auto"/>
                      <w:kern w:val="2"/>
                      <w:sz w:val="21"/>
                      <w:szCs w:val="21"/>
                      <w:highlight w:val="none"/>
                      <w:lang w:val="en-US" w:eastAsia="zh-CN" w:bidi="ar-SA"/>
                    </w:rPr>
                  </w:pPr>
                  <w:r>
                    <w:rPr>
                      <w:rFonts w:hint="default" w:ascii="宋体" w:hAnsi="宋体" w:eastAsia="宋体" w:cs="宋体"/>
                      <w:b w:val="0"/>
                      <w:bCs w:val="0"/>
                      <w:color w:val="auto"/>
                      <w:kern w:val="2"/>
                      <w:sz w:val="21"/>
                      <w:szCs w:val="21"/>
                      <w:highlight w:val="none"/>
                      <w:lang w:val="en-US" w:eastAsia="zh-CN" w:bidi="ar-SA"/>
                    </w:rPr>
                    <w:t>6.新建煤制烯烃、新建煤制对二甲苯</w:t>
                  </w:r>
                  <w:r>
                    <w:rPr>
                      <w:rFonts w:hint="eastAsia" w:cs="宋体"/>
                      <w:b w:val="0"/>
                      <w:bCs w:val="0"/>
                      <w:color w:val="auto"/>
                      <w:kern w:val="2"/>
                      <w:sz w:val="21"/>
                      <w:szCs w:val="21"/>
                      <w:highlight w:val="none"/>
                      <w:lang w:val="en-US" w:eastAsia="zh-CN" w:bidi="ar-SA"/>
                    </w:rPr>
                    <w:t>（</w:t>
                  </w:r>
                  <w:r>
                    <w:rPr>
                      <w:rFonts w:hint="default" w:ascii="宋体" w:hAnsi="宋体" w:eastAsia="宋体" w:cs="宋体"/>
                      <w:b w:val="0"/>
                      <w:bCs w:val="0"/>
                      <w:color w:val="auto"/>
                      <w:kern w:val="2"/>
                      <w:sz w:val="21"/>
                      <w:szCs w:val="21"/>
                      <w:highlight w:val="none"/>
                      <w:lang w:val="en-US" w:eastAsia="zh-CN" w:bidi="ar-SA"/>
                    </w:rPr>
                    <w:t>PX</w:t>
                  </w:r>
                  <w:r>
                    <w:rPr>
                      <w:rFonts w:hint="eastAsia" w:cs="宋体"/>
                      <w:b w:val="0"/>
                      <w:bCs w:val="0"/>
                      <w:color w:val="auto"/>
                      <w:kern w:val="2"/>
                      <w:sz w:val="21"/>
                      <w:szCs w:val="21"/>
                      <w:highlight w:val="none"/>
                      <w:lang w:val="en-US" w:eastAsia="zh-CN" w:bidi="ar-SA"/>
                    </w:rPr>
                    <w:t>）</w:t>
                  </w:r>
                  <w:r>
                    <w:rPr>
                      <w:rFonts w:hint="default" w:ascii="宋体" w:hAnsi="宋体" w:eastAsia="宋体" w:cs="宋体"/>
                      <w:b w:val="0"/>
                      <w:bCs w:val="0"/>
                      <w:color w:val="auto"/>
                      <w:kern w:val="2"/>
                      <w:sz w:val="21"/>
                      <w:szCs w:val="21"/>
                      <w:highlight w:val="none"/>
                      <w:lang w:val="en-US" w:eastAsia="zh-CN" w:bidi="ar-SA"/>
                    </w:rPr>
                    <w:t>项目纳入《现代煤化工产业创新发展布局方案》后，由省级政府核准。新建年产超过100万吨的煤制甲醇项目，由省级政府核准。</w:t>
                  </w:r>
                </w:p>
                <w:p w14:paraId="7D32E3AB">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jc w:val="left"/>
                    <w:rPr>
                      <w:rFonts w:hint="default" w:ascii="宋体" w:hAnsi="宋体" w:eastAsia="宋体" w:cs="宋体"/>
                      <w:b w:val="0"/>
                      <w:bCs w:val="0"/>
                      <w:color w:val="auto"/>
                      <w:kern w:val="2"/>
                      <w:sz w:val="21"/>
                      <w:szCs w:val="21"/>
                      <w:highlight w:val="none"/>
                      <w:lang w:val="en-US" w:eastAsia="zh-CN" w:bidi="ar-SA"/>
                    </w:rPr>
                  </w:pPr>
                  <w:r>
                    <w:rPr>
                      <w:rFonts w:hint="default" w:ascii="宋体" w:hAnsi="宋体" w:eastAsia="宋体" w:cs="宋体"/>
                      <w:b w:val="0"/>
                      <w:bCs w:val="0"/>
                      <w:color w:val="auto"/>
                      <w:kern w:val="2"/>
                      <w:sz w:val="21"/>
                      <w:szCs w:val="21"/>
                      <w:highlight w:val="none"/>
                      <w:lang w:val="en-US" w:eastAsia="zh-CN" w:bidi="ar-SA"/>
                    </w:rPr>
                    <w:t>7.各地不得新建、扩建二氟甲烷、1,1,1,2-四氟乙烷、五氟乙烷、1,1,1-三氟乙烷、1.1.1.3.3-五氟丙烷用作制冷剂、发泡剂等受控用途的HFCs化工生产设施（不含副立设施），环境影响报告书（表）已通过审批的除外。</w:t>
                  </w:r>
                </w:p>
                <w:p w14:paraId="4B5D914B">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jc w:val="left"/>
                    <w:rPr>
                      <w:rFonts w:hint="default" w:ascii="宋体" w:hAnsi="宋体" w:eastAsia="宋体" w:cs="宋体"/>
                      <w:b w:val="0"/>
                      <w:bCs w:val="0"/>
                      <w:color w:val="auto"/>
                      <w:kern w:val="2"/>
                      <w:sz w:val="21"/>
                      <w:szCs w:val="21"/>
                      <w:highlight w:val="none"/>
                      <w:lang w:val="en-US" w:eastAsia="zh-CN" w:bidi="ar-SA"/>
                    </w:rPr>
                  </w:pPr>
                  <w:r>
                    <w:rPr>
                      <w:rFonts w:hint="default" w:ascii="宋体" w:hAnsi="宋体" w:eastAsia="宋体" w:cs="宋体"/>
                      <w:b w:val="0"/>
                      <w:bCs w:val="0"/>
                      <w:color w:val="auto"/>
                      <w:kern w:val="2"/>
                      <w:sz w:val="21"/>
                      <w:szCs w:val="21"/>
                      <w:highlight w:val="none"/>
                      <w:lang w:val="en-US" w:eastAsia="zh-CN" w:bidi="ar-SA"/>
                    </w:rPr>
                    <w:t>8.水环境城镇生活污染重点管控区同时执行（1）新区污水管网规划建设应当与城市开发同步推进，除干旱地区外均实行雨污分流。（2）强化城中村、老旧城区和城乡结合部污水截流、收集。（3）推进合流制排水系统雨污分流改造，难以改造的，应采取截流、调蓄和治理等措施；推进现有污水处理设施配套管网建设；进一步提高城市、县城生活污水收集处理效能。（4）县级以上人民政府应当合理确定城镇排水与污水处理设施建设标准，统筹安排管网、泵站、污水处理厂以及污泥处理处置、再生水利用、雨水调蓄和排放等排水与污水处理设施建设和改造，提高城镇污水收集率和处理率。</w:t>
                  </w:r>
                </w:p>
                <w:p w14:paraId="5DDEDB57">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jc w:val="left"/>
                    <w:rPr>
                      <w:rFonts w:hint="default" w:ascii="宋体" w:hAnsi="宋体" w:eastAsia="宋体" w:cs="宋体"/>
                      <w:b w:val="0"/>
                      <w:bCs w:val="0"/>
                      <w:color w:val="auto"/>
                      <w:kern w:val="2"/>
                      <w:sz w:val="21"/>
                      <w:szCs w:val="21"/>
                      <w:highlight w:val="none"/>
                      <w:lang w:val="en-US" w:eastAsia="zh-CN" w:bidi="ar-SA"/>
                    </w:rPr>
                  </w:pPr>
                  <w:r>
                    <w:rPr>
                      <w:rFonts w:hint="default" w:ascii="宋体" w:hAnsi="宋体" w:eastAsia="宋体" w:cs="宋体"/>
                      <w:b w:val="0"/>
                      <w:bCs w:val="0"/>
                      <w:color w:val="auto"/>
                      <w:kern w:val="2"/>
                      <w:sz w:val="21"/>
                      <w:szCs w:val="21"/>
                      <w:highlight w:val="none"/>
                      <w:lang w:val="en-US" w:eastAsia="zh-CN" w:bidi="ar-SA"/>
                    </w:rPr>
                    <w:t>9.水环境工业污染重点管控区同时执行（1）新建、改建和扩建项目应当优先采用资源利用率高以及污染物产生量少的清洁生产技术、工艺和设备。（2）集中治理工业集聚区内工业废水，区内工业废水必须经预处理达到集中处理要求后，方可进入污水集中处理设施。新建、升级工业集聚区应同步规划和建设污水、垃圾集中处理等污染治理设施。</w:t>
                  </w:r>
                </w:p>
              </w:tc>
              <w:tc>
                <w:tcPr>
                  <w:tcW w:w="1783" w:type="dxa"/>
                  <w:noWrap w:val="0"/>
                  <w:vAlign w:val="center"/>
                </w:tcPr>
                <w:p w14:paraId="02C88ECD">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highlight w:val="none"/>
                      <w:lang w:val="en-US" w:eastAsia="zh-CN"/>
                    </w:rPr>
                  </w:pPr>
                  <w:r>
                    <w:rPr>
                      <w:rFonts w:hint="eastAsia"/>
                      <w:color w:val="auto"/>
                      <w:sz w:val="21"/>
                      <w:szCs w:val="21"/>
                      <w:highlight w:val="none"/>
                      <w:lang w:val="en-US" w:eastAsia="zh-CN"/>
                    </w:rPr>
                    <w:t>本项目产生的污水主要为锅炉排污水和纯水制备废水，产生的废水经污水管网排入</w:t>
                  </w:r>
                  <w:r>
                    <w:rPr>
                      <w:rFonts w:hint="eastAsia" w:ascii="宋体" w:hAnsi="宋体" w:eastAsia="宋体" w:cs="宋体"/>
                      <w:bCs w:val="0"/>
                      <w:color w:val="auto"/>
                      <w:spacing w:val="0"/>
                      <w:kern w:val="2"/>
                      <w:sz w:val="21"/>
                      <w:szCs w:val="21"/>
                      <w:highlight w:val="none"/>
                      <w:lang w:val="en-US" w:eastAsia="zh-CN" w:bidi="ar-SA"/>
                    </w:rPr>
                    <w:t>梨树工业谷污水处理厂集中处理。本项目不属于</w:t>
                  </w:r>
                  <w:r>
                    <w:rPr>
                      <w:rFonts w:hint="default" w:ascii="宋体" w:hAnsi="宋体" w:eastAsia="宋体" w:cs="宋体"/>
                      <w:b w:val="0"/>
                      <w:bCs w:val="0"/>
                      <w:color w:val="auto"/>
                      <w:kern w:val="2"/>
                      <w:sz w:val="21"/>
                      <w:szCs w:val="21"/>
                      <w:highlight w:val="none"/>
                      <w:lang w:val="en-US" w:eastAsia="zh-CN" w:bidi="ar-SA"/>
                    </w:rPr>
                    <w:t>“两高”项目</w:t>
                  </w:r>
                  <w:r>
                    <w:rPr>
                      <w:rFonts w:hint="eastAsia" w:ascii="宋体" w:hAnsi="宋体" w:eastAsia="宋体" w:cs="宋体"/>
                      <w:b w:val="0"/>
                      <w:bCs w:val="0"/>
                      <w:color w:val="auto"/>
                      <w:kern w:val="2"/>
                      <w:sz w:val="21"/>
                      <w:szCs w:val="21"/>
                      <w:highlight w:val="none"/>
                      <w:lang w:val="en-US" w:eastAsia="zh-CN" w:bidi="ar-SA"/>
                    </w:rPr>
                    <w:t>，不属于</w:t>
                  </w:r>
                  <w:r>
                    <w:rPr>
                      <w:rFonts w:hint="default" w:ascii="宋体" w:hAnsi="宋体" w:eastAsia="宋体" w:cs="宋体"/>
                      <w:b w:val="0"/>
                      <w:bCs w:val="0"/>
                      <w:color w:val="auto"/>
                      <w:kern w:val="2"/>
                      <w:sz w:val="21"/>
                      <w:szCs w:val="21"/>
                      <w:highlight w:val="none"/>
                      <w:lang w:val="en-US" w:eastAsia="zh-CN" w:bidi="ar-SA"/>
                    </w:rPr>
                    <w:t>涉重金属重点行业</w:t>
                  </w:r>
                  <w:r>
                    <w:rPr>
                      <w:rFonts w:hint="eastAsia" w:ascii="宋体" w:hAnsi="宋体" w:eastAsia="宋体" w:cs="宋体"/>
                      <w:b w:val="0"/>
                      <w:bCs w:val="0"/>
                      <w:color w:val="auto"/>
                      <w:kern w:val="2"/>
                      <w:sz w:val="21"/>
                      <w:szCs w:val="21"/>
                      <w:highlight w:val="none"/>
                      <w:lang w:val="en-US" w:eastAsia="zh-CN" w:bidi="ar-SA"/>
                    </w:rPr>
                    <w:t>。不属于化工行业。</w:t>
                  </w:r>
                </w:p>
              </w:tc>
            </w:tr>
            <w:tr w14:paraId="65298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0" w:type="dxa"/>
                  <w:noWrap w:val="0"/>
                  <w:vAlign w:val="center"/>
                </w:tcPr>
                <w:p w14:paraId="20A52C71">
                  <w:pPr>
                    <w:keepNext w:val="0"/>
                    <w:keepLines w:val="0"/>
                    <w:pageBreakBefore w:val="0"/>
                    <w:shd w:val="clear"/>
                    <w:kinsoku/>
                    <w:wordWrap/>
                    <w:overflowPunct/>
                    <w:topLinePunct w:val="0"/>
                    <w:bidi w:val="0"/>
                    <w:adjustRightInd w:val="0"/>
                    <w:snapToGrid w:val="0"/>
                    <w:spacing w:line="240" w:lineRule="auto"/>
                    <w:ind w:firstLine="0" w:firstLineChars="0"/>
                    <w:jc w:val="center"/>
                    <w:textAlignment w:val="baseline"/>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环境风险防控</w:t>
                  </w:r>
                </w:p>
              </w:tc>
              <w:tc>
                <w:tcPr>
                  <w:tcW w:w="4905" w:type="dxa"/>
                  <w:gridSpan w:val="2"/>
                  <w:noWrap w:val="0"/>
                  <w:vAlign w:val="center"/>
                </w:tcPr>
                <w:p w14:paraId="356D1532">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jc w:val="left"/>
                    <w:rPr>
                      <w:rFonts w:hint="default" w:ascii="宋体" w:hAnsi="宋体" w:eastAsia="宋体" w:cs="宋体"/>
                      <w:b w:val="0"/>
                      <w:bCs w:val="0"/>
                      <w:color w:val="auto"/>
                      <w:kern w:val="2"/>
                      <w:sz w:val="21"/>
                      <w:szCs w:val="21"/>
                      <w:highlight w:val="none"/>
                      <w:lang w:val="en-US" w:eastAsia="zh-CN" w:bidi="ar-SA"/>
                    </w:rPr>
                  </w:pPr>
                  <w:r>
                    <w:rPr>
                      <w:rFonts w:hint="default" w:ascii="宋体" w:hAnsi="宋体" w:eastAsia="宋体" w:cs="宋体"/>
                      <w:b w:val="0"/>
                      <w:bCs w:val="0"/>
                      <w:color w:val="auto"/>
                      <w:kern w:val="2"/>
                      <w:sz w:val="21"/>
                      <w:szCs w:val="21"/>
                      <w:highlight w:val="none"/>
                      <w:lang w:val="en-US" w:eastAsia="zh-CN" w:bidi="ar-SA"/>
                    </w:rPr>
                    <w:t>1.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w:t>
                  </w:r>
                </w:p>
                <w:p w14:paraId="1436AC74">
                  <w:pPr>
                    <w:keepNext w:val="0"/>
                    <w:keepLines w:val="0"/>
                    <w:pageBreakBefore w:val="0"/>
                    <w:shd w:val="clear"/>
                    <w:tabs>
                      <w:tab w:val="left" w:pos="265"/>
                    </w:tabs>
                    <w:wordWrap/>
                    <w:overflowPunct/>
                    <w:topLinePunct w:val="0"/>
                    <w:autoSpaceDE w:val="0"/>
                    <w:autoSpaceDN w:val="0"/>
                    <w:bidi w:val="0"/>
                    <w:adjustRightInd/>
                    <w:spacing w:line="240" w:lineRule="auto"/>
                    <w:ind w:right="0" w:rightChars="0" w:firstLine="420" w:firstLineChars="200"/>
                    <w:jc w:val="left"/>
                    <w:rPr>
                      <w:rFonts w:hint="default" w:ascii="宋体" w:hAnsi="宋体" w:eastAsia="宋体" w:cs="宋体"/>
                      <w:b w:val="0"/>
                      <w:bCs w:val="0"/>
                      <w:color w:val="auto"/>
                      <w:kern w:val="2"/>
                      <w:sz w:val="21"/>
                      <w:szCs w:val="21"/>
                      <w:highlight w:val="none"/>
                      <w:lang w:val="en-US" w:eastAsia="zh-CN" w:bidi="ar-SA"/>
                    </w:rPr>
                  </w:pPr>
                  <w:r>
                    <w:rPr>
                      <w:rFonts w:hint="default" w:ascii="宋体" w:hAnsi="宋体" w:eastAsia="宋体" w:cs="宋体"/>
                      <w:b w:val="0"/>
                      <w:bCs w:val="0"/>
                      <w:color w:val="auto"/>
                      <w:kern w:val="2"/>
                      <w:sz w:val="21"/>
                      <w:szCs w:val="21"/>
                      <w:highlight w:val="none"/>
                      <w:lang w:val="en-US" w:eastAsia="zh-CN" w:bidi="ar-SA"/>
                    </w:rPr>
                    <w:t>2.水环境工业污染重点管控区同时执行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p>
              </w:tc>
              <w:tc>
                <w:tcPr>
                  <w:tcW w:w="1783" w:type="dxa"/>
                  <w:noWrap w:val="0"/>
                  <w:vAlign w:val="center"/>
                </w:tcPr>
                <w:p w14:paraId="15F79B1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本项目建成后对全厂进行</w:t>
                  </w:r>
                  <w:r>
                    <w:rPr>
                      <w:rFonts w:ascii="Times New Roman" w:hAnsi="Times New Roman"/>
                      <w:color w:val="auto"/>
                      <w:kern w:val="0"/>
                      <w:sz w:val="21"/>
                      <w:szCs w:val="21"/>
                      <w:highlight w:val="none"/>
                    </w:rPr>
                    <w:t>编制环境应急预案，加强管理和风险预警，确保将环境风险</w:t>
                  </w:r>
                  <w:r>
                    <w:rPr>
                      <w:rFonts w:hint="eastAsia" w:ascii="Times New Roman" w:hAnsi="Times New Roman"/>
                      <w:color w:val="auto"/>
                      <w:kern w:val="0"/>
                      <w:sz w:val="21"/>
                      <w:szCs w:val="21"/>
                      <w:highlight w:val="none"/>
                      <w:lang w:eastAsia="zh-CN"/>
                    </w:rPr>
                    <w:t>降</w:t>
                  </w:r>
                  <w:r>
                    <w:rPr>
                      <w:rFonts w:ascii="Times New Roman" w:hAnsi="Times New Roman"/>
                      <w:color w:val="auto"/>
                      <w:kern w:val="0"/>
                      <w:sz w:val="21"/>
                      <w:szCs w:val="21"/>
                      <w:highlight w:val="none"/>
                    </w:rPr>
                    <w:t>至最低。</w:t>
                  </w:r>
                </w:p>
              </w:tc>
            </w:tr>
            <w:tr w14:paraId="67603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0" w:type="dxa"/>
                  <w:noWrap w:val="0"/>
                  <w:vAlign w:val="center"/>
                </w:tcPr>
                <w:p w14:paraId="7A57D554">
                  <w:pPr>
                    <w:keepNext w:val="0"/>
                    <w:keepLines w:val="0"/>
                    <w:pageBreakBefore w:val="0"/>
                    <w:widowControl/>
                    <w:shd w:val="clear"/>
                    <w:kinsoku/>
                    <w:wordWrap/>
                    <w:overflowPunct/>
                    <w:topLinePunct w:val="0"/>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r>
                    <w:rPr>
                      <w:rFonts w:hint="eastAsia" w:ascii="宋体" w:hAnsi="宋体" w:eastAsia="宋体" w:cs="宋体"/>
                      <w:b/>
                      <w:bCs/>
                      <w:color w:val="auto"/>
                      <w:spacing w:val="0"/>
                      <w:sz w:val="21"/>
                      <w:szCs w:val="21"/>
                      <w:highlight w:val="none"/>
                    </w:rPr>
                    <w:t>资源利用效率要求</w:t>
                  </w:r>
                </w:p>
              </w:tc>
              <w:tc>
                <w:tcPr>
                  <w:tcW w:w="4905" w:type="dxa"/>
                  <w:gridSpan w:val="2"/>
                  <w:noWrap w:val="0"/>
                  <w:vAlign w:val="center"/>
                </w:tcPr>
                <w:p w14:paraId="379D1F67">
                  <w:pPr>
                    <w:keepNext w:val="0"/>
                    <w:keepLines w:val="0"/>
                    <w:pageBreakBefore w:val="0"/>
                    <w:shd w:val="clear"/>
                    <w:wordWrap/>
                    <w:overflowPunct/>
                    <w:topLinePunct w:val="0"/>
                    <w:bidi w:val="0"/>
                    <w:adjustRightInd/>
                    <w:spacing w:line="240" w:lineRule="auto"/>
                    <w:ind w:right="0" w:rightChars="0" w:firstLine="420" w:firstLineChars="200"/>
                    <w:jc w:val="left"/>
                    <w:rPr>
                      <w:rFonts w:hint="default" w:ascii="宋体" w:hAnsi="宋体" w:eastAsia="宋体" w:cs="宋体"/>
                      <w:b w:val="0"/>
                      <w:bCs w:val="0"/>
                      <w:color w:val="auto"/>
                      <w:kern w:val="2"/>
                      <w:sz w:val="21"/>
                      <w:szCs w:val="21"/>
                      <w:highlight w:val="none"/>
                      <w:lang w:val="en-US" w:eastAsia="zh-CN" w:bidi="ar-SA"/>
                    </w:rPr>
                  </w:pPr>
                  <w:r>
                    <w:rPr>
                      <w:rFonts w:hint="default" w:ascii="宋体" w:hAnsi="宋体" w:eastAsia="宋体" w:cs="宋体"/>
                      <w:b w:val="0"/>
                      <w:bCs w:val="0"/>
                      <w:color w:val="auto"/>
                      <w:kern w:val="2"/>
                      <w:sz w:val="21"/>
                      <w:szCs w:val="21"/>
                      <w:highlight w:val="none"/>
                      <w:lang w:val="en-US" w:eastAsia="zh-CN" w:bidi="ar-SA"/>
                    </w:rPr>
                    <w:t>1.近期工业用水重复利用率≥65，远期工业用水重复利用率≥75，单位工业增加值新鲜水耗≤8 立方米/万元。</w:t>
                  </w:r>
                </w:p>
                <w:p w14:paraId="336BC2B0">
                  <w:pPr>
                    <w:keepNext w:val="0"/>
                    <w:keepLines w:val="0"/>
                    <w:pageBreakBefore w:val="0"/>
                    <w:shd w:val="clear"/>
                    <w:wordWrap/>
                    <w:overflowPunct/>
                    <w:topLinePunct w:val="0"/>
                    <w:bidi w:val="0"/>
                    <w:adjustRightInd/>
                    <w:spacing w:line="240" w:lineRule="auto"/>
                    <w:ind w:right="0" w:rightChars="0" w:firstLine="420" w:firstLineChars="200"/>
                    <w:jc w:val="left"/>
                    <w:rPr>
                      <w:rFonts w:hint="default" w:ascii="宋体" w:hAnsi="宋体" w:eastAsia="宋体" w:cs="宋体"/>
                      <w:b w:val="0"/>
                      <w:bCs w:val="0"/>
                      <w:color w:val="auto"/>
                      <w:kern w:val="2"/>
                      <w:sz w:val="21"/>
                      <w:szCs w:val="21"/>
                      <w:highlight w:val="none"/>
                      <w:lang w:val="en-US" w:eastAsia="zh-CN" w:bidi="ar-SA"/>
                    </w:rPr>
                  </w:pPr>
                  <w:r>
                    <w:rPr>
                      <w:rFonts w:hint="default" w:ascii="宋体" w:hAnsi="宋体" w:eastAsia="宋体" w:cs="宋体"/>
                      <w:b w:val="0"/>
                      <w:bCs w:val="0"/>
                      <w:color w:val="auto"/>
                      <w:kern w:val="2"/>
                      <w:sz w:val="21"/>
                      <w:szCs w:val="21"/>
                      <w:highlight w:val="none"/>
                      <w:lang w:val="en-US" w:eastAsia="zh-CN" w:bidi="ar-SA"/>
                    </w:rPr>
                    <w:t>2.同时执行 （1）落实最严格的水资源管理制度，实行水资源消耗总量和强度双控。（2）全面推行清洁生产，依法在“双超双有高耗能”行业实施强制性清洁生产审核。</w:t>
                  </w:r>
                </w:p>
              </w:tc>
              <w:tc>
                <w:tcPr>
                  <w:tcW w:w="1783" w:type="dxa"/>
                  <w:noWrap w:val="0"/>
                  <w:vAlign w:val="center"/>
                </w:tcPr>
                <w:p w14:paraId="2063609F">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default" w:ascii="宋体" w:hAnsi="宋体" w:eastAsia="宋体" w:cs="宋体"/>
                      <w:color w:val="auto"/>
                      <w:spacing w:val="0"/>
                      <w:sz w:val="21"/>
                      <w:szCs w:val="21"/>
                      <w:highlight w:val="none"/>
                      <w:lang w:val="en-US" w:eastAsia="zh-CN"/>
                    </w:rPr>
                    <w:t>本工程使用水量较小。</w:t>
                  </w:r>
                </w:p>
              </w:tc>
            </w:tr>
          </w:tbl>
          <w:p w14:paraId="337A61FA">
            <w:pPr>
              <w:keepNext w:val="0"/>
              <w:keepLines w:val="0"/>
              <w:pageBreakBefore w:val="0"/>
              <w:widowControl w:val="0"/>
              <w:shd w:val="clear"/>
              <w:kinsoku/>
              <w:wordWrap/>
              <w:overflowPunct/>
              <w:topLinePunct w:val="0"/>
              <w:autoSpaceDE/>
              <w:autoSpaceDN/>
              <w:bidi w:val="0"/>
              <w:adjustRightInd w:val="0"/>
              <w:snapToGrid w:val="0"/>
              <w:spacing w:line="360" w:lineRule="auto"/>
              <w:ind w:left="0" w:leftChars="0" w:firstLine="480" w:firstLineChars="200"/>
              <w:textAlignment w:val="auto"/>
              <w:rPr>
                <w:rFonts w:hint="default" w:ascii="宋体" w:hAnsi="宋体" w:eastAsia="宋体" w:cs="宋体"/>
                <w:color w:val="auto"/>
                <w:spacing w:val="0"/>
                <w:sz w:val="24"/>
                <w:szCs w:val="24"/>
                <w:highlight w:val="none"/>
                <w:lang w:val="en-US" w:eastAsia="zh-CN"/>
              </w:rPr>
            </w:pPr>
            <w:r>
              <w:rPr>
                <w:rFonts w:hint="eastAsia" w:cs="宋体"/>
                <w:color w:val="auto"/>
                <w:spacing w:val="0"/>
                <w:sz w:val="24"/>
                <w:szCs w:val="24"/>
                <w:highlight w:val="none"/>
                <w:lang w:val="en-US" w:eastAsia="zh-CN"/>
              </w:rPr>
              <w:t>3）一说明</w:t>
            </w:r>
          </w:p>
          <w:p w14:paraId="16047633">
            <w:pPr>
              <w:keepNext w:val="0"/>
              <w:keepLines w:val="0"/>
              <w:pageBreakBefore w:val="0"/>
              <w:widowControl w:val="0"/>
              <w:shd w:val="clear"/>
              <w:kinsoku/>
              <w:wordWrap/>
              <w:overflowPunct/>
              <w:topLinePunct w:val="0"/>
              <w:autoSpaceDE/>
              <w:autoSpaceDN/>
              <w:bidi w:val="0"/>
              <w:adjustRightInd w:val="0"/>
              <w:snapToGrid w:val="0"/>
              <w:spacing w:line="360" w:lineRule="auto"/>
              <w:ind w:left="0" w:leftChars="0" w:firstLine="480" w:firstLineChars="200"/>
              <w:textAlignment w:val="auto"/>
              <w:rPr>
                <w:rFonts w:hint="default" w:ascii="宋体" w:hAnsi="宋体" w:eastAsia="宋体" w:cs="宋体"/>
                <w:color w:val="auto"/>
                <w:spacing w:val="0"/>
                <w:sz w:val="24"/>
                <w:szCs w:val="24"/>
                <w:highlight w:val="none"/>
                <w:lang w:val="en-US" w:eastAsia="zh-CN"/>
              </w:rPr>
            </w:pPr>
            <w:r>
              <w:rPr>
                <w:rFonts w:hint="eastAsia" w:ascii="Times New Roman" w:hAnsi="Times New Roman" w:eastAsia="宋体" w:cs="宋体"/>
                <w:caps w:val="0"/>
                <w:color w:val="auto"/>
                <w:sz w:val="24"/>
                <w:szCs w:val="24"/>
                <w:highlight w:val="none"/>
                <w:lang w:val="en-US" w:eastAsia="zh-CN"/>
              </w:rPr>
              <w:t>由上表可知，本项目的建设符合《黑龙江省人民政府关于实施“三线一单”生态环境分区管控的意见》（黑政发〔2020〕14号</w:t>
            </w:r>
            <w:r>
              <w:rPr>
                <w:rFonts w:hint="eastAsia" w:ascii="Times New Roman" w:hAnsi="Times New Roman" w:cs="宋体"/>
                <w:caps w:val="0"/>
                <w:color w:val="auto"/>
                <w:sz w:val="24"/>
                <w:szCs w:val="24"/>
                <w:highlight w:val="none"/>
                <w:lang w:val="en-US" w:eastAsia="zh-CN"/>
              </w:rPr>
              <w:t>），</w:t>
            </w:r>
            <w:r>
              <w:rPr>
                <w:color w:val="auto"/>
                <w:spacing w:val="-1"/>
                <w:sz w:val="24"/>
                <w:szCs w:val="24"/>
                <w:highlight w:val="none"/>
              </w:rPr>
              <w:t>《鸡西市人民政府关于实施“三线一单</w:t>
            </w:r>
            <w:r>
              <w:rPr>
                <w:color w:val="auto"/>
                <w:spacing w:val="-89"/>
                <w:sz w:val="24"/>
                <w:szCs w:val="24"/>
                <w:highlight w:val="none"/>
              </w:rPr>
              <w:t xml:space="preserve"> </w:t>
            </w:r>
            <w:r>
              <w:rPr>
                <w:rFonts w:hint="eastAsia"/>
                <w:color w:val="auto"/>
                <w:spacing w:val="-1"/>
                <w:sz w:val="24"/>
                <w:szCs w:val="24"/>
                <w:highlight w:val="none"/>
                <w:lang w:eastAsia="zh-CN"/>
              </w:rPr>
              <w:t>”</w:t>
            </w:r>
            <w:r>
              <w:rPr>
                <w:color w:val="auto"/>
                <w:spacing w:val="-1"/>
                <w:sz w:val="24"/>
                <w:szCs w:val="24"/>
                <w:highlight w:val="none"/>
              </w:rPr>
              <w:t>生态环境分区控制的意见</w:t>
            </w:r>
            <w:r>
              <w:rPr>
                <w:color w:val="auto"/>
                <w:spacing w:val="-2"/>
                <w:sz w:val="24"/>
                <w:szCs w:val="24"/>
                <w:highlight w:val="none"/>
              </w:rPr>
              <w:t>》（鸡政发〔</w:t>
            </w:r>
            <w:r>
              <w:rPr>
                <w:rFonts w:ascii="Times New Roman" w:hAnsi="Times New Roman" w:eastAsia="Times New Roman" w:cs="Times New Roman"/>
                <w:color w:val="auto"/>
                <w:spacing w:val="-2"/>
                <w:sz w:val="24"/>
                <w:szCs w:val="24"/>
                <w:highlight w:val="none"/>
              </w:rPr>
              <w:t>2021</w:t>
            </w:r>
            <w:r>
              <w:rPr>
                <w:color w:val="auto"/>
                <w:spacing w:val="-2"/>
                <w:sz w:val="24"/>
                <w:szCs w:val="24"/>
                <w:highlight w:val="none"/>
              </w:rPr>
              <w:t>〕</w:t>
            </w:r>
            <w:r>
              <w:rPr>
                <w:rFonts w:ascii="Times New Roman" w:hAnsi="Times New Roman" w:eastAsia="Times New Roman" w:cs="Times New Roman"/>
                <w:color w:val="auto"/>
                <w:spacing w:val="-2"/>
                <w:sz w:val="24"/>
                <w:szCs w:val="24"/>
                <w:highlight w:val="none"/>
              </w:rPr>
              <w:t>7</w:t>
            </w:r>
            <w:r>
              <w:rPr>
                <w:color w:val="auto"/>
                <w:spacing w:val="-2"/>
                <w:sz w:val="24"/>
                <w:szCs w:val="24"/>
                <w:highlight w:val="none"/>
              </w:rPr>
              <w:t>号）</w:t>
            </w:r>
            <w:r>
              <w:rPr>
                <w:rFonts w:hint="eastAsia" w:ascii="Times New Roman" w:eastAsia="宋体"/>
                <w:color w:val="auto"/>
                <w:kern w:val="2"/>
                <w:sz w:val="24"/>
                <w:szCs w:val="24"/>
                <w:highlight w:val="none"/>
              </w:rPr>
              <w:t>及</w:t>
            </w:r>
            <w:r>
              <w:rPr>
                <w:color w:val="auto"/>
                <w:spacing w:val="-5"/>
                <w:sz w:val="24"/>
                <w:szCs w:val="24"/>
                <w:highlight w:val="none"/>
              </w:rPr>
              <w:t>《鸡西市生态环境准入清</w:t>
            </w:r>
            <w:r>
              <w:rPr>
                <w:color w:val="auto"/>
                <w:spacing w:val="-1"/>
                <w:sz w:val="24"/>
                <w:szCs w:val="24"/>
                <w:highlight w:val="none"/>
              </w:rPr>
              <w:t>单》（</w:t>
            </w:r>
            <w:r>
              <w:rPr>
                <w:rFonts w:ascii="Times New Roman" w:hAnsi="Times New Roman" w:eastAsia="Times New Roman" w:cs="Times New Roman"/>
                <w:color w:val="auto"/>
                <w:spacing w:val="-1"/>
                <w:sz w:val="24"/>
                <w:szCs w:val="24"/>
                <w:highlight w:val="none"/>
              </w:rPr>
              <w:t>2023</w:t>
            </w:r>
            <w:r>
              <w:rPr>
                <w:color w:val="auto"/>
                <w:spacing w:val="-1"/>
                <w:sz w:val="24"/>
                <w:szCs w:val="24"/>
                <w:highlight w:val="none"/>
              </w:rPr>
              <w:t>年版）</w:t>
            </w:r>
            <w:r>
              <w:rPr>
                <w:rFonts w:hint="eastAsia" w:ascii="Times New Roman"/>
                <w:color w:val="auto"/>
                <w:kern w:val="2"/>
                <w:sz w:val="24"/>
                <w:szCs w:val="24"/>
                <w:highlight w:val="none"/>
                <w:lang w:val="en-US" w:eastAsia="zh-CN"/>
              </w:rPr>
              <w:t>相关要求。</w:t>
            </w:r>
          </w:p>
          <w:p w14:paraId="7E3F185D">
            <w:pPr>
              <w:spacing w:line="360" w:lineRule="auto"/>
              <w:ind w:left="0" w:leftChars="0" w:firstLine="0" w:firstLineChars="0"/>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根据</w:t>
            </w:r>
            <w:r>
              <w:rPr>
                <w:rFonts w:hint="eastAsia" w:cs="宋体"/>
                <w:color w:val="auto"/>
                <w:kern w:val="0"/>
                <w:sz w:val="24"/>
                <w:szCs w:val="24"/>
                <w:highlight w:val="none"/>
                <w:lang w:val="en-US" w:eastAsia="zh-CN" w:bidi="ar"/>
              </w:rPr>
              <w:t>黑龙江省燎泰新材料科技有限公司新建锅炉项目</w:t>
            </w:r>
            <w:r>
              <w:rPr>
                <w:rFonts w:hint="eastAsia" w:ascii="宋体" w:hAnsi="宋体" w:eastAsia="宋体" w:cs="宋体"/>
                <w:color w:val="auto"/>
                <w:kern w:val="0"/>
                <w:sz w:val="24"/>
                <w:szCs w:val="24"/>
                <w:highlight w:val="none"/>
                <w:lang w:val="en-US" w:eastAsia="zh-CN" w:bidi="ar"/>
              </w:rPr>
              <w:t>“三线一单”分析成果，</w:t>
            </w:r>
            <w:r>
              <w:rPr>
                <w:rFonts w:hint="eastAsia" w:cs="宋体"/>
                <w:color w:val="auto"/>
                <w:kern w:val="0"/>
                <w:sz w:val="24"/>
                <w:szCs w:val="24"/>
                <w:highlight w:val="none"/>
                <w:lang w:val="en-US" w:eastAsia="zh-CN" w:bidi="ar"/>
              </w:rPr>
              <w:t>黑龙江省燎泰新材料科技有限公司新建锅炉项目</w:t>
            </w:r>
            <w:r>
              <w:rPr>
                <w:rFonts w:hint="eastAsia" w:ascii="宋体" w:hAnsi="宋体" w:eastAsia="宋体" w:cs="宋体"/>
                <w:color w:val="auto"/>
                <w:kern w:val="0"/>
                <w:sz w:val="24"/>
                <w:szCs w:val="24"/>
                <w:highlight w:val="none"/>
                <w:lang w:val="en-US" w:eastAsia="zh-CN" w:bidi="ar"/>
              </w:rPr>
              <w:t>位置涉及鸡西市梨树区</w:t>
            </w:r>
            <w:r>
              <w:rPr>
                <w:rFonts w:hint="eastAsia" w:ascii="宋体" w:hAnsi="宋体" w:eastAsia="宋体" w:cs="宋体"/>
                <w:color w:val="auto"/>
                <w:kern w:val="0"/>
                <w:sz w:val="24"/>
                <w:szCs w:val="24"/>
                <w:highlight w:val="none"/>
                <w:u w:val="none"/>
                <w:lang w:val="en-US" w:eastAsia="zh-CN" w:bidi="ar"/>
              </w:rPr>
              <w:t>；</w:t>
            </w:r>
            <w:r>
              <w:rPr>
                <w:rFonts w:hint="eastAsia" w:cs="宋体"/>
                <w:color w:val="auto"/>
                <w:kern w:val="0"/>
                <w:sz w:val="24"/>
                <w:szCs w:val="24"/>
                <w:highlight w:val="none"/>
                <w:u w:val="none"/>
                <w:lang w:val="en-US" w:eastAsia="zh-CN" w:bidi="ar"/>
              </w:rPr>
              <w:t>黑龙江省燎泰新材料科技有限公司新建锅炉项目</w:t>
            </w:r>
            <w:r>
              <w:rPr>
                <w:rFonts w:hint="eastAsia" w:ascii="宋体" w:hAnsi="宋体" w:eastAsia="宋体" w:cs="宋体"/>
                <w:color w:val="auto"/>
                <w:kern w:val="0"/>
                <w:sz w:val="24"/>
                <w:szCs w:val="24"/>
                <w:highlight w:val="none"/>
                <w:u w:val="none"/>
                <w:lang w:val="en-US" w:eastAsia="zh-CN" w:bidi="ar"/>
              </w:rPr>
              <w:t>与生态保护红线无交集；与自然保护地无交集；</w:t>
            </w:r>
            <w:r>
              <w:rPr>
                <w:rFonts w:hint="eastAsia" w:ascii="宋体" w:hAnsi="宋体" w:eastAsia="宋体" w:cs="宋体"/>
                <w:color w:val="auto"/>
                <w:kern w:val="0"/>
                <w:sz w:val="24"/>
                <w:szCs w:val="24"/>
                <w:highlight w:val="none"/>
                <w:lang w:val="en-US" w:eastAsia="zh-CN" w:bidi="ar"/>
              </w:rPr>
              <w:t>与饮用水水源保护区无交集；与国家级水产种质资源保护区无交集；与环境管控单元优先保护</w:t>
            </w:r>
            <w:r>
              <w:rPr>
                <w:rFonts w:hint="eastAsia" w:cs="宋体"/>
                <w:color w:val="auto"/>
                <w:kern w:val="0"/>
                <w:sz w:val="24"/>
                <w:szCs w:val="24"/>
                <w:highlight w:val="none"/>
                <w:lang w:val="en-US" w:eastAsia="zh-CN" w:bidi="ar"/>
              </w:rPr>
              <w:t>单元无</w:t>
            </w:r>
            <w:r>
              <w:rPr>
                <w:rFonts w:hint="eastAsia" w:ascii="宋体" w:hAnsi="宋体" w:eastAsia="宋体" w:cs="宋体"/>
                <w:color w:val="auto"/>
                <w:kern w:val="0"/>
                <w:sz w:val="24"/>
                <w:szCs w:val="24"/>
                <w:highlight w:val="none"/>
                <w:lang w:val="en-US" w:eastAsia="zh-CN" w:bidi="ar"/>
              </w:rPr>
              <w:t>交集，与环境管控单元重点管控单元</w:t>
            </w:r>
            <w:r>
              <w:rPr>
                <w:rFonts w:hint="eastAsia" w:cs="宋体"/>
                <w:color w:val="auto"/>
                <w:kern w:val="0"/>
                <w:sz w:val="24"/>
                <w:szCs w:val="24"/>
                <w:highlight w:val="none"/>
                <w:lang w:val="en-US" w:eastAsia="zh-CN" w:bidi="ar"/>
              </w:rPr>
              <w:t>有</w:t>
            </w:r>
            <w:r>
              <w:rPr>
                <w:rFonts w:hint="eastAsia" w:ascii="宋体" w:hAnsi="宋体" w:eastAsia="宋体" w:cs="宋体"/>
                <w:color w:val="auto"/>
                <w:kern w:val="0"/>
                <w:sz w:val="24"/>
                <w:szCs w:val="24"/>
                <w:highlight w:val="none"/>
                <w:lang w:val="en-US" w:eastAsia="zh-CN" w:bidi="ar"/>
              </w:rPr>
              <w:t>交集</w:t>
            </w:r>
            <w:r>
              <w:rPr>
                <w:rFonts w:hint="eastAsia"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占项目占地面积的100.00%；与环境管控单元一般管控单元</w:t>
            </w:r>
            <w:r>
              <w:rPr>
                <w:rFonts w:hint="eastAsia" w:cs="宋体"/>
                <w:color w:val="auto"/>
                <w:kern w:val="0"/>
                <w:sz w:val="24"/>
                <w:szCs w:val="24"/>
                <w:highlight w:val="none"/>
                <w:lang w:val="en-US" w:eastAsia="zh-CN" w:bidi="ar"/>
              </w:rPr>
              <w:t>无</w:t>
            </w:r>
            <w:r>
              <w:rPr>
                <w:rFonts w:hint="eastAsia" w:ascii="宋体" w:hAnsi="宋体" w:eastAsia="宋体" w:cs="宋体"/>
                <w:color w:val="auto"/>
                <w:kern w:val="0"/>
                <w:sz w:val="24"/>
                <w:szCs w:val="24"/>
                <w:highlight w:val="none"/>
                <w:lang w:val="en-US" w:eastAsia="zh-CN" w:bidi="ar"/>
              </w:rPr>
              <w:t>交集。</w:t>
            </w:r>
          </w:p>
          <w:p w14:paraId="48A43B84">
            <w:pPr>
              <w:spacing w:line="360" w:lineRule="auto"/>
              <w:ind w:left="0" w:leftChars="0" w:firstLine="0" w:firstLineChars="0"/>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lang w:val="en-US" w:eastAsia="zh-CN"/>
              </w:rPr>
              <w:t>（</w:t>
            </w:r>
            <w:r>
              <w:rPr>
                <w:rFonts w:hint="eastAsia" w:cs="宋体"/>
                <w:color w:val="auto"/>
                <w:spacing w:val="0"/>
                <w:sz w:val="24"/>
                <w:szCs w:val="24"/>
                <w:highlight w:val="none"/>
                <w:lang w:val="en-US" w:eastAsia="zh-CN"/>
              </w:rPr>
              <w:t>4</w:t>
            </w:r>
            <w:r>
              <w:rPr>
                <w:rFonts w:hint="eastAsia" w:ascii="宋体" w:hAnsi="宋体" w:eastAsia="宋体" w:cs="宋体"/>
                <w:color w:val="auto"/>
                <w:spacing w:val="0"/>
                <w:sz w:val="24"/>
                <w:szCs w:val="24"/>
                <w:highlight w:val="none"/>
                <w:lang w:val="en-US" w:eastAsia="zh-CN"/>
              </w:rPr>
              <w:t>）</w:t>
            </w:r>
            <w:r>
              <w:rPr>
                <w:rFonts w:hint="eastAsia" w:ascii="宋体" w:hAnsi="宋体" w:eastAsia="宋体" w:cs="宋体"/>
                <w:color w:val="auto"/>
                <w:spacing w:val="0"/>
                <w:sz w:val="24"/>
                <w:szCs w:val="24"/>
                <w:highlight w:val="none"/>
              </w:rPr>
              <w:t>“三线一单”符合性结论</w:t>
            </w:r>
          </w:p>
          <w:p w14:paraId="58A6FD3D">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bCs w:val="0"/>
                <w:color w:val="auto"/>
                <w:spacing w:val="0"/>
                <w:sz w:val="28"/>
                <w:szCs w:val="28"/>
                <w:highlight w:val="none"/>
                <w:lang w:val="en-US" w:eastAsia="zh-CN"/>
              </w:rPr>
            </w:pPr>
            <w:r>
              <w:rPr>
                <w:rFonts w:hint="eastAsia" w:ascii="宋体" w:hAnsi="宋体" w:eastAsia="宋体" w:cs="宋体"/>
                <w:color w:val="auto"/>
                <w:spacing w:val="0"/>
                <w:sz w:val="24"/>
                <w:szCs w:val="24"/>
                <w:highlight w:val="none"/>
              </w:rPr>
              <w:t>综</w:t>
            </w:r>
            <w:r>
              <w:rPr>
                <w:rFonts w:hint="eastAsia" w:ascii="宋体" w:hAnsi="宋体" w:eastAsia="宋体" w:cs="宋体"/>
                <w:bCs/>
                <w:color w:val="auto"/>
                <w:spacing w:val="0"/>
                <w:sz w:val="24"/>
                <w:szCs w:val="24"/>
                <w:highlight w:val="none"/>
              </w:rPr>
              <w:t>上，本项目</w:t>
            </w:r>
            <w:r>
              <w:rPr>
                <w:rFonts w:hint="eastAsia" w:ascii="宋体" w:hAnsi="宋体" w:eastAsia="宋体" w:cs="宋体"/>
                <w:bCs w:val="0"/>
                <w:color w:val="auto"/>
                <w:spacing w:val="0"/>
                <w:kern w:val="2"/>
                <w:sz w:val="24"/>
                <w:szCs w:val="24"/>
                <w:highlight w:val="none"/>
                <w:lang w:val="zh-CN" w:eastAsia="zh-CN" w:bidi="ar-SA"/>
              </w:rPr>
              <w:t>选址不涉及</w:t>
            </w:r>
            <w:r>
              <w:rPr>
                <w:rFonts w:hint="eastAsia" w:cs="宋体"/>
                <w:bCs w:val="0"/>
                <w:color w:val="auto"/>
                <w:spacing w:val="0"/>
                <w:kern w:val="2"/>
                <w:sz w:val="24"/>
                <w:szCs w:val="24"/>
                <w:highlight w:val="none"/>
                <w:lang w:val="en-US" w:eastAsia="zh-CN" w:bidi="ar-SA"/>
              </w:rPr>
              <w:t>鸡西市</w:t>
            </w:r>
            <w:r>
              <w:rPr>
                <w:rFonts w:hint="eastAsia" w:ascii="宋体" w:hAnsi="宋体" w:eastAsia="宋体" w:cs="宋体"/>
                <w:bCs w:val="0"/>
                <w:color w:val="auto"/>
                <w:spacing w:val="0"/>
                <w:kern w:val="2"/>
                <w:sz w:val="24"/>
                <w:szCs w:val="24"/>
                <w:highlight w:val="none"/>
                <w:lang w:val="zh-CN" w:eastAsia="zh-CN" w:bidi="ar-SA"/>
              </w:rPr>
              <w:t>划定的生态保护红线，同时符合环境质量底线、资源利用上线以及</w:t>
            </w:r>
            <w:r>
              <w:rPr>
                <w:rFonts w:hint="eastAsia" w:ascii="宋体" w:hAnsi="宋体" w:eastAsia="宋体" w:cs="宋体"/>
                <w:color w:val="auto"/>
                <w:spacing w:val="0"/>
                <w:sz w:val="24"/>
                <w:szCs w:val="24"/>
                <w:highlight w:val="none"/>
                <w:lang w:val="en-US" w:eastAsia="zh-CN"/>
              </w:rPr>
              <w:t>《鸡西市生态环境准入清单》（2023年版）</w:t>
            </w:r>
            <w:r>
              <w:rPr>
                <w:rFonts w:hint="eastAsia" w:ascii="宋体" w:hAnsi="宋体" w:eastAsia="宋体" w:cs="宋体"/>
                <w:bCs w:val="0"/>
                <w:color w:val="auto"/>
                <w:spacing w:val="0"/>
                <w:kern w:val="2"/>
                <w:sz w:val="24"/>
                <w:szCs w:val="24"/>
                <w:highlight w:val="none"/>
                <w:lang w:val="zh-CN" w:eastAsia="zh-CN" w:bidi="ar-SA"/>
              </w:rPr>
              <w:t>管理要求。</w:t>
            </w:r>
            <w:r>
              <w:rPr>
                <w:rFonts w:hint="eastAsia" w:ascii="宋体" w:hAnsi="宋体" w:eastAsia="宋体" w:cs="宋体"/>
                <w:color w:val="auto"/>
                <w:spacing w:val="0"/>
                <w:sz w:val="24"/>
                <w:szCs w:val="24"/>
                <w:highlight w:val="none"/>
                <w:lang w:val="en-US" w:eastAsia="zh-CN"/>
              </w:rPr>
              <w:t>本项目产生的废气主要为锅炉产生</w:t>
            </w:r>
            <w:r>
              <w:rPr>
                <w:rFonts w:hint="eastAsia" w:ascii="宋体" w:hAnsi="宋体" w:eastAsia="宋体" w:cs="宋体"/>
                <w:color w:val="auto"/>
                <w:spacing w:val="0"/>
                <w:sz w:val="24"/>
                <w:highlight w:val="none"/>
                <w:lang w:val="en-US" w:eastAsia="zh-CN"/>
              </w:rPr>
              <w:t>颗粒物、二氧化硫、氮氧化物、烟气黑度</w:t>
            </w:r>
            <w:r>
              <w:rPr>
                <w:rFonts w:hint="eastAsia" w:cs="宋体"/>
                <w:color w:val="auto"/>
                <w:spacing w:val="0"/>
                <w:sz w:val="24"/>
                <w:highlight w:val="none"/>
                <w:lang w:val="en-US" w:eastAsia="zh-CN"/>
              </w:rPr>
              <w:t>、汞及其化合物</w:t>
            </w:r>
            <w:r>
              <w:rPr>
                <w:rFonts w:hint="eastAsia" w:ascii="宋体" w:hAnsi="宋体" w:eastAsia="宋体" w:cs="宋体"/>
                <w:color w:val="auto"/>
                <w:spacing w:val="0"/>
                <w:sz w:val="24"/>
                <w:szCs w:val="24"/>
                <w:highlight w:val="none"/>
                <w:lang w:val="en-US" w:eastAsia="zh-CN"/>
              </w:rPr>
              <w:t>。废气经由</w:t>
            </w:r>
            <w:r>
              <w:rPr>
                <w:rFonts w:hint="eastAsia" w:cs="宋体"/>
                <w:color w:val="auto"/>
                <w:spacing w:val="0"/>
                <w:sz w:val="24"/>
                <w:szCs w:val="24"/>
                <w:highlight w:val="none"/>
                <w:lang w:val="en-US" w:eastAsia="zh-CN"/>
              </w:rPr>
              <w:t>1</w:t>
            </w:r>
            <w:r>
              <w:rPr>
                <w:rFonts w:hint="eastAsia" w:ascii="宋体" w:hAnsi="宋体" w:eastAsia="宋体" w:cs="宋体"/>
                <w:color w:val="auto"/>
                <w:spacing w:val="0"/>
                <w:sz w:val="24"/>
                <w:szCs w:val="24"/>
                <w:highlight w:val="none"/>
                <w:lang w:val="en-US" w:eastAsia="zh-CN"/>
              </w:rPr>
              <w:t>根</w:t>
            </w:r>
            <w:r>
              <w:rPr>
                <w:rFonts w:hint="eastAsia" w:cs="宋体"/>
                <w:color w:val="auto"/>
                <w:spacing w:val="0"/>
                <w:sz w:val="24"/>
                <w:szCs w:val="24"/>
                <w:highlight w:val="none"/>
                <w:lang w:val="en-US" w:eastAsia="zh-CN"/>
              </w:rPr>
              <w:t>35</w:t>
            </w:r>
            <w:r>
              <w:rPr>
                <w:rFonts w:hint="eastAsia" w:ascii="宋体" w:hAnsi="宋体" w:eastAsia="宋体" w:cs="宋体"/>
                <w:color w:val="auto"/>
                <w:spacing w:val="0"/>
                <w:sz w:val="24"/>
                <w:szCs w:val="24"/>
                <w:highlight w:val="none"/>
              </w:rPr>
              <w:t>m高排气筒</w:t>
            </w:r>
            <w:r>
              <w:rPr>
                <w:rFonts w:hint="eastAsia" w:cs="宋体"/>
                <w:color w:val="auto"/>
                <w:spacing w:val="0"/>
                <w:sz w:val="24"/>
                <w:szCs w:val="24"/>
                <w:highlight w:val="none"/>
                <w:lang w:val="en-US" w:eastAsia="zh-CN"/>
              </w:rPr>
              <w:t>DA010</w:t>
            </w:r>
            <w:r>
              <w:rPr>
                <w:rFonts w:hint="eastAsia" w:ascii="宋体" w:hAnsi="宋体" w:eastAsia="宋体" w:cs="宋体"/>
                <w:color w:val="auto"/>
                <w:spacing w:val="0"/>
                <w:sz w:val="24"/>
                <w:szCs w:val="24"/>
                <w:highlight w:val="none"/>
                <w:lang w:val="en-US" w:eastAsia="zh-CN"/>
              </w:rPr>
              <w:t>有组织</w:t>
            </w:r>
            <w:r>
              <w:rPr>
                <w:rFonts w:hint="eastAsia" w:ascii="宋体" w:hAnsi="宋体" w:eastAsia="宋体" w:cs="宋体"/>
                <w:color w:val="auto"/>
                <w:spacing w:val="0"/>
                <w:sz w:val="24"/>
                <w:szCs w:val="24"/>
                <w:highlight w:val="none"/>
              </w:rPr>
              <w:t>排放</w:t>
            </w:r>
            <w:r>
              <w:rPr>
                <w:rFonts w:hint="eastAsia" w:ascii="宋体" w:hAnsi="宋体" w:eastAsia="宋体" w:cs="宋体"/>
                <w:color w:val="auto"/>
                <w:spacing w:val="0"/>
                <w:sz w:val="24"/>
                <w:szCs w:val="24"/>
                <w:highlight w:val="none"/>
                <w:lang w:eastAsia="zh-CN"/>
              </w:rPr>
              <w:t>；</w:t>
            </w:r>
            <w:r>
              <w:rPr>
                <w:rFonts w:hint="eastAsia" w:ascii="宋体" w:hAnsi="宋体" w:eastAsia="宋体" w:cs="宋体"/>
                <w:color w:val="auto"/>
                <w:spacing w:val="0"/>
                <w:sz w:val="24"/>
                <w:szCs w:val="24"/>
                <w:highlight w:val="none"/>
                <w:lang w:val="en-US" w:eastAsia="zh-CN"/>
              </w:rPr>
              <w:t>废气排放满足</w:t>
            </w:r>
            <w:r>
              <w:rPr>
                <w:rFonts w:hint="eastAsia" w:ascii="宋体" w:hAnsi="宋体" w:eastAsia="宋体" w:cs="宋体"/>
                <w:color w:val="auto"/>
                <w:spacing w:val="0"/>
                <w:sz w:val="24"/>
                <w:highlight w:val="none"/>
              </w:rPr>
              <w:t>《</w:t>
            </w:r>
            <w:r>
              <w:rPr>
                <w:rFonts w:hint="eastAsia" w:ascii="宋体" w:hAnsi="宋体" w:eastAsia="宋体" w:cs="宋体"/>
                <w:color w:val="auto"/>
                <w:spacing w:val="0"/>
                <w:sz w:val="24"/>
                <w:highlight w:val="none"/>
                <w:lang w:val="en-US" w:eastAsia="zh-CN"/>
              </w:rPr>
              <w:t>锅炉大气污染物排放标准</w:t>
            </w:r>
            <w:r>
              <w:rPr>
                <w:rFonts w:hint="eastAsia" w:ascii="宋体" w:hAnsi="宋体" w:eastAsia="宋体" w:cs="宋体"/>
                <w:color w:val="auto"/>
                <w:spacing w:val="0"/>
                <w:sz w:val="24"/>
                <w:highlight w:val="none"/>
              </w:rPr>
              <w:t>》（GB</w:t>
            </w:r>
            <w:r>
              <w:rPr>
                <w:rFonts w:hint="eastAsia" w:ascii="宋体" w:hAnsi="宋体" w:eastAsia="宋体" w:cs="宋体"/>
                <w:color w:val="auto"/>
                <w:spacing w:val="0"/>
                <w:sz w:val="24"/>
                <w:highlight w:val="none"/>
                <w:lang w:val="en-US" w:eastAsia="zh-CN"/>
              </w:rPr>
              <w:t>13271</w:t>
            </w:r>
            <w:r>
              <w:rPr>
                <w:rFonts w:hint="eastAsia" w:ascii="宋体" w:hAnsi="宋体" w:eastAsia="宋体" w:cs="宋体"/>
                <w:color w:val="auto"/>
                <w:spacing w:val="0"/>
                <w:sz w:val="24"/>
                <w:highlight w:val="none"/>
              </w:rPr>
              <w:t>-</w:t>
            </w:r>
            <w:r>
              <w:rPr>
                <w:rFonts w:hint="eastAsia" w:ascii="宋体" w:hAnsi="宋体" w:eastAsia="宋体" w:cs="宋体"/>
                <w:color w:val="auto"/>
                <w:spacing w:val="0"/>
                <w:sz w:val="24"/>
                <w:highlight w:val="none"/>
                <w:lang w:val="en-US" w:eastAsia="zh-CN"/>
              </w:rPr>
              <w:t>2014</w:t>
            </w:r>
            <w:r>
              <w:rPr>
                <w:rFonts w:hint="eastAsia" w:ascii="宋体" w:hAnsi="宋体" w:eastAsia="宋体" w:cs="宋体"/>
                <w:color w:val="auto"/>
                <w:spacing w:val="0"/>
                <w:sz w:val="24"/>
                <w:highlight w:val="none"/>
              </w:rPr>
              <w:t>）表</w:t>
            </w:r>
            <w:r>
              <w:rPr>
                <w:rFonts w:hint="eastAsia" w:ascii="宋体" w:hAnsi="宋体" w:eastAsia="宋体" w:cs="宋体"/>
                <w:color w:val="auto"/>
                <w:spacing w:val="0"/>
                <w:sz w:val="24"/>
                <w:highlight w:val="none"/>
                <w:lang w:val="en-US" w:eastAsia="zh-CN"/>
              </w:rPr>
              <w:t>2</w:t>
            </w:r>
            <w:r>
              <w:rPr>
                <w:rFonts w:hint="eastAsia" w:ascii="宋体" w:hAnsi="宋体" w:eastAsia="宋体" w:cs="宋体"/>
                <w:color w:val="auto"/>
                <w:spacing w:val="0"/>
                <w:sz w:val="24"/>
                <w:highlight w:val="none"/>
              </w:rPr>
              <w:t>中</w:t>
            </w:r>
            <w:r>
              <w:rPr>
                <w:rFonts w:hint="eastAsia" w:cs="宋体"/>
                <w:color w:val="auto"/>
                <w:spacing w:val="0"/>
                <w:sz w:val="24"/>
                <w:highlight w:val="none"/>
                <w:lang w:val="en-US" w:eastAsia="zh-CN"/>
              </w:rPr>
              <w:t>锅炉</w:t>
            </w:r>
            <w:r>
              <w:rPr>
                <w:rFonts w:hint="eastAsia" w:ascii="宋体" w:hAnsi="宋体" w:eastAsia="宋体" w:cs="宋体"/>
                <w:color w:val="auto"/>
                <w:spacing w:val="0"/>
                <w:sz w:val="24"/>
                <w:highlight w:val="none"/>
                <w:lang w:val="en-US" w:eastAsia="zh-CN"/>
              </w:rPr>
              <w:t>排放限值</w:t>
            </w:r>
            <w:r>
              <w:rPr>
                <w:rFonts w:hint="eastAsia" w:ascii="宋体" w:hAnsi="宋体" w:eastAsia="宋体" w:cs="宋体"/>
                <w:bCs w:val="0"/>
                <w:color w:val="auto"/>
                <w:spacing w:val="0"/>
                <w:kern w:val="2"/>
                <w:sz w:val="24"/>
                <w:szCs w:val="24"/>
                <w:highlight w:val="none"/>
                <w:lang w:val="en-US" w:eastAsia="zh-CN" w:bidi="ar-SA"/>
              </w:rPr>
              <w:t>。</w:t>
            </w:r>
            <w:r>
              <w:rPr>
                <w:rFonts w:hint="eastAsia" w:ascii="宋体" w:hAnsi="宋体" w:eastAsia="宋体" w:cs="宋体"/>
                <w:color w:val="auto"/>
                <w:spacing w:val="0"/>
                <w:sz w:val="24"/>
                <w:szCs w:val="24"/>
                <w:highlight w:val="none"/>
                <w:lang w:val="en-US"/>
              </w:rPr>
              <w:t>本项目建成后</w:t>
            </w:r>
            <w:r>
              <w:rPr>
                <w:rFonts w:hint="eastAsia" w:ascii="宋体" w:hAnsi="宋体" w:eastAsia="宋体" w:cs="宋体"/>
                <w:color w:val="auto"/>
                <w:spacing w:val="0"/>
                <w:sz w:val="24"/>
                <w:szCs w:val="24"/>
                <w:highlight w:val="none"/>
                <w:lang w:val="en-US" w:eastAsia="zh-CN"/>
              </w:rPr>
              <w:t>外排</w:t>
            </w:r>
            <w:r>
              <w:rPr>
                <w:rFonts w:hint="eastAsia" w:ascii="宋体" w:hAnsi="宋体" w:eastAsia="宋体" w:cs="宋体"/>
                <w:color w:val="auto"/>
                <w:spacing w:val="0"/>
                <w:sz w:val="24"/>
                <w:szCs w:val="24"/>
                <w:highlight w:val="none"/>
                <w:lang w:val="en-US"/>
              </w:rPr>
              <w:t>废水主要是</w:t>
            </w:r>
            <w:r>
              <w:rPr>
                <w:rFonts w:hint="eastAsia" w:ascii="宋体" w:hAnsi="宋体" w:eastAsia="宋体" w:cs="宋体"/>
                <w:color w:val="auto"/>
                <w:spacing w:val="0"/>
                <w:sz w:val="24"/>
                <w:szCs w:val="24"/>
                <w:highlight w:val="none"/>
                <w:lang w:val="en-US" w:eastAsia="zh-CN"/>
              </w:rPr>
              <w:t>锅炉排污水和</w:t>
            </w:r>
            <w:r>
              <w:rPr>
                <w:rFonts w:hint="eastAsia" w:cs="宋体"/>
                <w:color w:val="auto"/>
                <w:spacing w:val="0"/>
                <w:sz w:val="24"/>
                <w:szCs w:val="24"/>
                <w:highlight w:val="none"/>
                <w:lang w:val="en-US" w:eastAsia="zh-CN"/>
              </w:rPr>
              <w:t>软水制备废水</w:t>
            </w:r>
            <w:r>
              <w:rPr>
                <w:rFonts w:hint="eastAsia" w:ascii="宋体" w:hAnsi="宋体" w:eastAsia="宋体" w:cs="宋体"/>
                <w:color w:val="auto"/>
                <w:spacing w:val="0"/>
                <w:sz w:val="24"/>
                <w:szCs w:val="24"/>
                <w:highlight w:val="none"/>
                <w:lang w:val="en-US" w:eastAsia="zh-CN"/>
              </w:rPr>
              <w:t>。</w:t>
            </w:r>
            <w:r>
              <w:rPr>
                <w:rFonts w:hint="eastAsia" w:ascii="宋体" w:hAnsi="宋体" w:eastAsia="宋体" w:cs="宋体"/>
                <w:bCs/>
                <w:color w:val="auto"/>
                <w:spacing w:val="0"/>
                <w:sz w:val="24"/>
                <w:szCs w:val="24"/>
                <w:highlight w:val="none"/>
                <w:lang w:val="en-US" w:eastAsia="zh-CN"/>
              </w:rPr>
              <w:t>污水排入污水管网，最终进入</w:t>
            </w:r>
            <w:r>
              <w:rPr>
                <w:rFonts w:hint="eastAsia" w:cs="宋体"/>
                <w:bCs/>
                <w:color w:val="auto"/>
                <w:spacing w:val="0"/>
                <w:sz w:val="24"/>
                <w:szCs w:val="24"/>
                <w:highlight w:val="none"/>
                <w:lang w:val="en-US" w:eastAsia="zh-CN"/>
              </w:rPr>
              <w:t>梨树工业谷污水处理厂</w:t>
            </w:r>
            <w:r>
              <w:rPr>
                <w:rFonts w:hint="eastAsia" w:ascii="宋体" w:hAnsi="宋体" w:eastAsia="宋体" w:cs="宋体"/>
                <w:bCs/>
                <w:color w:val="auto"/>
                <w:spacing w:val="0"/>
                <w:sz w:val="24"/>
                <w:szCs w:val="24"/>
                <w:highlight w:val="none"/>
                <w:lang w:val="en-US" w:eastAsia="zh-CN"/>
              </w:rPr>
              <w:t>集中处理</w:t>
            </w:r>
            <w:r>
              <w:rPr>
                <w:rFonts w:hint="eastAsia" w:ascii="宋体" w:hAnsi="宋体" w:eastAsia="宋体" w:cs="宋体"/>
                <w:color w:val="auto"/>
                <w:spacing w:val="0"/>
                <w:sz w:val="24"/>
                <w:szCs w:val="24"/>
                <w:highlight w:val="none"/>
                <w:lang w:val="en-US" w:eastAsia="zh-CN"/>
              </w:rPr>
              <w:t>。运营期设备噪声通过</w:t>
            </w:r>
            <w:r>
              <w:rPr>
                <w:rFonts w:hint="eastAsia" w:cs="宋体"/>
                <w:color w:val="auto"/>
                <w:spacing w:val="0"/>
                <w:sz w:val="24"/>
                <w:szCs w:val="24"/>
                <w:highlight w:val="none"/>
                <w:lang w:eastAsia="zh-CN"/>
              </w:rPr>
              <w:t>厂房隔声</w:t>
            </w:r>
            <w:r>
              <w:rPr>
                <w:rFonts w:hint="eastAsia" w:ascii="宋体" w:hAnsi="宋体" w:eastAsia="宋体" w:cs="宋体"/>
                <w:color w:val="auto"/>
                <w:spacing w:val="0"/>
                <w:sz w:val="24"/>
                <w:szCs w:val="24"/>
                <w:highlight w:val="none"/>
              </w:rPr>
              <w:t>、</w:t>
            </w:r>
            <w:r>
              <w:rPr>
                <w:rFonts w:hint="eastAsia" w:ascii="宋体" w:hAnsi="宋体" w:eastAsia="宋体" w:cs="宋体"/>
                <w:color w:val="auto"/>
                <w:spacing w:val="0"/>
                <w:sz w:val="24"/>
                <w:szCs w:val="24"/>
                <w:highlight w:val="none"/>
                <w:lang w:eastAsia="zh-CN"/>
              </w:rPr>
              <w:t>设置</w:t>
            </w:r>
            <w:r>
              <w:rPr>
                <w:rFonts w:hint="eastAsia" w:ascii="宋体" w:hAnsi="宋体" w:eastAsia="宋体" w:cs="宋体"/>
                <w:color w:val="auto"/>
                <w:spacing w:val="0"/>
                <w:sz w:val="24"/>
                <w:szCs w:val="24"/>
                <w:highlight w:val="none"/>
              </w:rPr>
              <w:t>基础减振</w:t>
            </w:r>
            <w:r>
              <w:rPr>
                <w:rFonts w:hint="eastAsia" w:ascii="宋体" w:hAnsi="宋体" w:eastAsia="宋体" w:cs="宋体"/>
                <w:color w:val="auto"/>
                <w:spacing w:val="0"/>
                <w:sz w:val="24"/>
                <w:szCs w:val="24"/>
                <w:highlight w:val="none"/>
                <w:lang w:val="en-US" w:eastAsia="zh-CN"/>
              </w:rPr>
              <w:t>措施，对周围声环境影响较小。</w:t>
            </w:r>
            <w:r>
              <w:rPr>
                <w:rFonts w:hint="eastAsia" w:cs="宋体"/>
                <w:color w:val="auto"/>
                <w:spacing w:val="0"/>
                <w:sz w:val="24"/>
                <w:szCs w:val="24"/>
                <w:highlight w:val="none"/>
                <w:lang w:val="en-US" w:eastAsia="zh-CN"/>
              </w:rPr>
              <w:t>软水制备过程产生的离子交换树脂和布袋除尘器产生废布袋</w:t>
            </w:r>
            <w:r>
              <w:rPr>
                <w:rFonts w:hint="eastAsia" w:ascii="宋体" w:hAnsi="宋体" w:eastAsia="宋体" w:cs="宋体"/>
                <w:color w:val="auto"/>
                <w:spacing w:val="0"/>
                <w:sz w:val="24"/>
                <w:szCs w:val="24"/>
                <w:highlight w:val="none"/>
                <w:lang w:eastAsia="zh-CN"/>
              </w:rPr>
              <w:t>集中收集后</w:t>
            </w:r>
            <w:r>
              <w:rPr>
                <w:rFonts w:hint="eastAsia" w:cs="宋体"/>
                <w:color w:val="auto"/>
                <w:spacing w:val="0"/>
                <w:sz w:val="24"/>
                <w:szCs w:val="24"/>
                <w:highlight w:val="none"/>
                <w:lang w:val="en-US" w:eastAsia="zh-CN"/>
              </w:rPr>
              <w:t>交由厂家回收再生处理，锅炉灰渣、旋风除尘器+布袋除尘器集尘外售综合利用，危险废物交有资质单位处置</w:t>
            </w:r>
            <w:r>
              <w:rPr>
                <w:rFonts w:hint="eastAsia" w:ascii="宋体" w:hAnsi="宋体" w:eastAsia="宋体" w:cs="宋体"/>
                <w:color w:val="auto"/>
                <w:spacing w:val="0"/>
                <w:sz w:val="24"/>
                <w:szCs w:val="24"/>
                <w:highlight w:val="none"/>
                <w:lang w:eastAsia="zh-CN"/>
              </w:rPr>
              <w:t>；</w:t>
            </w:r>
            <w:r>
              <w:rPr>
                <w:rFonts w:hint="eastAsia" w:ascii="宋体" w:hAnsi="宋体" w:eastAsia="宋体" w:cs="宋体"/>
                <w:color w:val="auto"/>
                <w:spacing w:val="0"/>
                <w:sz w:val="24"/>
                <w:szCs w:val="24"/>
                <w:highlight w:val="none"/>
                <w:lang w:val="en-US" w:eastAsia="zh-CN"/>
              </w:rPr>
              <w:t>综上所述，项目运营期对周边环境的不利影响可得到有效控制，本项目建设对周围环境影响较小，因此本项目符合</w:t>
            </w:r>
            <w:r>
              <w:rPr>
                <w:rFonts w:hint="eastAsia" w:ascii="宋体" w:hAnsi="宋体" w:eastAsia="宋体" w:cs="宋体"/>
                <w:color w:val="auto"/>
                <w:spacing w:val="0"/>
                <w:highlight w:val="none"/>
              </w:rPr>
              <w:t>《黑龙江省人民政府关于实施“三线一单”生态环境分区管控的意见》（黑政发〔2020〕14号）</w:t>
            </w:r>
            <w:r>
              <w:rPr>
                <w:rFonts w:hint="eastAsia" w:ascii="宋体" w:hAnsi="宋体" w:eastAsia="宋体" w:cs="宋体"/>
                <w:color w:val="auto"/>
                <w:spacing w:val="0"/>
                <w:sz w:val="24"/>
                <w:szCs w:val="24"/>
                <w:highlight w:val="none"/>
                <w:lang w:val="en-US" w:eastAsia="zh-CN"/>
              </w:rPr>
              <w:t>、《鸡西市人民政府关于实施“三线一单”生态环境分区管控的意见》（鸡政发〔2021〕7号）中要求。</w:t>
            </w:r>
          </w:p>
          <w:p w14:paraId="7F1AC552">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2.</w:t>
            </w:r>
            <w:r>
              <w:rPr>
                <w:rFonts w:hint="eastAsia" w:ascii="宋体" w:hAnsi="宋体" w:eastAsia="宋体" w:cs="宋体"/>
                <w:b/>
                <w:bCs w:val="0"/>
                <w:color w:val="auto"/>
                <w:spacing w:val="0"/>
                <w:sz w:val="24"/>
                <w:szCs w:val="24"/>
                <w:highlight w:val="none"/>
                <w:lang w:val="en-US" w:eastAsia="zh-CN"/>
              </w:rPr>
              <w:t>与相关环保政策相符性分析</w:t>
            </w:r>
          </w:p>
          <w:p w14:paraId="25AD1DA0">
            <w:pPr>
              <w:ind w:firstLine="482" w:firstLineChars="200"/>
              <w:rPr>
                <w:rFonts w:hint="eastAsia" w:ascii="宋体" w:hAnsi="宋体" w:eastAsia="宋体" w:cs="宋体"/>
                <w:b/>
                <w:bCs/>
                <w:color w:val="auto"/>
                <w:spacing w:val="0"/>
                <w:sz w:val="24"/>
                <w:highlight w:val="none"/>
              </w:rPr>
            </w:pPr>
            <w:r>
              <w:rPr>
                <w:rFonts w:hint="eastAsia" w:ascii="宋体" w:hAnsi="宋体" w:eastAsia="宋体" w:cs="宋体"/>
                <w:b/>
                <w:bCs/>
                <w:color w:val="auto"/>
                <w:spacing w:val="0"/>
                <w:sz w:val="24"/>
                <w:highlight w:val="none"/>
                <w:lang w:val="en-US" w:eastAsia="zh-CN"/>
              </w:rPr>
              <w:t>2.1</w:t>
            </w:r>
            <w:r>
              <w:rPr>
                <w:rFonts w:hint="eastAsia" w:ascii="宋体" w:hAnsi="宋体" w:eastAsia="宋体" w:cs="宋体"/>
                <w:b/>
                <w:bCs/>
                <w:color w:val="auto"/>
                <w:spacing w:val="0"/>
                <w:sz w:val="24"/>
                <w:highlight w:val="none"/>
              </w:rPr>
              <w:t>与《黑龙江省人民代表大会常务委员会关于修改〈黑龙江省大气污染防治条例〉的决定》（2018年12月27日）符合性分析</w:t>
            </w:r>
          </w:p>
          <w:p w14:paraId="3143EF16">
            <w:pPr>
              <w:ind w:firstLine="480" w:firstLineChars="200"/>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在条例中“第三章大气污染防治措施，第一节燃煤污染防治”中“第三十二条要求燃煤电厂、燃煤供热锅炉以及其他燃煤单位，应当采用清洁生产工艺，配套建设除尘、脱硫、脱硝等装置或者采用技术改造等措施，减少大气污染物的产生和排放，排放的大气污染物应当达到规定标准。”“第三十三条要求设区的市级城市建成区内，禁止新建额定蒸发量低于每小时二十吨或者额定功率低于十四兆瓦的燃煤锅炉；已经建成的额定蒸发量每小时十吨以下或者额定功率七兆瓦以下的燃煤锅炉，应当在国家规定的期限内淘汰。国家对新建和淘汰燃煤锅炉另有规定的，从其规定。”，“第三十五条要求设区的市级人民政府和县级人民政府应当积极推进棚户区改造，推行热电联产和区域锅炉等集中供热方式，逐步提高集中供热比例，制定计划将应当淘汰的分散燃煤锅炉供热区域纳入集中供热管网覆盖范围，并负责组织实施。在集中供热管网未覆盖的区域，推广使用高效节能环保型锅炉或者进行锅炉高效除尘改造，或者使用新能源、清洁能源供热。”</w:t>
            </w:r>
          </w:p>
          <w:p w14:paraId="5DD93AE6">
            <w:pPr>
              <w:ind w:firstLine="480" w:firstLineChars="200"/>
              <w:rPr>
                <w:rFonts w:hint="eastAsia" w:ascii="宋体" w:hAnsi="宋体" w:eastAsia="宋体" w:cs="宋体"/>
                <w:color w:val="auto"/>
                <w:spacing w:val="0"/>
                <w:sz w:val="24"/>
                <w:highlight w:val="none"/>
              </w:rPr>
            </w:pPr>
            <w:r>
              <w:rPr>
                <w:rFonts w:hint="eastAsia" w:ascii="宋体" w:hAnsi="宋体" w:eastAsia="宋体" w:cs="宋体"/>
                <w:color w:val="auto"/>
                <w:spacing w:val="0"/>
                <w:sz w:val="24"/>
                <w:szCs w:val="24"/>
                <w:highlight w:val="none"/>
                <w:lang w:val="en-US" w:eastAsia="zh-CN"/>
              </w:rPr>
              <w:t>第二十九条各级人民政府应当调整能源结构，推广清洁能源的生产和使用，制定并组织实施煤炭消费总量控制规划，减少煤炭生产、使用、转化过程中的大气污染物排放。</w:t>
            </w:r>
          </w:p>
          <w:p w14:paraId="6D4628E3">
            <w:pPr>
              <w:ind w:firstLine="480" w:firstLineChars="200"/>
              <w:rPr>
                <w:rFonts w:hint="eastAsia" w:ascii="宋体" w:hAnsi="宋体" w:eastAsia="宋体" w:cs="宋体"/>
                <w:b/>
                <w:bCs/>
                <w:color w:val="auto"/>
                <w:spacing w:val="0"/>
                <w:sz w:val="24"/>
                <w:szCs w:val="24"/>
                <w:highlight w:val="none"/>
                <w:lang w:val="en-US" w:eastAsia="zh-CN"/>
              </w:rPr>
            </w:pPr>
            <w:r>
              <w:rPr>
                <w:rFonts w:hint="eastAsia" w:ascii="宋体" w:hAnsi="宋体" w:eastAsia="宋体" w:cs="宋体"/>
                <w:color w:val="auto"/>
                <w:spacing w:val="0"/>
                <w:sz w:val="24"/>
                <w:highlight w:val="none"/>
              </w:rPr>
              <w:t>本项目</w:t>
            </w:r>
            <w:r>
              <w:rPr>
                <w:rFonts w:hint="eastAsia" w:cs="宋体"/>
                <w:color w:val="auto"/>
                <w:spacing w:val="0"/>
                <w:sz w:val="24"/>
                <w:highlight w:val="none"/>
                <w:lang w:val="en-US" w:eastAsia="zh-CN"/>
              </w:rPr>
              <w:t>新建1</w:t>
            </w:r>
            <w:r>
              <w:rPr>
                <w:rFonts w:hint="eastAsia" w:ascii="宋体" w:hAnsi="宋体" w:eastAsia="宋体" w:cs="宋体"/>
                <w:color w:val="auto"/>
                <w:spacing w:val="0"/>
                <w:sz w:val="24"/>
                <w:highlight w:val="none"/>
              </w:rPr>
              <w:t>台</w:t>
            </w:r>
            <w:r>
              <w:rPr>
                <w:rFonts w:hint="eastAsia" w:cs="宋体"/>
                <w:color w:val="auto"/>
                <w:spacing w:val="0"/>
                <w:sz w:val="24"/>
                <w:highlight w:val="none"/>
                <w:lang w:val="en-US" w:eastAsia="zh-CN"/>
              </w:rPr>
              <w:t>6</w:t>
            </w:r>
            <w:r>
              <w:rPr>
                <w:rFonts w:hint="eastAsia" w:ascii="宋体" w:hAnsi="宋体" w:eastAsia="宋体" w:cs="宋体"/>
                <w:color w:val="auto"/>
                <w:spacing w:val="0"/>
                <w:sz w:val="24"/>
                <w:highlight w:val="none"/>
              </w:rPr>
              <w:t>t/h</w:t>
            </w:r>
            <w:r>
              <w:rPr>
                <w:rFonts w:hint="eastAsia" w:cs="宋体"/>
                <w:color w:val="auto"/>
                <w:spacing w:val="0"/>
                <w:sz w:val="24"/>
                <w:highlight w:val="none"/>
                <w:lang w:val="en-US" w:eastAsia="zh-CN"/>
              </w:rPr>
              <w:t>生物质</w:t>
            </w:r>
            <w:r>
              <w:rPr>
                <w:rFonts w:hint="eastAsia" w:ascii="宋体" w:hAnsi="宋体" w:eastAsia="宋体" w:cs="宋体"/>
                <w:color w:val="auto"/>
                <w:spacing w:val="0"/>
                <w:sz w:val="24"/>
                <w:highlight w:val="none"/>
              </w:rPr>
              <w:t>蒸汽锅炉，锅炉烟气经</w:t>
            </w:r>
            <w:r>
              <w:rPr>
                <w:rFonts w:hint="eastAsia" w:cs="宋体"/>
                <w:color w:val="auto"/>
                <w:spacing w:val="0"/>
                <w:sz w:val="24"/>
                <w:highlight w:val="none"/>
                <w:lang w:eastAsia="zh-CN"/>
              </w:rPr>
              <w:t>“</w:t>
            </w:r>
            <w:r>
              <w:rPr>
                <w:rFonts w:hint="eastAsia" w:cs="宋体"/>
                <w:color w:val="auto"/>
                <w:spacing w:val="0"/>
                <w:sz w:val="24"/>
                <w:highlight w:val="none"/>
                <w:lang w:val="en-US" w:eastAsia="zh-CN"/>
              </w:rPr>
              <w:t>低氮燃烧+</w:t>
            </w:r>
            <w:r>
              <w:rPr>
                <w:rFonts w:hint="eastAsia" w:cs="宋体"/>
                <w:color w:val="auto"/>
                <w:spacing w:val="0"/>
                <w:sz w:val="24"/>
                <w:highlight w:val="none"/>
                <w:lang w:eastAsia="zh-CN"/>
              </w:rPr>
              <w:t>旋风除尘器+布袋除尘器”</w:t>
            </w:r>
            <w:r>
              <w:rPr>
                <w:rFonts w:hint="eastAsia" w:ascii="宋体" w:hAnsi="宋体" w:eastAsia="宋体" w:cs="宋体"/>
                <w:color w:val="auto"/>
                <w:spacing w:val="0"/>
                <w:sz w:val="24"/>
                <w:highlight w:val="none"/>
              </w:rPr>
              <w:t>处理后通过</w:t>
            </w:r>
            <w:r>
              <w:rPr>
                <w:rFonts w:hint="eastAsia" w:cs="宋体"/>
                <w:color w:val="auto"/>
                <w:spacing w:val="0"/>
                <w:sz w:val="24"/>
                <w:highlight w:val="none"/>
                <w:lang w:val="en-US" w:eastAsia="zh-CN"/>
              </w:rPr>
              <w:t>35</w:t>
            </w:r>
            <w:r>
              <w:rPr>
                <w:rFonts w:hint="eastAsia" w:ascii="宋体" w:hAnsi="宋体" w:eastAsia="宋体" w:cs="宋体"/>
                <w:color w:val="auto"/>
                <w:spacing w:val="0"/>
                <w:sz w:val="24"/>
                <w:highlight w:val="none"/>
              </w:rPr>
              <w:t>m高烟囱（DA010）排放，燃料为生物质成型颗粒，不使用原煤。</w:t>
            </w:r>
            <w:r>
              <w:rPr>
                <w:rFonts w:hint="eastAsia" w:cs="宋体"/>
                <w:color w:val="auto"/>
                <w:spacing w:val="0"/>
                <w:sz w:val="24"/>
                <w:highlight w:val="none"/>
                <w:lang w:val="en-US" w:eastAsia="zh-CN"/>
              </w:rPr>
              <w:t>本项目建设的锅炉作为</w:t>
            </w:r>
            <w:r>
              <w:rPr>
                <w:rFonts w:hint="eastAsia" w:ascii="宋体" w:hAnsi="宋体" w:eastAsia="宋体" w:cs="宋体"/>
                <w:color w:val="auto"/>
                <w:sz w:val="24"/>
                <w:highlight w:val="none"/>
              </w:rPr>
              <w:t>沈阳焦煤鸡西盛隆有限责任公司煤矸石电厂</w:t>
            </w:r>
            <w:r>
              <w:rPr>
                <w:rFonts w:hint="eastAsia" w:cs="宋体"/>
                <w:color w:val="auto"/>
                <w:sz w:val="24"/>
                <w:highlight w:val="none"/>
                <w:lang w:val="en-US" w:eastAsia="zh-CN"/>
              </w:rPr>
              <w:t>在夏季停产阶段以及冬季供暖高峰阶段</w:t>
            </w:r>
            <w:r>
              <w:rPr>
                <w:rFonts w:hint="default"/>
                <w:color w:val="auto"/>
                <w:highlight w:val="none"/>
                <w:lang w:val="en-US" w:eastAsia="zh-CN"/>
              </w:rPr>
              <w:t>的过渡锅炉使用，待园区集中供热</w:t>
            </w:r>
            <w:r>
              <w:rPr>
                <w:rFonts w:hint="eastAsia"/>
                <w:color w:val="auto"/>
                <w:highlight w:val="none"/>
                <w:lang w:val="en-US" w:eastAsia="zh-CN"/>
              </w:rPr>
              <w:t>能力恢复正常后</w:t>
            </w:r>
            <w:r>
              <w:rPr>
                <w:rFonts w:hint="default"/>
                <w:color w:val="auto"/>
                <w:highlight w:val="none"/>
                <w:lang w:val="en-US" w:eastAsia="zh-CN"/>
              </w:rPr>
              <w:t>，我企业将使用园区集中供热进行生产</w:t>
            </w:r>
            <w:r>
              <w:rPr>
                <w:rFonts w:hint="eastAsia"/>
                <w:color w:val="auto"/>
                <w:highlight w:val="none"/>
                <w:lang w:val="en-US" w:eastAsia="zh-CN"/>
              </w:rPr>
              <w:t>和供热</w:t>
            </w:r>
            <w:r>
              <w:rPr>
                <w:rFonts w:hint="default"/>
                <w:color w:val="auto"/>
                <w:highlight w:val="none"/>
                <w:lang w:val="en-US" w:eastAsia="zh-CN"/>
              </w:rPr>
              <w:t>。</w:t>
            </w:r>
            <w:r>
              <w:rPr>
                <w:rFonts w:hint="eastAsia" w:ascii="宋体" w:hAnsi="宋体" w:eastAsia="宋体" w:cs="宋体"/>
                <w:color w:val="auto"/>
                <w:spacing w:val="0"/>
                <w:sz w:val="24"/>
                <w:highlight w:val="none"/>
              </w:rPr>
              <w:t>综上，本项目的建设符合《黑龙江省人民代表大会常务委员会关于修改〈黑龙江省大气污染防治条例〉的决定》（2018 年12月27日）的环境管理要求。</w:t>
            </w:r>
          </w:p>
          <w:p w14:paraId="24CBCA6F">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2.2与《黑龙江省大气污染防治行动计划实施细则》符合性分析</w:t>
            </w:r>
          </w:p>
          <w:p w14:paraId="7F0DEFB7">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val="0"/>
                <w:bCs/>
                <w:color w:val="auto"/>
                <w:spacing w:val="0"/>
                <w:sz w:val="24"/>
                <w:szCs w:val="24"/>
                <w:highlight w:val="none"/>
                <w:lang w:val="en-US" w:eastAsia="zh-CN"/>
              </w:rPr>
            </w:pPr>
            <w:r>
              <w:rPr>
                <w:rFonts w:hint="eastAsia" w:ascii="宋体" w:hAnsi="宋体" w:eastAsia="宋体" w:cs="宋体"/>
                <w:b w:val="0"/>
                <w:bCs/>
                <w:color w:val="auto"/>
                <w:spacing w:val="0"/>
                <w:sz w:val="24"/>
                <w:szCs w:val="24"/>
                <w:highlight w:val="none"/>
                <w:lang w:val="en-US" w:eastAsia="zh-CN"/>
              </w:rPr>
              <w:t>根据《黑龙江省大气污染防治行动计划实施细则》，加大集中供热工程建设，淘汰分散燃煤小锅炉。积极推进“三供两治”工程项目建设，加大城市及周边现有燃煤发电机组的供热改造力度，推进大型集中供热企业接收分散供热小锅炉，拔除小烟筒。积极推进城镇供热锅炉并网工作，加快完善热网和热源基础设施建设及供热老旧管网改造，提高集中供热管网输送能力，扩大集中供热面积，争取到2015年年底，全省县级以上城市集中供热普及率达到70%以上。到2017年年底，全省城市建成区集中供热普及率达到73%以上。从2014年起，禁止新建20蒸吨以下燃煤锅炉。到2015年年底，除必要保留外，全省地级以上城市建成区基本淘汰10蒸吨及以下燃煤锅炉。加快推进工业企业集中供热工作，到2017年年底，现有各类工业园区与工业集中区应基本完成热电联产或集中供热改造。供热供气管网覆盖不到的城乡结合部，要改用电、新能源、洁净煤或再生能源，推广应用高效节能环保型锅炉。且抛煤机和往复炉排等层燃锅炉要使用含硫量低于0.5%、灰分小于27%、全水分15%以下、低位发热量不低于4700千卡/公斤的洁净配煤，并综合考虑加大动力煤洗选力度、清洁能源替代等多种措施。冲天炉完成电炉改造，或实施每小时5吨以上热风炉和湿式除尘器改造，实现稳定达标排放。燃煤窑炉完成煤气发生炉、水煤浆燃烧器等技术改造或使用清洁能源，实现达标排放。</w:t>
            </w:r>
          </w:p>
          <w:p w14:paraId="1AAAEFCD">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宋体" w:hAnsi="宋体" w:eastAsia="宋体" w:cs="宋体"/>
                <w:b w:val="0"/>
                <w:bCs/>
                <w:color w:val="auto"/>
                <w:spacing w:val="0"/>
                <w:sz w:val="24"/>
                <w:szCs w:val="24"/>
                <w:highlight w:val="none"/>
                <w:lang w:val="en-US" w:eastAsia="zh-CN"/>
              </w:rPr>
            </w:pPr>
            <w:r>
              <w:rPr>
                <w:rFonts w:hint="default" w:ascii="宋体" w:hAnsi="宋体" w:eastAsia="宋体" w:cs="宋体"/>
                <w:b w:val="0"/>
                <w:bCs/>
                <w:color w:val="auto"/>
                <w:spacing w:val="0"/>
                <w:sz w:val="24"/>
                <w:szCs w:val="24"/>
                <w:highlight w:val="none"/>
                <w:lang w:val="en-US" w:eastAsia="zh-CN"/>
              </w:rPr>
              <w:t>本项目新建</w:t>
            </w:r>
            <w:r>
              <w:rPr>
                <w:rFonts w:hint="eastAsia" w:cs="宋体"/>
                <w:b w:val="0"/>
                <w:bCs/>
                <w:color w:val="auto"/>
                <w:spacing w:val="0"/>
                <w:sz w:val="24"/>
                <w:szCs w:val="24"/>
                <w:highlight w:val="none"/>
                <w:lang w:val="en-US" w:eastAsia="zh-CN"/>
              </w:rPr>
              <w:t>1</w:t>
            </w:r>
            <w:r>
              <w:rPr>
                <w:rFonts w:hint="default" w:ascii="宋体" w:hAnsi="宋体" w:eastAsia="宋体" w:cs="宋体"/>
                <w:b w:val="0"/>
                <w:bCs/>
                <w:color w:val="auto"/>
                <w:spacing w:val="0"/>
                <w:sz w:val="24"/>
                <w:szCs w:val="24"/>
                <w:highlight w:val="none"/>
                <w:lang w:val="en-US" w:eastAsia="zh-CN"/>
              </w:rPr>
              <w:t>台</w:t>
            </w:r>
            <w:r>
              <w:rPr>
                <w:rFonts w:hint="eastAsia" w:cs="宋体"/>
                <w:b w:val="0"/>
                <w:bCs/>
                <w:color w:val="auto"/>
                <w:spacing w:val="0"/>
                <w:sz w:val="24"/>
                <w:szCs w:val="24"/>
                <w:highlight w:val="none"/>
                <w:lang w:val="en-US" w:eastAsia="zh-CN"/>
              </w:rPr>
              <w:t>6</w:t>
            </w:r>
            <w:r>
              <w:rPr>
                <w:rFonts w:hint="default" w:ascii="宋体" w:hAnsi="宋体" w:eastAsia="宋体" w:cs="宋体"/>
                <w:b w:val="0"/>
                <w:bCs/>
                <w:color w:val="auto"/>
                <w:spacing w:val="0"/>
                <w:sz w:val="24"/>
                <w:szCs w:val="24"/>
                <w:highlight w:val="none"/>
                <w:lang w:val="en-US" w:eastAsia="zh-CN"/>
              </w:rPr>
              <w:t>t/h的燃生物质蒸汽锅炉为生产提供热源，锅炉烟气经过</w:t>
            </w:r>
            <w:r>
              <w:rPr>
                <w:rFonts w:hint="eastAsia" w:cs="宋体"/>
                <w:b w:val="0"/>
                <w:bCs/>
                <w:color w:val="auto"/>
                <w:spacing w:val="0"/>
                <w:sz w:val="24"/>
                <w:szCs w:val="24"/>
                <w:highlight w:val="none"/>
                <w:lang w:val="en-US" w:eastAsia="zh-CN"/>
              </w:rPr>
              <w:t>“低氮燃烧+旋风除尘器+布袋除尘器”</w:t>
            </w:r>
            <w:r>
              <w:rPr>
                <w:rFonts w:hint="default" w:ascii="宋体" w:hAnsi="宋体" w:eastAsia="宋体" w:cs="宋体"/>
                <w:b w:val="0"/>
                <w:bCs/>
                <w:color w:val="auto"/>
                <w:spacing w:val="0"/>
                <w:sz w:val="24"/>
                <w:szCs w:val="24"/>
                <w:highlight w:val="none"/>
                <w:lang w:val="en-US" w:eastAsia="zh-CN"/>
              </w:rPr>
              <w:t>处理后通过</w:t>
            </w:r>
            <w:r>
              <w:rPr>
                <w:rFonts w:hint="eastAsia" w:cs="宋体"/>
                <w:b w:val="0"/>
                <w:bCs/>
                <w:color w:val="auto"/>
                <w:spacing w:val="0"/>
                <w:sz w:val="24"/>
                <w:szCs w:val="24"/>
                <w:highlight w:val="none"/>
                <w:lang w:val="en-US" w:eastAsia="zh-CN"/>
              </w:rPr>
              <w:t>35</w:t>
            </w:r>
            <w:r>
              <w:rPr>
                <w:rFonts w:hint="default" w:ascii="宋体" w:hAnsi="宋体" w:eastAsia="宋体" w:cs="宋体"/>
                <w:b w:val="0"/>
                <w:bCs/>
                <w:color w:val="auto"/>
                <w:spacing w:val="0"/>
                <w:sz w:val="24"/>
                <w:szCs w:val="24"/>
                <w:highlight w:val="none"/>
                <w:lang w:val="en-US" w:eastAsia="zh-CN"/>
              </w:rPr>
              <w:t>m高烟囱（DA0</w:t>
            </w:r>
            <w:r>
              <w:rPr>
                <w:rFonts w:hint="eastAsia" w:cs="宋体"/>
                <w:b w:val="0"/>
                <w:bCs/>
                <w:color w:val="auto"/>
                <w:spacing w:val="0"/>
                <w:sz w:val="24"/>
                <w:szCs w:val="24"/>
                <w:highlight w:val="none"/>
                <w:lang w:val="en-US" w:eastAsia="zh-CN"/>
              </w:rPr>
              <w:t>10</w:t>
            </w:r>
            <w:r>
              <w:rPr>
                <w:rFonts w:hint="default" w:ascii="宋体" w:hAnsi="宋体" w:eastAsia="宋体" w:cs="宋体"/>
                <w:b w:val="0"/>
                <w:bCs/>
                <w:color w:val="auto"/>
                <w:spacing w:val="0"/>
                <w:sz w:val="24"/>
                <w:szCs w:val="24"/>
                <w:highlight w:val="none"/>
                <w:lang w:val="en-US" w:eastAsia="zh-CN"/>
              </w:rPr>
              <w:t>）排放，燃料为生物质成型颗粒，不使用原煤。综上，本项目的建设符合《黑龙江省大气污染防治行动计划实施细则》要求。</w:t>
            </w:r>
          </w:p>
          <w:p w14:paraId="27E5CB82">
            <w:pPr>
              <w:pStyle w:val="20"/>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宋体" w:hAnsi="宋体" w:eastAsia="宋体" w:cs="宋体"/>
                <w:b/>
                <w:bCs w:val="0"/>
                <w:i w:val="0"/>
                <w:iCs w:val="0"/>
                <w:color w:val="auto"/>
                <w:spacing w:val="0"/>
                <w:sz w:val="24"/>
                <w:szCs w:val="24"/>
                <w:highlight w:val="none"/>
                <w:shd w:val="clear"/>
                <w:lang w:val="en-US" w:eastAsia="zh-CN"/>
              </w:rPr>
            </w:pPr>
            <w:r>
              <w:rPr>
                <w:rFonts w:hint="eastAsia" w:ascii="宋体" w:hAnsi="宋体" w:eastAsia="宋体" w:cs="宋体"/>
                <w:b/>
                <w:bCs w:val="0"/>
                <w:i w:val="0"/>
                <w:iCs w:val="0"/>
                <w:color w:val="auto"/>
                <w:spacing w:val="0"/>
                <w:sz w:val="24"/>
                <w:szCs w:val="24"/>
                <w:highlight w:val="none"/>
                <w:shd w:val="clear"/>
                <w:lang w:val="en-US" w:eastAsia="zh-CN"/>
              </w:rPr>
              <w:t>2.</w:t>
            </w:r>
            <w:r>
              <w:rPr>
                <w:rFonts w:hint="eastAsia" w:cs="宋体"/>
                <w:b/>
                <w:bCs w:val="0"/>
                <w:i w:val="0"/>
                <w:iCs w:val="0"/>
                <w:color w:val="auto"/>
                <w:spacing w:val="0"/>
                <w:sz w:val="24"/>
                <w:szCs w:val="24"/>
                <w:highlight w:val="none"/>
                <w:shd w:val="clear"/>
                <w:lang w:val="en-US" w:eastAsia="zh-CN"/>
              </w:rPr>
              <w:t>3</w:t>
            </w:r>
            <w:r>
              <w:rPr>
                <w:rFonts w:hint="eastAsia" w:ascii="宋体" w:hAnsi="宋体" w:eastAsia="宋体" w:cs="宋体"/>
                <w:b/>
                <w:bCs w:val="0"/>
                <w:i w:val="0"/>
                <w:iCs w:val="0"/>
                <w:color w:val="auto"/>
                <w:spacing w:val="0"/>
                <w:sz w:val="24"/>
                <w:szCs w:val="24"/>
                <w:highlight w:val="none"/>
                <w:shd w:val="clear"/>
                <w:lang w:val="en-US" w:eastAsia="zh-CN"/>
              </w:rPr>
              <w:t>与《黑龙江省“十四五”生态环境保护规划》符合性分析</w:t>
            </w:r>
          </w:p>
          <w:p w14:paraId="30F1B3A6">
            <w:pPr>
              <w:rPr>
                <w:rFonts w:hint="eastAsia"/>
                <w:i w:val="0"/>
                <w:iCs w:val="0"/>
                <w:color w:val="auto"/>
                <w:highlight w:val="none"/>
              </w:rPr>
            </w:pPr>
            <w:r>
              <w:rPr>
                <w:rFonts w:hint="eastAsia"/>
                <w:i w:val="0"/>
                <w:iCs w:val="0"/>
                <w:color w:val="auto"/>
                <w:highlight w:val="none"/>
              </w:rPr>
              <w:t>优化能源供给结构。建设清洁低碳、安全高效的能源体系。严格控制煤炭消费总量增速，实施煤炭消费减量替代，推动煤炭等化石能源清洁高效利用。实施能耗总量和强度双控，大幅降低能耗强度。实施可再生能源替代行动，促进非化石能源成为能源消费增量的主体。优化电力生产和输送通道布局，提高能源输配效率。优化风电、光伏发电布局。优先发展新能源产业，推进核能供暖示范，探索可再生能源制氢，开展绿色氢能利用。</w:t>
            </w:r>
          </w:p>
          <w:p w14:paraId="2D9DAD86">
            <w:pPr>
              <w:rPr>
                <w:rFonts w:hint="eastAsia"/>
                <w:i w:val="0"/>
                <w:iCs w:val="0"/>
                <w:color w:val="auto"/>
                <w:highlight w:val="none"/>
              </w:rPr>
            </w:pPr>
            <w:r>
              <w:rPr>
                <w:rFonts w:hint="eastAsia"/>
                <w:i w:val="0"/>
                <w:iCs w:val="0"/>
                <w:color w:val="auto"/>
                <w:highlight w:val="none"/>
              </w:rPr>
              <w:t>实施终端用能清洁化替代。重点削减小型燃煤锅炉、民用散煤与农业用煤消费量，降低煤炭在终端分散利用比例，对以煤、石焦油、渣油、重油等为燃料的锅炉和工业炉窑，加快使用清洁低碳能源以及工厂余热、电力热力等进行替代。深入实施“气化龙江”战略，率先在哈尔滨市、齐齐哈尔市、大庆市、黑河市等城市以及工业园区推广应用分布式天然气供暖，重点将哈尔滨新区打造成天然气应用示范区。加快推进齐齐哈尔市、大庆市可再生能源综合应用示范区建设和四煤城新能源项目建设。到2025年，全省清洁取暖率提高到75%以上。</w:t>
            </w:r>
          </w:p>
          <w:p w14:paraId="01BBECAF">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eastAsia" w:ascii="宋体" w:hAnsi="宋体" w:eastAsia="宋体" w:cs="Times New Roman"/>
                <w:bCs w:val="0"/>
                <w:color w:val="auto"/>
                <w:kern w:val="0"/>
                <w:sz w:val="24"/>
                <w:szCs w:val="24"/>
                <w:highlight w:val="none"/>
                <w:lang w:val="en-US" w:eastAsia="zh-CN" w:bidi="ar-SA"/>
              </w:rPr>
            </w:pPr>
            <w:r>
              <w:rPr>
                <w:rFonts w:hint="eastAsia" w:ascii="宋体" w:hAnsi="宋体" w:eastAsia="宋体" w:cs="宋体"/>
                <w:i w:val="0"/>
                <w:iCs w:val="0"/>
                <w:color w:val="auto"/>
                <w:spacing w:val="0"/>
                <w:sz w:val="24"/>
                <w:highlight w:val="none"/>
              </w:rPr>
              <w:t>本项目</w:t>
            </w:r>
            <w:r>
              <w:rPr>
                <w:rFonts w:hint="eastAsia" w:ascii="宋体" w:hAnsi="宋体" w:eastAsia="宋体" w:cs="宋体"/>
                <w:i w:val="0"/>
                <w:iCs w:val="0"/>
                <w:color w:val="auto"/>
                <w:spacing w:val="0"/>
                <w:sz w:val="24"/>
                <w:highlight w:val="none"/>
                <w:lang w:val="en-US" w:eastAsia="zh-CN"/>
              </w:rPr>
              <w:t>建设</w:t>
            </w:r>
            <w:r>
              <w:rPr>
                <w:rFonts w:hint="eastAsia" w:cs="宋体"/>
                <w:i w:val="0"/>
                <w:iCs w:val="0"/>
                <w:color w:val="auto"/>
                <w:spacing w:val="0"/>
                <w:sz w:val="24"/>
                <w:highlight w:val="none"/>
                <w:lang w:val="en-US" w:eastAsia="zh-CN"/>
              </w:rPr>
              <w:t>6t/h</w:t>
            </w:r>
            <w:r>
              <w:rPr>
                <w:rFonts w:hint="eastAsia" w:cs="宋体"/>
                <w:i w:val="0"/>
                <w:iCs w:val="0"/>
                <w:color w:val="auto"/>
                <w:spacing w:val="0"/>
                <w:sz w:val="24"/>
                <w:highlight w:val="none"/>
                <w:lang w:eastAsia="zh-CN"/>
              </w:rPr>
              <w:t>生物质锅炉</w:t>
            </w:r>
            <w:r>
              <w:rPr>
                <w:rFonts w:hint="eastAsia" w:ascii="宋体" w:hAnsi="宋体" w:eastAsia="宋体" w:cs="宋体"/>
                <w:i w:val="0"/>
                <w:iCs w:val="0"/>
                <w:color w:val="auto"/>
                <w:spacing w:val="0"/>
                <w:sz w:val="24"/>
                <w:highlight w:val="none"/>
              </w:rPr>
              <w:t>，锅炉使用</w:t>
            </w:r>
            <w:r>
              <w:rPr>
                <w:rFonts w:hint="eastAsia" w:cs="宋体"/>
                <w:i w:val="0"/>
                <w:iCs w:val="0"/>
                <w:color w:val="auto"/>
                <w:spacing w:val="0"/>
                <w:sz w:val="24"/>
                <w:highlight w:val="none"/>
                <w:lang w:val="en-US" w:eastAsia="zh-CN"/>
              </w:rPr>
              <w:t>成型生物颗粒作为</w:t>
            </w:r>
            <w:r>
              <w:rPr>
                <w:rFonts w:hint="eastAsia" w:ascii="宋体" w:hAnsi="宋体" w:eastAsia="宋体" w:cs="宋体"/>
                <w:i w:val="0"/>
                <w:iCs w:val="0"/>
                <w:color w:val="auto"/>
                <w:spacing w:val="0"/>
                <w:sz w:val="24"/>
                <w:highlight w:val="none"/>
              </w:rPr>
              <w:t>燃料，</w:t>
            </w:r>
            <w:r>
              <w:rPr>
                <w:rFonts w:hint="eastAsia" w:ascii="宋体" w:hAnsi="宋体" w:eastAsia="宋体" w:cs="宋体"/>
                <w:i w:val="0"/>
                <w:iCs w:val="0"/>
                <w:color w:val="auto"/>
                <w:spacing w:val="0"/>
                <w:sz w:val="24"/>
                <w:highlight w:val="none"/>
                <w:lang w:val="en-US" w:eastAsia="zh-CN"/>
              </w:rPr>
              <w:t>属于清洁能源。</w:t>
            </w:r>
            <w:r>
              <w:rPr>
                <w:rFonts w:hint="eastAsia" w:ascii="宋体" w:hAnsi="宋体" w:eastAsia="宋体" w:cs="宋体"/>
                <w:i w:val="0"/>
                <w:iCs w:val="0"/>
                <w:color w:val="auto"/>
                <w:spacing w:val="0"/>
                <w:sz w:val="24"/>
                <w:highlight w:val="none"/>
              </w:rPr>
              <w:t>烟气排放能够</w:t>
            </w:r>
            <w:r>
              <w:rPr>
                <w:rFonts w:hint="eastAsia" w:ascii="宋体" w:hAnsi="宋体" w:eastAsia="宋体" w:cs="宋体"/>
                <w:i w:val="0"/>
                <w:iCs w:val="0"/>
                <w:color w:val="auto"/>
                <w:spacing w:val="0"/>
                <w:sz w:val="24"/>
                <w:highlight w:val="none"/>
                <w:lang w:val="en-US" w:eastAsia="zh-CN"/>
              </w:rPr>
              <w:t>满足《锅炉大气污染物排放标准》（GB13271-2014）表2排放限值</w:t>
            </w:r>
            <w:r>
              <w:rPr>
                <w:rFonts w:hint="eastAsia" w:ascii="宋体" w:hAnsi="宋体" w:eastAsia="宋体" w:cs="宋体"/>
                <w:i w:val="0"/>
                <w:iCs w:val="0"/>
                <w:color w:val="auto"/>
                <w:spacing w:val="0"/>
                <w:sz w:val="24"/>
                <w:highlight w:val="none"/>
              </w:rPr>
              <w:t>，符合</w:t>
            </w:r>
            <w:r>
              <w:rPr>
                <w:rFonts w:hint="eastAsia" w:ascii="宋体" w:hAnsi="宋体" w:eastAsia="宋体" w:cs="宋体"/>
                <w:i w:val="0"/>
                <w:iCs w:val="0"/>
                <w:color w:val="auto"/>
                <w:spacing w:val="0"/>
                <w:sz w:val="24"/>
                <w:highlight w:val="none"/>
                <w:lang w:val="en-US" w:eastAsia="zh-CN"/>
              </w:rPr>
              <w:t>《黑龙江省“十四五”生态环境保护规划》</w:t>
            </w:r>
            <w:r>
              <w:rPr>
                <w:rFonts w:hint="eastAsia" w:ascii="宋体" w:hAnsi="宋体" w:eastAsia="宋体" w:cs="宋体"/>
                <w:i w:val="0"/>
                <w:iCs w:val="0"/>
                <w:color w:val="auto"/>
                <w:spacing w:val="0"/>
                <w:sz w:val="24"/>
                <w:highlight w:val="none"/>
              </w:rPr>
              <w:t>的要求。</w:t>
            </w:r>
          </w:p>
          <w:p w14:paraId="5C5CEB51">
            <w:pPr>
              <w:rPr>
                <w:rFonts w:hint="default"/>
                <w:i w:val="0"/>
                <w:iCs w:val="0"/>
                <w:color w:val="auto"/>
                <w:highlight w:val="none"/>
                <w:lang w:val="en-US" w:eastAsia="zh-CN"/>
              </w:rPr>
            </w:pPr>
            <w:r>
              <w:rPr>
                <w:rFonts w:hint="eastAsia"/>
                <w:b/>
                <w:bCs w:val="0"/>
                <w:i w:val="0"/>
                <w:iCs w:val="0"/>
                <w:color w:val="auto"/>
                <w:highlight w:val="none"/>
                <w:lang w:val="en-US" w:eastAsia="zh-CN"/>
              </w:rPr>
              <w:t>2.4与《</w:t>
            </w:r>
            <w:r>
              <w:rPr>
                <w:rFonts w:hint="eastAsia"/>
                <w:b/>
                <w:bCs w:val="0"/>
                <w:color w:val="auto"/>
                <w:sz w:val="24"/>
                <w:highlight w:val="none"/>
                <w:lang w:val="en-US" w:eastAsia="zh-CN"/>
              </w:rPr>
              <w:t>黑龙江省空气质量持续改善行动计划实施方案</w:t>
            </w:r>
            <w:r>
              <w:rPr>
                <w:rFonts w:hint="eastAsia"/>
                <w:b/>
                <w:bCs w:val="0"/>
                <w:i w:val="0"/>
                <w:iCs w:val="0"/>
                <w:color w:val="auto"/>
                <w:highlight w:val="none"/>
                <w:lang w:val="en-US" w:eastAsia="zh-CN"/>
              </w:rPr>
              <w:t>》符合性分析</w:t>
            </w:r>
          </w:p>
          <w:p w14:paraId="7D593EC7">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default"/>
                <w:color w:val="auto"/>
                <w:highlight w:val="none"/>
                <w:lang w:val="en-US" w:eastAsia="zh-CN"/>
              </w:rPr>
            </w:pPr>
            <w:r>
              <w:rPr>
                <w:rFonts w:hint="default"/>
                <w:color w:val="auto"/>
                <w:highlight w:val="none"/>
                <w:lang w:val="en-US" w:eastAsia="zh-CN"/>
              </w:rPr>
              <w:t>积极推进燃煤锅炉淘汰改造。各地要将燃煤供热锅炉替代项目纳入城镇供热规划。县级及以上城市建成区原则上不再新建35蒸吨/小时及以下燃煤锅炉，其他地区原则上不再新建10蒸吨/小时及以下燃煤锅炉。加快热力管网建设，依托电厂、大型工业企业开展远距离供热示范，充分释放热电联产、工业余热等供热能力，淘汰管网覆盖范围内的供热燃煤锅炉和散煤。到2025年，哈尔滨市、佳木斯市、七台河市、绥化市基本完成城市建成区35蒸吨/小时及以下燃煤锅炉淘汰；哈尔滨市、绥化市基本淘汰行政区域内10蒸吨/小时及以下的燃煤锅炉。（省发展改革委、省生态环境厅、省住房城乡建设厅、省市场监管局等按职责分工负责）</w:t>
            </w:r>
          </w:p>
          <w:p w14:paraId="080A2B12">
            <w:pPr>
              <w:rPr>
                <w:rFonts w:hint="default" w:eastAsia="宋体"/>
                <w:i w:val="0"/>
                <w:iCs w:val="0"/>
                <w:color w:val="auto"/>
                <w:highlight w:val="none"/>
                <w:lang w:val="en-US" w:eastAsia="zh-CN"/>
              </w:rPr>
            </w:pPr>
            <w:r>
              <w:rPr>
                <w:rFonts w:hint="eastAsia"/>
                <w:i w:val="0"/>
                <w:iCs w:val="0"/>
                <w:color w:val="auto"/>
                <w:highlight w:val="none"/>
                <w:lang w:val="en-US" w:eastAsia="zh-CN"/>
              </w:rPr>
              <w:t>本项目建设一台6t/h生物质锅炉用于生产、供热，燃料为成型生物质颗粒。不属于35</w:t>
            </w:r>
            <w:r>
              <w:rPr>
                <w:rFonts w:hint="default"/>
                <w:color w:val="auto"/>
                <w:highlight w:val="none"/>
                <w:lang w:val="en-US" w:eastAsia="zh-CN"/>
              </w:rPr>
              <w:t>蒸吨/小时及以下燃煤锅炉</w:t>
            </w:r>
            <w:r>
              <w:rPr>
                <w:rFonts w:hint="eastAsia"/>
                <w:color w:val="auto"/>
                <w:highlight w:val="none"/>
                <w:lang w:val="en-US" w:eastAsia="zh-CN"/>
              </w:rPr>
              <w:t>。</w:t>
            </w:r>
            <w:r>
              <w:rPr>
                <w:rFonts w:hint="eastAsia" w:cs="宋体"/>
                <w:color w:val="auto"/>
                <w:spacing w:val="0"/>
                <w:sz w:val="24"/>
                <w:highlight w:val="none"/>
                <w:lang w:val="en-US" w:eastAsia="zh-CN"/>
              </w:rPr>
              <w:t>本项目建设的锅炉作为沈阳焦煤鸡西盛隆有限责任公司煤矸石电厂在夏季停产阶段以及冬季供暖高峰阶段的过渡锅炉使用，待园区集中供热能力恢复正常后，我企业将使用园区集中供热进行生产和供热。</w:t>
            </w:r>
            <w:r>
              <w:rPr>
                <w:rFonts w:hint="eastAsia"/>
                <w:color w:val="auto"/>
                <w:highlight w:val="none"/>
                <w:lang w:val="en-US" w:eastAsia="zh-CN"/>
              </w:rPr>
              <w:t>符合《黑龙江省空气质量持续改善行动计划实施方案》要求。</w:t>
            </w:r>
          </w:p>
          <w:p w14:paraId="212FE28B">
            <w:pPr>
              <w:rPr>
                <w:rFonts w:hint="default" w:eastAsia="宋体"/>
                <w:b/>
                <w:bCs w:val="0"/>
                <w:i w:val="0"/>
                <w:iCs w:val="0"/>
                <w:color w:val="auto"/>
                <w:highlight w:val="none"/>
                <w:lang w:val="en-US" w:eastAsia="zh-CN"/>
              </w:rPr>
            </w:pPr>
            <w:r>
              <w:rPr>
                <w:rFonts w:hint="eastAsia"/>
                <w:b/>
                <w:bCs w:val="0"/>
                <w:i w:val="0"/>
                <w:iCs w:val="0"/>
                <w:color w:val="auto"/>
                <w:highlight w:val="none"/>
                <w:lang w:val="en-US" w:eastAsia="zh-CN"/>
              </w:rPr>
              <w:t>2.5与《鸡西市空气质量持续改善行动计划贯彻落实方案》符合性分析</w:t>
            </w:r>
          </w:p>
          <w:p w14:paraId="332690F1">
            <w:pPr>
              <w:rPr>
                <w:rFonts w:hint="eastAsia"/>
                <w:i w:val="0"/>
                <w:iCs w:val="0"/>
                <w:color w:val="auto"/>
                <w:highlight w:val="none"/>
              </w:rPr>
            </w:pPr>
            <w:r>
              <w:rPr>
                <w:rFonts w:hint="eastAsia"/>
                <w:i w:val="0"/>
                <w:iCs w:val="0"/>
                <w:color w:val="auto"/>
                <w:highlight w:val="none"/>
              </w:rPr>
              <w:t>持续开展燃煤锅炉淘汰改造。有序推进小型电站锅炉和服役时间超过15年的老旧低效工业锅炉淘汰工作。将燃煤供热锅炉替代项目纳入城镇供热规划。县级及以上城市建成区原则上不再新建35蒸吨/小时及以下燃煤锅炉，其他地区原则上不再新建10蒸吨/小时及以下燃煤锅炉和2蒸吨/小时及以下生物质锅炉。加快热力管网建设，推广中长距离供热，加快替代供热管网覆盖范围内的小型燃煤锅炉，充分释放热电联产、工业余热等供热能力。到2025年，全市淘汰管网覆盖范围内的供热燃煤锅炉；细颗粒物（PM</w:t>
            </w:r>
            <w:r>
              <w:rPr>
                <w:rFonts w:hint="eastAsia"/>
                <w:i w:val="0"/>
                <w:iCs w:val="0"/>
                <w:color w:val="auto"/>
                <w:highlight w:val="none"/>
                <w:vertAlign w:val="subscript"/>
              </w:rPr>
              <w:t>2.5</w:t>
            </w:r>
            <w:r>
              <w:rPr>
                <w:rFonts w:hint="eastAsia"/>
                <w:i w:val="0"/>
                <w:iCs w:val="0"/>
                <w:color w:val="auto"/>
                <w:highlight w:val="none"/>
              </w:rPr>
              <w:t>）未达标县（市）区基本淘汰10蒸吨/小时及以下的燃煤锅炉。（由市发改委、市生态环境局、市住建局、市市场监管局等按职责分工负责）</w:t>
            </w:r>
          </w:p>
          <w:p w14:paraId="447373FA">
            <w:pPr>
              <w:rPr>
                <w:rFonts w:hint="default" w:eastAsia="宋体"/>
                <w:i w:val="0"/>
                <w:iCs w:val="0"/>
                <w:color w:val="auto"/>
                <w:highlight w:val="none"/>
                <w:lang w:val="en-US" w:eastAsia="zh-CN"/>
              </w:rPr>
            </w:pPr>
            <w:r>
              <w:rPr>
                <w:rFonts w:hint="eastAsia"/>
                <w:i w:val="0"/>
                <w:iCs w:val="0"/>
                <w:color w:val="auto"/>
                <w:highlight w:val="none"/>
                <w:lang w:val="en-US" w:eastAsia="zh-CN"/>
              </w:rPr>
              <w:t>本项目建设一台6t/h生物质锅炉用于生产用热，不属于</w:t>
            </w:r>
            <w:r>
              <w:rPr>
                <w:rFonts w:hint="eastAsia"/>
                <w:i w:val="0"/>
                <w:iCs w:val="0"/>
                <w:color w:val="auto"/>
                <w:highlight w:val="none"/>
              </w:rPr>
              <w:t>10蒸吨/小时及以下燃煤锅炉和2蒸吨/小时及以下生物质锅炉</w:t>
            </w:r>
            <w:r>
              <w:rPr>
                <w:rFonts w:hint="eastAsia"/>
                <w:i w:val="0"/>
                <w:iCs w:val="0"/>
                <w:color w:val="auto"/>
                <w:highlight w:val="none"/>
                <w:lang w:eastAsia="zh-CN"/>
              </w:rPr>
              <w:t>。</w:t>
            </w:r>
            <w:r>
              <w:rPr>
                <w:rFonts w:hint="eastAsia" w:cs="宋体"/>
                <w:color w:val="auto"/>
                <w:spacing w:val="0"/>
                <w:sz w:val="24"/>
                <w:highlight w:val="none"/>
                <w:lang w:val="en-US" w:eastAsia="zh-CN"/>
              </w:rPr>
              <w:t>本项目建设的锅炉作为沈阳焦煤鸡西盛隆有限责任公司煤矸石电厂在夏季停产阶段以及冬季供暖高峰阶段的过渡锅炉使用，待园区集中供热能力恢复正常后，我企业将使用园区集中供热进行生产和供热。</w:t>
            </w:r>
            <w:r>
              <w:rPr>
                <w:rFonts w:hint="eastAsia"/>
                <w:color w:val="auto"/>
                <w:highlight w:val="none"/>
                <w:lang w:val="en-US" w:eastAsia="zh-CN"/>
              </w:rPr>
              <w:t>符合《鸡西市空气质量持续改善行动计划贯彻落实方案》要求。</w:t>
            </w:r>
          </w:p>
          <w:p w14:paraId="5A0B449B">
            <w:pPr>
              <w:rPr>
                <w:rFonts w:hint="default"/>
                <w:i w:val="0"/>
                <w:iCs w:val="0"/>
                <w:color w:val="auto"/>
                <w:highlight w:val="none"/>
                <w:lang w:val="en-US"/>
              </w:rPr>
            </w:pPr>
            <w:r>
              <w:rPr>
                <w:rFonts w:hint="eastAsia"/>
                <w:b/>
                <w:bCs/>
                <w:color w:val="auto"/>
                <w:sz w:val="24"/>
                <w:highlight w:val="none"/>
                <w:lang w:val="en-US" w:eastAsia="zh-CN"/>
              </w:rPr>
              <w:t>2.6与《黑龙江省固体废物污染环境防治条例》的符合性分析</w:t>
            </w:r>
          </w:p>
          <w:p w14:paraId="4B0EC1DA">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eastAsia"/>
                <w:i w:val="0"/>
                <w:iCs w:val="0"/>
                <w:color w:val="auto"/>
                <w:highlight w:val="none"/>
              </w:rPr>
            </w:pPr>
            <w:r>
              <w:rPr>
                <w:rFonts w:hint="eastAsia"/>
                <w:i w:val="0"/>
                <w:iCs w:val="0"/>
                <w:color w:val="auto"/>
                <w:highlight w:val="none"/>
              </w:rPr>
              <w:t>第十条 建设产生、贮存、利用、处置固体废物的项目，应当符合生态环境分区管控要求，依法进行环境影响评价，并遵守国家有关建设项目环境保护管理的规定。</w:t>
            </w:r>
          </w:p>
          <w:p w14:paraId="7741B8AE">
            <w:pPr>
              <w:rPr>
                <w:rFonts w:hint="eastAsia"/>
                <w:color w:val="auto"/>
                <w:highlight w:val="none"/>
              </w:rPr>
            </w:pPr>
            <w:r>
              <w:rPr>
                <w:rFonts w:hint="eastAsia"/>
                <w:color w:val="auto"/>
                <w:highlight w:val="none"/>
              </w:rPr>
              <w:t>第十八条产生工业固体废物的单位应当依法实施清洁生产审核，通过采取工艺设备改造、清洁能源使用、原料替代等措施，从源头减少工业固体废物产生；加强原材料深度加工以及循环使用、伴生产品加工利用、副产物综合利用。</w:t>
            </w:r>
          </w:p>
          <w:p w14:paraId="2CF4BA3F">
            <w:pPr>
              <w:rPr>
                <w:rFonts w:hint="eastAsia"/>
                <w:color w:val="auto"/>
                <w:highlight w:val="none"/>
              </w:rPr>
            </w:pPr>
            <w:r>
              <w:rPr>
                <w:rFonts w:hint="eastAsia"/>
                <w:color w:val="auto"/>
                <w:highlight w:val="none"/>
              </w:rPr>
              <w:t>产生工业固体废物的单位应当取得排污许可证；向所在地生态环境主管部门提供工业固体废物的种类、数量、流向、贮存、利用、处置等有关资料，以及减少工业固体废物产生、促进综合利用的具体措施，并执行排污许可管理制度的相关规定。</w:t>
            </w:r>
          </w:p>
          <w:p w14:paraId="068A8BC9">
            <w:pPr>
              <w:rPr>
                <w:rFonts w:hint="eastAsia"/>
                <w:i w:val="0"/>
                <w:iCs w:val="0"/>
                <w:color w:val="auto"/>
                <w:highlight w:val="none"/>
              </w:rPr>
            </w:pPr>
            <w:r>
              <w:rPr>
                <w:rFonts w:hint="eastAsia"/>
                <w:i w:val="0"/>
                <w:iCs w:val="0"/>
                <w:color w:val="auto"/>
                <w:highlight w:val="none"/>
              </w:rPr>
              <w:t>第二十六条 产生危险废物的单位，应当按照国家有关规定制定危险废物管理计划，通过国家固体废物管理信息系统向所在地生态环境主管部门备案。危险废物管理计划调整的，产生危险废物的单位应当及时备案。</w:t>
            </w:r>
          </w:p>
          <w:p w14:paraId="03FA3323">
            <w:pPr>
              <w:rPr>
                <w:rFonts w:hint="default" w:eastAsia="宋体"/>
                <w:i w:val="0"/>
                <w:iCs w:val="0"/>
                <w:color w:val="auto"/>
                <w:highlight w:val="none"/>
                <w:lang w:val="en-US" w:eastAsia="zh-CN"/>
              </w:rPr>
            </w:pPr>
            <w:r>
              <w:rPr>
                <w:rFonts w:hint="eastAsia"/>
                <w:i w:val="0"/>
                <w:iCs w:val="0"/>
                <w:color w:val="auto"/>
                <w:highlight w:val="none"/>
                <w:lang w:val="en-US" w:eastAsia="zh-CN"/>
              </w:rPr>
              <w:t>本项目的建设产生的主要固体废物为</w:t>
            </w:r>
            <w:r>
              <w:rPr>
                <w:rFonts w:hint="eastAsia" w:cs="宋体"/>
                <w:color w:val="auto"/>
                <w:spacing w:val="0"/>
                <w:sz w:val="24"/>
                <w:szCs w:val="24"/>
                <w:highlight w:val="none"/>
                <w:lang w:val="en-US" w:eastAsia="zh-CN"/>
              </w:rPr>
              <w:t>废离子交换树脂、锅炉灰渣、除尘器集尘、废布袋和废机油、废机油桶、含油棉纱，废离子交换树脂交厂家回收，废布袋收集后交厂家回收再生处理。锅炉灰渣外售综合利用。废机油、废机油桶、含油棉纱交有资质单位处置。本项目建成后根据全厂内容进行排污许可填报，制定危险废物管理计划，向生态环境主管部门备案。因此本项目建设符合《黑龙江省固体废物污染环境防治条例》要求。</w:t>
            </w:r>
          </w:p>
          <w:p w14:paraId="333C9E73">
            <w:pPr>
              <w:pStyle w:val="36"/>
              <w:keepNext w:val="0"/>
              <w:keepLines w:val="0"/>
              <w:pageBreakBefore w:val="0"/>
              <w:widowControl w:val="0"/>
              <w:kinsoku/>
              <w:wordWrap/>
              <w:overflowPunct/>
              <w:topLinePunct w:val="0"/>
              <w:autoSpaceDE/>
              <w:autoSpaceDN/>
              <w:bidi w:val="0"/>
              <w:adjustRightInd w:val="0"/>
              <w:snapToGrid w:val="0"/>
              <w:spacing w:after="0" w:line="360" w:lineRule="auto"/>
              <w:ind w:firstLine="482" w:firstLineChars="200"/>
              <w:textAlignment w:val="auto"/>
              <w:rPr>
                <w:rFonts w:ascii="Times New Roman" w:hAnsi="Times New Roman"/>
                <w:b/>
                <w:color w:val="auto"/>
                <w:sz w:val="24"/>
                <w:highlight w:val="none"/>
              </w:rPr>
            </w:pPr>
            <w:r>
              <w:rPr>
                <w:rFonts w:hint="eastAsia" w:ascii="Times New Roman" w:hAnsi="Times New Roman"/>
                <w:b/>
                <w:color w:val="auto"/>
                <w:sz w:val="24"/>
                <w:highlight w:val="none"/>
                <w:lang w:val="en-US" w:eastAsia="zh-CN"/>
              </w:rPr>
              <w:t>2.7</w:t>
            </w:r>
            <w:r>
              <w:rPr>
                <w:rFonts w:ascii="Times New Roman" w:hAnsi="Times New Roman"/>
                <w:b/>
                <w:color w:val="auto"/>
                <w:sz w:val="24"/>
                <w:highlight w:val="none"/>
              </w:rPr>
              <w:t>与《国务院关于印发“十四五”节能减排综合工作方案的通知》（国发</w:t>
            </w:r>
            <w:r>
              <w:rPr>
                <w:rFonts w:hint="eastAsia" w:ascii="Times New Roman" w:hAnsi="Times New Roman"/>
                <w:b/>
                <w:color w:val="auto"/>
                <w:sz w:val="24"/>
                <w:highlight w:val="none"/>
                <w:lang w:eastAsia="zh-CN"/>
              </w:rPr>
              <w:t>〔2021〕33号</w:t>
            </w:r>
            <w:r>
              <w:rPr>
                <w:rFonts w:ascii="Times New Roman" w:hAnsi="Times New Roman"/>
                <w:b/>
                <w:color w:val="auto"/>
                <w:sz w:val="24"/>
                <w:highlight w:val="none"/>
              </w:rPr>
              <w:t>）的相符性分析</w:t>
            </w:r>
          </w:p>
          <w:p w14:paraId="21E3B3EE">
            <w:pPr>
              <w:pStyle w:val="48"/>
              <w:adjustRightInd w:val="0"/>
              <w:snapToGrid w:val="0"/>
              <w:rPr>
                <w:rFonts w:ascii="Times New Roman" w:hAnsi="Times New Roman"/>
                <w:color w:val="auto"/>
                <w:highlight w:val="none"/>
              </w:rPr>
            </w:pPr>
            <w:r>
              <w:rPr>
                <w:rFonts w:ascii="Times New Roman" w:hAnsi="Times New Roman"/>
                <w:color w:val="auto"/>
                <w:highlight w:val="none"/>
              </w:rPr>
              <w:t>根据《</w:t>
            </w:r>
            <w:r>
              <w:rPr>
                <w:rFonts w:hint="eastAsia" w:ascii="宋体" w:hAnsi="宋体" w:eastAsia="宋体" w:cs="宋体"/>
                <w:bCs/>
                <w:color w:val="auto"/>
                <w:highlight w:val="none"/>
              </w:rPr>
              <w:t>“</w:t>
            </w:r>
            <w:r>
              <w:rPr>
                <w:rFonts w:ascii="Times New Roman" w:hAnsi="Times New Roman"/>
                <w:bCs/>
                <w:color w:val="auto"/>
                <w:highlight w:val="none"/>
              </w:rPr>
              <w:t>十四五</w:t>
            </w:r>
            <w:r>
              <w:rPr>
                <w:rFonts w:hint="eastAsia" w:ascii="宋体" w:hAnsi="宋体" w:eastAsia="宋体" w:cs="宋体"/>
                <w:bCs/>
                <w:color w:val="auto"/>
                <w:highlight w:val="none"/>
              </w:rPr>
              <w:t>”</w:t>
            </w:r>
            <w:r>
              <w:rPr>
                <w:rFonts w:ascii="Times New Roman" w:hAnsi="Times New Roman"/>
                <w:bCs/>
                <w:color w:val="auto"/>
                <w:highlight w:val="none"/>
              </w:rPr>
              <w:t>节能减排综合工作方案》，“十四五”主要目标：20</w:t>
            </w:r>
            <w:r>
              <w:rPr>
                <w:rFonts w:ascii="Times New Roman" w:hAnsi="Times New Roman"/>
                <w:color w:val="auto"/>
                <w:highlight w:val="none"/>
              </w:rPr>
              <w:t>25年，全国单位国内生产总值能源消耗比2020年下降13.5%，能源消费总量得到合理控制，化学需氧量、氨氮、氮氧化物、挥发性有机物排放总量比2020年分别下降8%、8%、10%以上、10%以上。节能减排政策机制更加健全，重点行业能源利用效率和主要污染物排放控制水平基本达到国际先进水平，经济社会发展绿色转型取得显著成效。</w:t>
            </w:r>
          </w:p>
          <w:p w14:paraId="4A37B8B7">
            <w:pPr>
              <w:spacing w:line="360" w:lineRule="auto"/>
              <w:ind w:firstLine="405"/>
              <w:rPr>
                <w:rFonts w:ascii="Times New Roman" w:hAnsi="Times New Roman"/>
                <w:caps/>
                <w:color w:val="auto"/>
                <w:sz w:val="24"/>
                <w:highlight w:val="none"/>
              </w:rPr>
            </w:pPr>
            <w:r>
              <w:rPr>
                <w:rFonts w:ascii="Times New Roman" w:hAnsi="Times New Roman"/>
                <w:b/>
                <w:bCs/>
                <w:caps/>
                <w:color w:val="auto"/>
                <w:sz w:val="24"/>
                <w:highlight w:val="none"/>
              </w:rPr>
              <w:t>煤炭清洁高效利用工程。</w:t>
            </w:r>
            <w:r>
              <w:rPr>
                <w:rFonts w:ascii="Times New Roman" w:hAnsi="Times New Roman"/>
                <w:caps/>
                <w:color w:val="auto"/>
                <w:sz w:val="24"/>
                <w:highlight w:val="none"/>
              </w:rPr>
              <w:t>要立足以煤为主的基本国情，坚持先立后破，严格合理控制煤炭消费增长，抓好煤炭清洁高效利用，推进存量煤电机组节煤降耗改造、供热改造、灵活性改造“三改联动”，持续推动煤电机组超低排放改造。稳妥有序推进大气污染防治重点区域燃料类煤气发生炉、燃煤热风炉、加热炉、热处理炉、干燥炉（窑）以及建材行业煤炭减量，实施清洁电力和天然气替代。</w:t>
            </w:r>
          </w:p>
          <w:p w14:paraId="3CA34D4E">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bCs w:val="0"/>
                <w:color w:val="auto"/>
                <w:spacing w:val="0"/>
                <w:sz w:val="24"/>
                <w:szCs w:val="24"/>
                <w:highlight w:val="none"/>
                <w:lang w:val="en-US" w:eastAsia="zh-CN"/>
              </w:rPr>
            </w:pPr>
            <w:r>
              <w:rPr>
                <w:rFonts w:ascii="Times New Roman" w:hAnsi="Times New Roman"/>
                <w:bCs/>
                <w:color w:val="auto"/>
                <w:highlight w:val="none"/>
              </w:rPr>
              <w:t>本项目</w:t>
            </w:r>
            <w:r>
              <w:rPr>
                <w:rFonts w:hint="eastAsia" w:ascii="Times New Roman" w:hAnsi="Times New Roman"/>
                <w:bCs/>
                <w:color w:val="auto"/>
                <w:highlight w:val="none"/>
                <w:lang w:val="en-US" w:eastAsia="zh-CN"/>
              </w:rPr>
              <w:t>生物质锅炉建设项目，在现有厂区新增一台6t/h生物质锅炉</w:t>
            </w:r>
            <w:r>
              <w:rPr>
                <w:rFonts w:ascii="Times New Roman" w:hAnsi="Times New Roman"/>
                <w:bCs/>
                <w:color w:val="auto"/>
                <w:highlight w:val="none"/>
              </w:rPr>
              <w:t>，采用</w:t>
            </w:r>
            <w:r>
              <w:rPr>
                <w:rFonts w:hint="eastAsia" w:ascii="Times New Roman" w:hAnsi="Times New Roman"/>
                <w:bCs/>
                <w:color w:val="auto"/>
                <w:highlight w:val="none"/>
                <w:lang w:val="en-US" w:eastAsia="zh-CN"/>
              </w:rPr>
              <w:t>成型生物质燃料</w:t>
            </w:r>
            <w:r>
              <w:rPr>
                <w:rFonts w:ascii="Times New Roman" w:hAnsi="Times New Roman"/>
                <w:bCs/>
                <w:color w:val="auto"/>
                <w:highlight w:val="none"/>
              </w:rPr>
              <w:t>，不使用煤炭，锅炉产生的烟气</w:t>
            </w:r>
            <w:r>
              <w:rPr>
                <w:rFonts w:ascii="Times New Roman" w:hAnsi="Times New Roman"/>
                <w:bCs/>
                <w:color w:val="auto"/>
                <w:szCs w:val="21"/>
                <w:highlight w:val="none"/>
              </w:rPr>
              <w:t>污染物经处理后，排放浓度满足《锅炉大气污染物排放标准》（GB13271-2014）</w:t>
            </w:r>
            <w:r>
              <w:rPr>
                <w:rFonts w:ascii="Times New Roman" w:hAnsi="Times New Roman"/>
                <w:bCs/>
                <w:color w:val="auto"/>
                <w:highlight w:val="none"/>
              </w:rPr>
              <w:t>，因此项目建设符合</w:t>
            </w:r>
            <w:r>
              <w:rPr>
                <w:rFonts w:ascii="Times New Roman" w:hAnsi="Times New Roman"/>
                <w:color w:val="auto"/>
                <w:highlight w:val="none"/>
              </w:rPr>
              <w:t>《</w:t>
            </w:r>
            <w:r>
              <w:rPr>
                <w:rFonts w:hint="eastAsia" w:ascii="宋体" w:hAnsi="宋体" w:eastAsia="宋体" w:cs="宋体"/>
                <w:bCs/>
                <w:color w:val="auto"/>
                <w:highlight w:val="none"/>
              </w:rPr>
              <w:t>“</w:t>
            </w:r>
            <w:r>
              <w:rPr>
                <w:rFonts w:ascii="Times New Roman" w:hAnsi="Times New Roman"/>
                <w:bCs/>
                <w:color w:val="auto"/>
                <w:highlight w:val="none"/>
              </w:rPr>
              <w:t>十四五</w:t>
            </w:r>
            <w:r>
              <w:rPr>
                <w:rFonts w:hint="eastAsia" w:ascii="宋体" w:hAnsi="宋体" w:eastAsia="宋体" w:cs="宋体"/>
                <w:bCs/>
                <w:color w:val="auto"/>
                <w:highlight w:val="none"/>
              </w:rPr>
              <w:t>”</w:t>
            </w:r>
            <w:r>
              <w:rPr>
                <w:rFonts w:ascii="Times New Roman" w:hAnsi="Times New Roman"/>
                <w:bCs/>
                <w:color w:val="auto"/>
                <w:highlight w:val="none"/>
              </w:rPr>
              <w:t>节能减排综合工作方案</w:t>
            </w:r>
            <w:r>
              <w:rPr>
                <w:rFonts w:ascii="Times New Roman" w:hAnsi="Times New Roman"/>
                <w:color w:val="auto"/>
                <w:highlight w:val="none"/>
              </w:rPr>
              <w:t>》要求。</w:t>
            </w:r>
          </w:p>
          <w:p w14:paraId="2A71876B">
            <w:pPr>
              <w:pStyle w:val="123"/>
              <w:spacing w:line="360" w:lineRule="auto"/>
              <w:ind w:firstLine="482"/>
              <w:jc w:val="both"/>
              <w:rPr>
                <w:rFonts w:cs="Times New Roman"/>
                <w:b/>
                <w:color w:val="auto"/>
                <w:kern w:val="0"/>
                <w:sz w:val="24"/>
                <w:szCs w:val="24"/>
                <w:highlight w:val="none"/>
              </w:rPr>
            </w:pPr>
            <w:r>
              <w:rPr>
                <w:rFonts w:hint="eastAsia" w:cs="Times New Roman"/>
                <w:b/>
                <w:color w:val="auto"/>
                <w:kern w:val="0"/>
                <w:sz w:val="24"/>
                <w:szCs w:val="24"/>
                <w:highlight w:val="none"/>
                <w:lang w:val="en-US" w:eastAsia="zh-CN"/>
              </w:rPr>
              <w:t>2.8</w:t>
            </w:r>
            <w:r>
              <w:rPr>
                <w:rFonts w:cs="Times New Roman"/>
                <w:b/>
                <w:color w:val="auto"/>
                <w:kern w:val="0"/>
                <w:sz w:val="24"/>
                <w:szCs w:val="24"/>
                <w:highlight w:val="none"/>
              </w:rPr>
              <w:t>与《</w:t>
            </w:r>
            <w:r>
              <w:rPr>
                <w:rFonts w:hint="eastAsia" w:cs="Times New Roman"/>
                <w:b/>
                <w:color w:val="auto"/>
                <w:kern w:val="0"/>
                <w:sz w:val="24"/>
                <w:szCs w:val="24"/>
                <w:highlight w:val="none"/>
              </w:rPr>
              <w:t>鸡西市</w:t>
            </w:r>
            <w:r>
              <w:rPr>
                <w:rFonts w:cs="Times New Roman"/>
                <w:b/>
                <w:color w:val="auto"/>
                <w:kern w:val="0"/>
                <w:sz w:val="24"/>
                <w:szCs w:val="24"/>
                <w:highlight w:val="none"/>
              </w:rPr>
              <w:t>“十四五”生态环境保护规划》符合性分析</w:t>
            </w:r>
          </w:p>
          <w:p w14:paraId="230BF68C">
            <w:pPr>
              <w:pStyle w:val="123"/>
              <w:spacing w:line="360" w:lineRule="auto"/>
              <w:ind w:firstLine="480"/>
              <w:jc w:val="both"/>
              <w:rPr>
                <w:rFonts w:cs="Times New Roman"/>
                <w:color w:val="auto"/>
                <w:sz w:val="24"/>
                <w:highlight w:val="none"/>
              </w:rPr>
            </w:pPr>
            <w:r>
              <w:rPr>
                <w:rFonts w:cs="Times New Roman"/>
                <w:bCs w:val="0"/>
                <w:color w:val="auto"/>
                <w:kern w:val="0"/>
                <w:sz w:val="24"/>
                <w:szCs w:val="24"/>
                <w:highlight w:val="none"/>
              </w:rPr>
              <w:t>根据《</w:t>
            </w:r>
            <w:r>
              <w:rPr>
                <w:rFonts w:hint="eastAsia"/>
                <w:bCs w:val="0"/>
                <w:color w:val="auto"/>
                <w:kern w:val="0"/>
                <w:sz w:val="24"/>
                <w:highlight w:val="none"/>
              </w:rPr>
              <w:t>鸡</w:t>
            </w:r>
            <w:r>
              <w:rPr>
                <w:rFonts w:hint="eastAsia" w:cs="Times New Roman"/>
                <w:color w:val="auto"/>
                <w:sz w:val="24"/>
                <w:highlight w:val="none"/>
              </w:rPr>
              <w:t>西市</w:t>
            </w:r>
            <w:r>
              <w:rPr>
                <w:rFonts w:cs="Times New Roman"/>
                <w:color w:val="auto"/>
                <w:sz w:val="24"/>
                <w:highlight w:val="none"/>
              </w:rPr>
              <w:t>“十四五”生态环境保护规划》</w:t>
            </w:r>
            <w:r>
              <w:rPr>
                <w:rFonts w:hint="eastAsia" w:cs="Times New Roman"/>
                <w:color w:val="auto"/>
                <w:sz w:val="24"/>
                <w:highlight w:val="none"/>
              </w:rPr>
              <w:t>，</w:t>
            </w:r>
            <w:r>
              <w:rPr>
                <w:rFonts w:cs="Times New Roman"/>
                <w:color w:val="auto"/>
                <w:sz w:val="24"/>
                <w:highlight w:val="none"/>
              </w:rPr>
              <w:t>“……加大燃煤污染治理力度。深入实施散煤污染治理“三重一改”攻坚行动，统筹全市棚户区、城中村、城乡结合部、商户和农村地区散煤污染治理，按照“煤炭集中使用、清洁利用”原则，重点削减散煤、工业锅炉、工业炉窑等非电用煤，以“煤改气”“煤改电”为主要方式，降低煤炭在能源消费中的比重。持续推进清洁取暖，加快生物质成型燃料供暖，构建绿色、节约、高效、协调、适用的清洁供暖体系。市主城区建成区基本实现散煤清零。加快淘汰全市建成区10—35蒸吨/小时燃煤锅炉，推进65蒸吨/小时及以上燃煤锅炉（含电力）超低排放改造，实现20蒸吨/小时及以上锅炉稳定达标排放全覆盖。……”。</w:t>
            </w:r>
          </w:p>
          <w:p w14:paraId="0F763C7B">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bCs w:val="0"/>
                <w:color w:val="auto"/>
                <w:spacing w:val="0"/>
                <w:sz w:val="24"/>
                <w:szCs w:val="24"/>
                <w:highlight w:val="none"/>
                <w:lang w:val="en-US" w:eastAsia="zh-CN"/>
              </w:rPr>
            </w:pPr>
            <w:r>
              <w:rPr>
                <w:rFonts w:cs="Times New Roman"/>
                <w:bCs w:val="0"/>
                <w:color w:val="auto"/>
                <w:kern w:val="0"/>
                <w:sz w:val="24"/>
                <w:szCs w:val="24"/>
                <w:highlight w:val="none"/>
              </w:rPr>
              <w:t>本项目位于</w:t>
            </w:r>
            <w:r>
              <w:rPr>
                <w:rFonts w:cs="Times New Roman"/>
                <w:color w:val="auto"/>
                <w:sz w:val="24"/>
                <w:highlight w:val="none"/>
              </w:rPr>
              <w:t>黑龙江省鸡西经济开发区梨树工业谷化工产业区，</w:t>
            </w:r>
            <w:r>
              <w:rPr>
                <w:rFonts w:hint="eastAsia" w:cs="Times New Roman"/>
                <w:color w:val="auto"/>
                <w:sz w:val="24"/>
                <w:highlight w:val="none"/>
                <w:lang w:val="en-US" w:eastAsia="zh-CN"/>
              </w:rPr>
              <w:t>在现有厂区内建设，不新增占地</w:t>
            </w:r>
            <w:r>
              <w:rPr>
                <w:rFonts w:cs="Times New Roman"/>
                <w:bCs w:val="0"/>
                <w:color w:val="auto"/>
                <w:kern w:val="0"/>
                <w:sz w:val="24"/>
                <w:szCs w:val="24"/>
                <w:highlight w:val="none"/>
              </w:rPr>
              <w:t>，不在</w:t>
            </w:r>
            <w:r>
              <w:rPr>
                <w:rFonts w:cs="Times New Roman"/>
                <w:bCs w:val="0"/>
                <w:color w:val="auto"/>
                <w:sz w:val="24"/>
                <w:highlight w:val="none"/>
              </w:rPr>
              <w:t>城市建成区内，项目所处区域为环境空气质量达标区，</w:t>
            </w:r>
            <w:r>
              <w:rPr>
                <w:rFonts w:hint="eastAsia" w:cs="Times New Roman"/>
                <w:bCs w:val="0"/>
                <w:color w:val="auto"/>
                <w:sz w:val="24"/>
                <w:highlight w:val="none"/>
              </w:rPr>
              <w:t>因园区集中供热、供气设施不完善，</w:t>
            </w:r>
            <w:r>
              <w:rPr>
                <w:rFonts w:cs="Times New Roman"/>
                <w:color w:val="auto"/>
                <w:sz w:val="24"/>
                <w:highlight w:val="none"/>
              </w:rPr>
              <w:t>项目设1台</w:t>
            </w:r>
            <w:r>
              <w:rPr>
                <w:rFonts w:hint="eastAsia" w:cs="Times New Roman"/>
                <w:bCs w:val="0"/>
                <w:color w:val="auto"/>
                <w:sz w:val="24"/>
                <w:highlight w:val="none"/>
                <w:lang w:val="en-US" w:eastAsia="zh-CN"/>
              </w:rPr>
              <w:t>6</w:t>
            </w:r>
            <w:r>
              <w:rPr>
                <w:rFonts w:cs="Times New Roman"/>
                <w:bCs w:val="0"/>
                <w:color w:val="auto"/>
                <w:sz w:val="24"/>
                <w:highlight w:val="none"/>
              </w:rPr>
              <w:t>t/h燃生物质</w:t>
            </w:r>
            <w:r>
              <w:rPr>
                <w:rFonts w:hint="eastAsia" w:cs="Times New Roman"/>
                <w:bCs w:val="0"/>
                <w:color w:val="auto"/>
                <w:sz w:val="24"/>
                <w:highlight w:val="none"/>
              </w:rPr>
              <w:t>专用</w:t>
            </w:r>
            <w:r>
              <w:rPr>
                <w:rFonts w:cs="Times New Roman"/>
                <w:bCs w:val="0"/>
                <w:color w:val="auto"/>
                <w:sz w:val="24"/>
                <w:highlight w:val="none"/>
              </w:rPr>
              <w:t>锅炉，</w:t>
            </w:r>
            <w:r>
              <w:rPr>
                <w:rFonts w:hint="eastAsia" w:cs="Times New Roman"/>
                <w:bCs w:val="0"/>
                <w:color w:val="auto"/>
                <w:sz w:val="24"/>
                <w:highlight w:val="none"/>
              </w:rPr>
              <w:t>燃用</w:t>
            </w:r>
            <w:r>
              <w:rPr>
                <w:rFonts w:hint="eastAsia" w:cs="Times New Roman"/>
                <w:bCs w:val="0"/>
                <w:color w:val="auto"/>
                <w:sz w:val="24"/>
                <w:highlight w:val="none"/>
                <w:lang w:val="en-US" w:eastAsia="zh-CN"/>
              </w:rPr>
              <w:t>生物质成型颗粒</w:t>
            </w:r>
            <w:r>
              <w:rPr>
                <w:rFonts w:hint="eastAsia" w:cs="Times New Roman"/>
                <w:bCs w:val="0"/>
                <w:color w:val="auto"/>
                <w:sz w:val="24"/>
                <w:highlight w:val="none"/>
              </w:rPr>
              <w:t>，不采用煤炭，</w:t>
            </w:r>
            <w:r>
              <w:rPr>
                <w:rFonts w:cs="Times New Roman"/>
                <w:bCs w:val="0"/>
                <w:color w:val="auto"/>
                <w:sz w:val="24"/>
                <w:highlight w:val="none"/>
              </w:rPr>
              <w:t>采取</w:t>
            </w:r>
            <w:r>
              <w:rPr>
                <w:rFonts w:hint="eastAsia" w:cs="Times New Roman"/>
                <w:bCs w:val="0"/>
                <w:color w:val="auto"/>
                <w:sz w:val="24"/>
                <w:highlight w:val="none"/>
              </w:rPr>
              <w:t>高效</w:t>
            </w:r>
            <w:r>
              <w:rPr>
                <w:rFonts w:hint="eastAsia" w:cs="Times New Roman"/>
                <w:bCs w:val="0"/>
                <w:color w:val="auto"/>
                <w:sz w:val="24"/>
                <w:highlight w:val="none"/>
                <w:lang w:eastAsia="zh-CN"/>
              </w:rPr>
              <w:t>“</w:t>
            </w:r>
            <w:r>
              <w:rPr>
                <w:rFonts w:hint="eastAsia" w:cs="Times New Roman"/>
                <w:bCs w:val="0"/>
                <w:color w:val="auto"/>
                <w:sz w:val="24"/>
                <w:highlight w:val="none"/>
                <w:lang w:val="en-US" w:eastAsia="zh-CN"/>
              </w:rPr>
              <w:t>低氮燃烧+</w:t>
            </w:r>
            <w:r>
              <w:rPr>
                <w:rFonts w:hint="eastAsia" w:cs="Times New Roman"/>
                <w:bCs w:val="0"/>
                <w:color w:val="auto"/>
                <w:sz w:val="24"/>
                <w:highlight w:val="none"/>
                <w:lang w:eastAsia="zh-CN"/>
              </w:rPr>
              <w:t>旋风除尘器+布袋除尘器</w:t>
            </w:r>
            <w:r>
              <w:rPr>
                <w:rFonts w:hint="eastAsia" w:cs="Times New Roman"/>
                <w:bCs w:val="0"/>
                <w:color w:val="auto"/>
                <w:sz w:val="24"/>
                <w:highlight w:val="none"/>
                <w:lang w:eastAsia="zh-CN"/>
              </w:rPr>
              <w:t>”</w:t>
            </w:r>
            <w:r>
              <w:rPr>
                <w:rFonts w:hint="eastAsia" w:cs="Times New Roman"/>
                <w:bCs w:val="0"/>
                <w:color w:val="auto"/>
                <w:sz w:val="24"/>
                <w:highlight w:val="none"/>
              </w:rPr>
              <w:t>进行</w:t>
            </w:r>
            <w:r>
              <w:rPr>
                <w:rFonts w:cs="Times New Roman"/>
                <w:bCs w:val="0"/>
                <w:color w:val="auto"/>
                <w:sz w:val="24"/>
                <w:highlight w:val="none"/>
              </w:rPr>
              <w:t>除尘，</w:t>
            </w:r>
            <w:r>
              <w:rPr>
                <w:rFonts w:hint="eastAsia" w:cs="Times New Roman"/>
                <w:bCs w:val="0"/>
                <w:color w:val="auto"/>
                <w:sz w:val="24"/>
                <w:highlight w:val="none"/>
              </w:rPr>
              <w:t>经处理后，</w:t>
            </w:r>
            <w:r>
              <w:rPr>
                <w:rFonts w:cs="Times New Roman"/>
                <w:color w:val="auto"/>
                <w:sz w:val="24"/>
                <w:highlight w:val="none"/>
              </w:rPr>
              <w:t>大气污染物SO</w:t>
            </w:r>
            <w:r>
              <w:rPr>
                <w:rFonts w:cs="Times New Roman"/>
                <w:color w:val="auto"/>
                <w:sz w:val="24"/>
                <w:highlight w:val="none"/>
                <w:vertAlign w:val="subscript"/>
              </w:rPr>
              <w:t>2</w:t>
            </w:r>
            <w:r>
              <w:rPr>
                <w:rFonts w:cs="Times New Roman"/>
                <w:color w:val="auto"/>
                <w:sz w:val="24"/>
                <w:highlight w:val="none"/>
              </w:rPr>
              <w:t>、NO</w:t>
            </w:r>
            <w:r>
              <w:rPr>
                <w:rFonts w:cs="Times New Roman"/>
                <w:color w:val="auto"/>
                <w:sz w:val="24"/>
                <w:szCs w:val="24"/>
                <w:highlight w:val="none"/>
                <w:vertAlign w:val="subscript"/>
              </w:rPr>
              <w:t>X</w:t>
            </w:r>
            <w:r>
              <w:rPr>
                <w:rFonts w:cs="Times New Roman"/>
                <w:color w:val="auto"/>
                <w:sz w:val="24"/>
                <w:szCs w:val="24"/>
                <w:highlight w:val="none"/>
              </w:rPr>
              <w:t>、烟尘</w:t>
            </w:r>
            <w:r>
              <w:rPr>
                <w:rFonts w:cs="Times New Roman"/>
                <w:bCs w:val="0"/>
                <w:color w:val="auto"/>
                <w:sz w:val="24"/>
                <w:szCs w:val="24"/>
                <w:highlight w:val="none"/>
              </w:rPr>
              <w:t>排放浓度满足《锅炉大气污染物排放标准》（GB13271-2014）</w:t>
            </w:r>
            <w:r>
              <w:rPr>
                <w:rFonts w:cs="Times New Roman"/>
                <w:color w:val="auto"/>
                <w:sz w:val="24"/>
                <w:szCs w:val="24"/>
                <w:highlight w:val="none"/>
              </w:rPr>
              <w:t>，项目建设</w:t>
            </w:r>
            <w:r>
              <w:rPr>
                <w:rFonts w:cs="Times New Roman"/>
                <w:color w:val="auto"/>
                <w:sz w:val="24"/>
                <w:highlight w:val="none"/>
              </w:rPr>
              <w:t>符合</w:t>
            </w:r>
            <w:r>
              <w:rPr>
                <w:rFonts w:cs="Times New Roman"/>
                <w:bCs w:val="0"/>
                <w:color w:val="auto"/>
                <w:kern w:val="0"/>
                <w:sz w:val="24"/>
                <w:szCs w:val="24"/>
                <w:highlight w:val="none"/>
              </w:rPr>
              <w:t>《</w:t>
            </w:r>
            <w:r>
              <w:rPr>
                <w:rFonts w:hint="eastAsia" w:cs="Times New Roman"/>
                <w:bCs w:val="0"/>
                <w:color w:val="auto"/>
                <w:kern w:val="0"/>
                <w:sz w:val="24"/>
                <w:szCs w:val="24"/>
                <w:highlight w:val="none"/>
              </w:rPr>
              <w:t>鸡西市</w:t>
            </w:r>
            <w:r>
              <w:rPr>
                <w:rFonts w:cs="Times New Roman"/>
                <w:bCs w:val="0"/>
                <w:color w:val="auto"/>
                <w:kern w:val="0"/>
                <w:sz w:val="24"/>
                <w:szCs w:val="24"/>
                <w:highlight w:val="none"/>
              </w:rPr>
              <w:t>“十四五”生态环境保护规划》要求。</w:t>
            </w:r>
          </w:p>
          <w:p w14:paraId="15AEFC05">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2.9与《黑龙江省水污染防治条例》符合性分析</w:t>
            </w:r>
          </w:p>
          <w:p w14:paraId="23404468">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cs="Times New Roman"/>
                <w:bCs w:val="0"/>
                <w:color w:val="auto"/>
                <w:kern w:val="0"/>
                <w:sz w:val="24"/>
                <w:szCs w:val="24"/>
                <w:highlight w:val="none"/>
                <w:lang w:val="en-US" w:eastAsia="zh-CN"/>
              </w:rPr>
            </w:pPr>
            <w:r>
              <w:rPr>
                <w:rFonts w:hint="eastAsia" w:cs="Times New Roman"/>
                <w:bCs w:val="0"/>
                <w:color w:val="auto"/>
                <w:kern w:val="0"/>
                <w:sz w:val="24"/>
                <w:szCs w:val="24"/>
                <w:highlight w:val="none"/>
                <w:lang w:val="en-US" w:eastAsia="zh-CN"/>
              </w:rPr>
              <w:t>第十一条 新建、改建、扩建直接或者间接向水体排放污染物的建设项目和其他水上设施，应当依法进行环境影响评价，并符合国家、省、市（地）有关生态保护红线、环境质量底线、资源利用上线和生态环境准入清单的要求。</w:t>
            </w:r>
          </w:p>
          <w:p w14:paraId="09E581E9">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val="0"/>
                <w:bCs/>
                <w:color w:val="auto"/>
                <w:spacing w:val="0"/>
                <w:sz w:val="24"/>
                <w:szCs w:val="24"/>
                <w:highlight w:val="none"/>
                <w:lang w:val="en-US" w:eastAsia="zh-CN"/>
              </w:rPr>
            </w:pPr>
            <w:r>
              <w:rPr>
                <w:rFonts w:hint="eastAsia" w:ascii="宋体" w:hAnsi="宋体" w:eastAsia="宋体" w:cs="宋体"/>
                <w:i w:val="0"/>
                <w:iCs w:val="0"/>
                <w:caps w:val="0"/>
                <w:color w:val="333333"/>
                <w:spacing w:val="0"/>
                <w:sz w:val="24"/>
                <w:szCs w:val="24"/>
                <w:highlight w:val="none"/>
                <w:shd w:val="clear" w:fill="FFFFFF"/>
              </w:rPr>
              <w:t>第十六条</w:t>
            </w:r>
            <w:r>
              <w:rPr>
                <w:rFonts w:hint="eastAsia" w:ascii="宋体" w:hAnsi="宋体" w:eastAsia="宋体" w:cs="宋体"/>
                <w:b w:val="0"/>
                <w:bCs/>
                <w:color w:val="auto"/>
                <w:spacing w:val="0"/>
                <w:sz w:val="24"/>
                <w:szCs w:val="24"/>
                <w:highlight w:val="none"/>
                <w:lang w:val="en-US" w:eastAsia="zh-CN"/>
              </w:rPr>
              <w:t>实行排污许可管理的企业事业单位和其他生产经营者应当按照排污许可证要求和有关标准规范，自行监测排放的水污染物，保存原始监测记录，建立环境管理台账。原始监测记录、环境管理台账保存期限不少于五年。</w:t>
            </w:r>
          </w:p>
          <w:p w14:paraId="3CEC3D2E">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val="0"/>
                <w:bCs/>
                <w:color w:val="auto"/>
                <w:spacing w:val="0"/>
                <w:sz w:val="24"/>
                <w:szCs w:val="24"/>
                <w:highlight w:val="none"/>
                <w:lang w:val="en-US" w:eastAsia="zh-CN"/>
              </w:rPr>
            </w:pPr>
            <w:r>
              <w:rPr>
                <w:rFonts w:hint="eastAsia" w:ascii="宋体" w:hAnsi="宋体" w:eastAsia="宋体" w:cs="宋体"/>
                <w:b w:val="0"/>
                <w:bCs/>
                <w:color w:val="auto"/>
                <w:spacing w:val="0"/>
                <w:sz w:val="24"/>
                <w:szCs w:val="24"/>
                <w:highlight w:val="none"/>
                <w:lang w:val="en-US" w:eastAsia="zh-CN"/>
              </w:rPr>
              <w:t>实行排污许可重点管理的排污单位，应当依法安装、使用、维护污染物排放自动监测设备，并与生态环境主管部门的监控设备联网。排污单位发现水污染物排放自动监测设备传输数据异常的，应当及时报告生态环境主管部门，并进行检查、修复。</w:t>
            </w:r>
          </w:p>
          <w:p w14:paraId="6974BC96">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宋体" w:hAnsi="宋体" w:eastAsia="宋体" w:cs="宋体"/>
                <w:b w:val="0"/>
                <w:bCs/>
                <w:color w:val="auto"/>
                <w:spacing w:val="0"/>
                <w:sz w:val="24"/>
                <w:szCs w:val="24"/>
                <w:highlight w:val="none"/>
                <w:lang w:val="en-US" w:eastAsia="zh-CN"/>
              </w:rPr>
            </w:pPr>
            <w:r>
              <w:rPr>
                <w:rFonts w:hint="eastAsia" w:cs="宋体"/>
                <w:b w:val="0"/>
                <w:bCs/>
                <w:color w:val="auto"/>
                <w:spacing w:val="0"/>
                <w:sz w:val="24"/>
                <w:szCs w:val="24"/>
                <w:highlight w:val="none"/>
                <w:lang w:val="en-US" w:eastAsia="zh-CN"/>
              </w:rPr>
              <w:t>本项目为新增生物质锅炉项目，排放的废水主要为锅炉排污水和纯水制备废水，本项目正依法进行环境影响评价，符合生态保护红线、环境质量底线、资源利用上线和生态环境准入清单的要求。本项目建成后按照全厂行业类别与污染物排放情况进行排污许可证申领工作，本项目排放的废水主要为锅炉排污水和纯水制备废水，不属于高污染废水，产生的废水经污水管排放至梨树工业谷污水处理厂集中处理，属于间接排放。建成后定期开展水污染物自行监测，保留监测结果。因此本项目符合《黑龙江省水污染防治条例》相关要求。</w:t>
            </w:r>
          </w:p>
          <w:p w14:paraId="48FDBDA9">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2.10与《市场监管总局国家发展改革委生态环境部关于加强锅炉节能环保工作的通知》符合性分析</w:t>
            </w:r>
          </w:p>
          <w:p w14:paraId="68A946A5">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val="0"/>
                <w:bCs/>
                <w:color w:val="auto"/>
                <w:spacing w:val="0"/>
                <w:sz w:val="24"/>
                <w:szCs w:val="24"/>
                <w:highlight w:val="none"/>
                <w:lang w:val="en-US" w:eastAsia="zh-CN"/>
              </w:rPr>
            </w:pPr>
            <w:r>
              <w:rPr>
                <w:rFonts w:hint="eastAsia" w:ascii="宋体" w:hAnsi="宋体" w:eastAsia="宋体" w:cs="宋体"/>
                <w:b w:val="0"/>
                <w:bCs/>
                <w:color w:val="auto"/>
                <w:spacing w:val="0"/>
                <w:sz w:val="24"/>
                <w:szCs w:val="24"/>
                <w:highlight w:val="none"/>
                <w:lang w:val="en-US" w:eastAsia="zh-CN"/>
              </w:rPr>
              <w:t>锅炉使用单位要落实主体责任，确保锅炉运行能效和大气污染物排放满足相关法律法规、技术规范及标准和要求。</w:t>
            </w:r>
          </w:p>
          <w:p w14:paraId="74AF3918">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val="0"/>
                <w:bCs/>
                <w:color w:val="auto"/>
                <w:spacing w:val="0"/>
                <w:sz w:val="24"/>
                <w:szCs w:val="24"/>
                <w:highlight w:val="none"/>
                <w:lang w:val="en-US" w:eastAsia="zh-CN"/>
              </w:rPr>
            </w:pPr>
            <w:r>
              <w:rPr>
                <w:rFonts w:hint="eastAsia" w:ascii="宋体" w:hAnsi="宋体" w:eastAsia="宋体" w:cs="宋体"/>
                <w:b w:val="0"/>
                <w:bCs/>
                <w:color w:val="auto"/>
                <w:spacing w:val="0"/>
                <w:sz w:val="24"/>
                <w:szCs w:val="24"/>
                <w:highlight w:val="none"/>
                <w:lang w:val="en-US" w:eastAsia="zh-CN"/>
              </w:rPr>
              <w:t>1.锅炉使用单位应当按照锅炉技术参数配置合适的辅助设备和环保设施。</w:t>
            </w:r>
          </w:p>
          <w:p w14:paraId="6C98D4EB">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val="0"/>
                <w:bCs/>
                <w:color w:val="auto"/>
                <w:spacing w:val="0"/>
                <w:sz w:val="24"/>
                <w:szCs w:val="24"/>
                <w:highlight w:val="none"/>
                <w:lang w:val="en-US" w:eastAsia="zh-CN"/>
              </w:rPr>
            </w:pPr>
            <w:r>
              <w:rPr>
                <w:rFonts w:hint="eastAsia" w:ascii="宋体" w:hAnsi="宋体" w:eastAsia="宋体" w:cs="宋体"/>
                <w:b w:val="0"/>
                <w:bCs/>
                <w:color w:val="auto"/>
                <w:spacing w:val="0"/>
                <w:sz w:val="24"/>
                <w:szCs w:val="24"/>
                <w:highlight w:val="none"/>
                <w:lang w:val="en-US" w:eastAsia="zh-CN"/>
              </w:rPr>
              <w:t>2.锅炉及其系统要配备符合技术规范及相关标准规定的计量装置，并记录相关数据。</w:t>
            </w:r>
          </w:p>
          <w:p w14:paraId="5B01607D">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val="0"/>
                <w:bCs/>
                <w:color w:val="auto"/>
                <w:spacing w:val="0"/>
                <w:sz w:val="24"/>
                <w:szCs w:val="24"/>
                <w:highlight w:val="none"/>
                <w:lang w:val="en-US" w:eastAsia="zh-CN"/>
              </w:rPr>
            </w:pPr>
            <w:r>
              <w:rPr>
                <w:rFonts w:hint="eastAsia" w:ascii="宋体" w:hAnsi="宋体" w:eastAsia="宋体" w:cs="宋体"/>
                <w:b w:val="0"/>
                <w:bCs/>
                <w:color w:val="auto"/>
                <w:spacing w:val="0"/>
                <w:sz w:val="24"/>
                <w:szCs w:val="24"/>
                <w:highlight w:val="none"/>
                <w:lang w:val="en-US" w:eastAsia="zh-CN"/>
              </w:rPr>
              <w:t>3.锅炉使用单位应当完善相关节能环保管理制度，建立锅炉节能环保技术档案，明确目标责任与岗位管理责任。</w:t>
            </w:r>
          </w:p>
          <w:p w14:paraId="7ED3CC70">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val="0"/>
                <w:bCs/>
                <w:color w:val="auto"/>
                <w:spacing w:val="0"/>
                <w:sz w:val="24"/>
                <w:szCs w:val="24"/>
                <w:highlight w:val="none"/>
                <w:lang w:val="en-US" w:eastAsia="zh-CN"/>
              </w:rPr>
            </w:pPr>
            <w:r>
              <w:rPr>
                <w:rFonts w:hint="eastAsia" w:ascii="宋体" w:hAnsi="宋体" w:eastAsia="宋体" w:cs="宋体"/>
                <w:b w:val="0"/>
                <w:bCs/>
                <w:color w:val="auto"/>
                <w:spacing w:val="0"/>
                <w:sz w:val="24"/>
                <w:szCs w:val="24"/>
                <w:highlight w:val="none"/>
                <w:lang w:val="en-US" w:eastAsia="zh-CN"/>
              </w:rPr>
              <w:t>4.锅炉使用单位应当依法依规申领排污许可证，建立自行监测制度，落实自行监测管理要求，严格记录并保存环境管理台账，及时编制并提交排污许可证执行报告。</w:t>
            </w:r>
          </w:p>
          <w:p w14:paraId="62CA9F32">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val="0"/>
                <w:bCs/>
                <w:color w:val="auto"/>
                <w:spacing w:val="0"/>
                <w:sz w:val="24"/>
                <w:szCs w:val="24"/>
                <w:highlight w:val="none"/>
                <w:lang w:val="en-US" w:eastAsia="zh-CN"/>
              </w:rPr>
            </w:pPr>
            <w:r>
              <w:rPr>
                <w:rFonts w:hint="eastAsia" w:ascii="宋体" w:hAnsi="宋体" w:eastAsia="宋体" w:cs="宋体"/>
                <w:b w:val="0"/>
                <w:bCs/>
                <w:color w:val="auto"/>
                <w:spacing w:val="0"/>
                <w:sz w:val="24"/>
                <w:szCs w:val="24"/>
                <w:highlight w:val="none"/>
                <w:lang w:val="en-US" w:eastAsia="zh-CN"/>
              </w:rPr>
              <w:t>5.在用锅炉的大气污染物排放不符合环境保护要求的，使用单位应当采取相应的改进措施。整改后仍然不符合要求的，不得继续使用。</w:t>
            </w:r>
          </w:p>
          <w:p w14:paraId="5413E238">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val="0"/>
                <w:bCs/>
                <w:color w:val="auto"/>
                <w:spacing w:val="0"/>
                <w:sz w:val="24"/>
                <w:szCs w:val="24"/>
                <w:highlight w:val="none"/>
                <w:lang w:val="en-US" w:eastAsia="zh-CN"/>
              </w:rPr>
            </w:pPr>
            <w:r>
              <w:rPr>
                <w:rFonts w:hint="eastAsia" w:ascii="宋体" w:hAnsi="宋体" w:eastAsia="宋体" w:cs="宋体"/>
                <w:b w:val="0"/>
                <w:bCs/>
                <w:color w:val="auto"/>
                <w:spacing w:val="0"/>
                <w:sz w:val="24"/>
                <w:szCs w:val="24"/>
                <w:highlight w:val="none"/>
                <w:lang w:val="en-US" w:eastAsia="zh-CN"/>
              </w:rPr>
              <w:t>6.锅炉使用单位应及时主动报废已淘汰锅炉，并申请注销使用登记证，不得将已淘汰锅炉移装或再次投入使用。</w:t>
            </w:r>
          </w:p>
          <w:p w14:paraId="4D295C5A">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宋体" w:hAnsi="宋体" w:eastAsia="宋体" w:cs="宋体"/>
                <w:b w:val="0"/>
                <w:bCs/>
                <w:color w:val="auto"/>
                <w:spacing w:val="0"/>
                <w:sz w:val="24"/>
                <w:szCs w:val="24"/>
                <w:highlight w:val="none"/>
                <w:lang w:val="en-US" w:eastAsia="zh-CN"/>
              </w:rPr>
            </w:pPr>
            <w:r>
              <w:rPr>
                <w:rFonts w:hint="eastAsia" w:cs="宋体"/>
                <w:b w:val="0"/>
                <w:bCs/>
                <w:color w:val="auto"/>
                <w:spacing w:val="0"/>
                <w:sz w:val="24"/>
                <w:szCs w:val="24"/>
                <w:highlight w:val="none"/>
                <w:lang w:val="en-US" w:eastAsia="zh-CN"/>
              </w:rPr>
              <w:t>本项目为新建一台6t/h生物质锅炉用于集中供热停产期间的过度期生产用热。锅炉配套“低氮燃烧+旋风除尘器+布袋除尘器”作为环保措施。建成后配备相关计量装置并记录相关数据，完善相关环保管理制度，明确目标责任与管理岗位，建成后应依法依规进行排污许可申领，建立自行监测制度，开展自行监测，本项目使用的旋风除尘器+布袋除尘器、低氮燃烧器等属于《排污许可证申请与核发技术规范 锅炉》（HJ953—2018）可行性技术。因此本项目符合《市场监管总局国家发展改革委生态环境部关于加强锅炉节能环保工作的通知》相关要求。</w:t>
            </w:r>
          </w:p>
          <w:p w14:paraId="5AAF83FF">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eastAsia" w:ascii="宋体" w:hAnsi="宋体" w:eastAsia="宋体" w:cs="宋体"/>
                <w:b/>
                <w:bCs w:val="0"/>
                <w:color w:val="auto"/>
                <w:spacing w:val="0"/>
                <w:sz w:val="24"/>
                <w:szCs w:val="24"/>
                <w:highlight w:val="none"/>
              </w:rPr>
            </w:pPr>
            <w:r>
              <w:rPr>
                <w:rFonts w:hint="eastAsia" w:ascii="宋体" w:hAnsi="宋体" w:eastAsia="宋体" w:cs="宋体"/>
                <w:b/>
                <w:bCs w:val="0"/>
                <w:color w:val="auto"/>
                <w:spacing w:val="0"/>
                <w:sz w:val="24"/>
                <w:szCs w:val="24"/>
                <w:highlight w:val="none"/>
                <w:lang w:val="en-US" w:eastAsia="zh-CN"/>
              </w:rPr>
              <w:t>2.</w:t>
            </w:r>
            <w:r>
              <w:rPr>
                <w:rFonts w:hint="eastAsia" w:cs="宋体"/>
                <w:b/>
                <w:bCs w:val="0"/>
                <w:color w:val="auto"/>
                <w:spacing w:val="0"/>
                <w:sz w:val="24"/>
                <w:szCs w:val="24"/>
                <w:highlight w:val="none"/>
                <w:lang w:val="en-US" w:eastAsia="zh-CN"/>
              </w:rPr>
              <w:t>11</w:t>
            </w:r>
            <w:r>
              <w:rPr>
                <w:rFonts w:hint="eastAsia" w:ascii="宋体" w:hAnsi="宋体" w:eastAsia="宋体" w:cs="宋体"/>
                <w:b/>
                <w:bCs w:val="0"/>
                <w:color w:val="auto"/>
                <w:spacing w:val="0"/>
                <w:sz w:val="24"/>
                <w:szCs w:val="24"/>
                <w:highlight w:val="none"/>
              </w:rPr>
              <w:t>产业政策符合性分析</w:t>
            </w:r>
          </w:p>
          <w:p w14:paraId="3F07C6A8">
            <w:pPr>
              <w:rPr>
                <w:rFonts w:hint="eastAsia" w:ascii="宋体" w:hAnsi="宋体" w:eastAsia="宋体" w:cs="宋体"/>
                <w:color w:val="auto"/>
                <w:spacing w:val="0"/>
                <w:sz w:val="24"/>
                <w:szCs w:val="24"/>
                <w:highlight w:val="none"/>
              </w:rPr>
            </w:pPr>
            <w:r>
              <w:rPr>
                <w:rFonts w:hint="eastAsia" w:ascii="宋体" w:hAnsi="宋体" w:eastAsia="宋体" w:cs="宋体"/>
                <w:bCs/>
                <w:color w:val="auto"/>
                <w:spacing w:val="0"/>
                <w:sz w:val="24"/>
                <w:szCs w:val="24"/>
                <w:highlight w:val="none"/>
              </w:rPr>
              <w:t>本项目为</w:t>
            </w:r>
            <w:r>
              <w:rPr>
                <w:rFonts w:hint="eastAsia" w:cs="宋体"/>
                <w:bCs/>
                <w:color w:val="auto"/>
                <w:spacing w:val="0"/>
                <w:sz w:val="24"/>
                <w:szCs w:val="24"/>
                <w:highlight w:val="none"/>
                <w:lang w:val="en-US" w:eastAsia="zh-CN"/>
              </w:rPr>
              <w:t>6t/h</w:t>
            </w:r>
            <w:r>
              <w:rPr>
                <w:rFonts w:hint="eastAsia" w:ascii="宋体" w:hAnsi="宋体" w:eastAsia="宋体" w:cs="宋体"/>
                <w:bCs/>
                <w:color w:val="auto"/>
                <w:spacing w:val="0"/>
                <w:sz w:val="24"/>
                <w:szCs w:val="24"/>
                <w:highlight w:val="none"/>
                <w:lang w:val="en-US" w:eastAsia="zh-CN"/>
              </w:rPr>
              <w:t>燃</w:t>
            </w:r>
            <w:r>
              <w:rPr>
                <w:rFonts w:hint="eastAsia" w:cs="宋体"/>
                <w:bCs/>
                <w:color w:val="auto"/>
                <w:spacing w:val="0"/>
                <w:sz w:val="24"/>
                <w:szCs w:val="24"/>
                <w:highlight w:val="none"/>
                <w:lang w:val="en-US" w:eastAsia="zh-CN"/>
              </w:rPr>
              <w:t>生物质锅炉</w:t>
            </w:r>
            <w:r>
              <w:rPr>
                <w:rFonts w:hint="eastAsia" w:ascii="宋体" w:hAnsi="宋体" w:eastAsia="宋体" w:cs="宋体"/>
                <w:bCs/>
                <w:color w:val="auto"/>
                <w:spacing w:val="0"/>
                <w:sz w:val="24"/>
                <w:szCs w:val="24"/>
                <w:highlight w:val="none"/>
                <w:lang w:val="en-US" w:eastAsia="zh-CN"/>
              </w:rPr>
              <w:t>项目</w:t>
            </w:r>
            <w:r>
              <w:rPr>
                <w:rFonts w:hint="eastAsia" w:ascii="宋体" w:hAnsi="宋体" w:eastAsia="宋体" w:cs="宋体"/>
                <w:color w:val="auto"/>
                <w:spacing w:val="0"/>
                <w:sz w:val="24"/>
                <w:szCs w:val="24"/>
                <w:highlight w:val="none"/>
              </w:rPr>
              <w:t>，根据《产业结构调整指导目录（</w:t>
            </w:r>
            <w:r>
              <w:rPr>
                <w:rFonts w:hint="eastAsia" w:ascii="宋体" w:hAnsi="宋体" w:eastAsia="宋体" w:cs="宋体"/>
                <w:color w:val="auto"/>
                <w:spacing w:val="0"/>
                <w:sz w:val="24"/>
                <w:szCs w:val="24"/>
                <w:highlight w:val="none"/>
                <w:lang w:val="en-US" w:eastAsia="zh-CN"/>
              </w:rPr>
              <w:t>2024</w:t>
            </w:r>
            <w:r>
              <w:rPr>
                <w:rFonts w:hint="eastAsia" w:ascii="宋体" w:hAnsi="宋体" w:eastAsia="宋体" w:cs="宋体"/>
                <w:color w:val="auto"/>
                <w:spacing w:val="0"/>
                <w:sz w:val="24"/>
                <w:szCs w:val="24"/>
                <w:highlight w:val="none"/>
              </w:rPr>
              <w:t>年本）》，本项目不属于鼓励类、淘汰类和限制类，</w:t>
            </w:r>
            <w:r>
              <w:rPr>
                <w:rFonts w:hint="eastAsia" w:cs="宋体"/>
                <w:color w:val="auto"/>
                <w:spacing w:val="0"/>
                <w:sz w:val="24"/>
                <w:szCs w:val="24"/>
                <w:highlight w:val="none"/>
                <w:lang w:val="en-US" w:eastAsia="zh-CN"/>
              </w:rPr>
              <w:t>目录中明确：“</w:t>
            </w:r>
            <w:r>
              <w:rPr>
                <w:rFonts w:hint="eastAsia" w:ascii="宋体" w:hAnsi="宋体" w:eastAsia="宋体" w:cs="宋体"/>
                <w:color w:val="auto"/>
                <w:spacing w:val="0"/>
                <w:sz w:val="24"/>
                <w:szCs w:val="24"/>
                <w:highlight w:val="none"/>
              </w:rPr>
              <w:t>鼓励类、限制类和淘汰类之外的，且符合国家有关法律、法规</w:t>
            </w:r>
            <w:r>
              <w:rPr>
                <w:rFonts w:hint="eastAsia" w:cs="宋体"/>
                <w:color w:val="auto"/>
                <w:spacing w:val="0"/>
                <w:sz w:val="24"/>
                <w:szCs w:val="24"/>
                <w:highlight w:val="none"/>
                <w:lang w:val="en-US" w:eastAsia="zh-CN"/>
              </w:rPr>
              <w:t>和</w:t>
            </w:r>
            <w:r>
              <w:rPr>
                <w:rFonts w:hint="eastAsia" w:ascii="宋体" w:hAnsi="宋体" w:eastAsia="宋体" w:cs="宋体"/>
                <w:color w:val="auto"/>
                <w:spacing w:val="0"/>
                <w:sz w:val="24"/>
                <w:szCs w:val="24"/>
                <w:highlight w:val="none"/>
              </w:rPr>
              <w:t>政策规定的属于允许类</w:t>
            </w:r>
            <w:r>
              <w:rPr>
                <w:rFonts w:hint="eastAsia" w:cs="宋体"/>
                <w:color w:val="auto"/>
                <w:spacing w:val="0"/>
                <w:sz w:val="24"/>
                <w:szCs w:val="24"/>
                <w:highlight w:val="none"/>
                <w:lang w:val="en-US" w:eastAsia="zh-CN"/>
              </w:rPr>
              <w:t>”</w:t>
            </w:r>
            <w:r>
              <w:rPr>
                <w:rFonts w:hint="eastAsia" w:cs="宋体"/>
                <w:color w:val="auto"/>
                <w:spacing w:val="0"/>
                <w:sz w:val="24"/>
                <w:szCs w:val="24"/>
                <w:highlight w:val="none"/>
                <w:lang w:eastAsia="zh-CN"/>
              </w:rPr>
              <w:t>。</w:t>
            </w:r>
            <w:r>
              <w:rPr>
                <w:rFonts w:hint="eastAsia" w:cs="宋体"/>
                <w:color w:val="auto"/>
                <w:spacing w:val="0"/>
                <w:sz w:val="24"/>
                <w:szCs w:val="24"/>
                <w:highlight w:val="none"/>
                <w:lang w:val="en-US" w:eastAsia="zh-CN"/>
              </w:rPr>
              <w:t>本项目为允许类项目，</w:t>
            </w:r>
            <w:r>
              <w:rPr>
                <w:rFonts w:hint="eastAsia" w:ascii="宋体" w:hAnsi="宋体" w:eastAsia="宋体" w:cs="宋体"/>
                <w:color w:val="auto"/>
                <w:spacing w:val="0"/>
                <w:sz w:val="24"/>
                <w:szCs w:val="24"/>
                <w:highlight w:val="none"/>
              </w:rPr>
              <w:t>符合国家产业政策的要求。</w:t>
            </w:r>
          </w:p>
          <w:p w14:paraId="4C29829B">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eastAsia" w:ascii="宋体" w:hAnsi="宋体" w:eastAsia="宋体" w:cs="宋体"/>
                <w:b/>
                <w:bCs w:val="0"/>
                <w:color w:val="auto"/>
                <w:spacing w:val="0"/>
                <w:sz w:val="24"/>
                <w:szCs w:val="24"/>
                <w:highlight w:val="none"/>
              </w:rPr>
            </w:pPr>
            <w:r>
              <w:rPr>
                <w:rFonts w:hint="eastAsia" w:ascii="宋体" w:hAnsi="宋体" w:eastAsia="宋体" w:cs="宋体"/>
                <w:b/>
                <w:bCs w:val="0"/>
                <w:color w:val="auto"/>
                <w:spacing w:val="0"/>
                <w:sz w:val="24"/>
                <w:szCs w:val="24"/>
                <w:highlight w:val="none"/>
                <w:lang w:val="en-US" w:eastAsia="zh-CN"/>
              </w:rPr>
              <w:t>2.</w:t>
            </w:r>
            <w:r>
              <w:rPr>
                <w:rFonts w:hint="eastAsia" w:cs="宋体"/>
                <w:b/>
                <w:bCs w:val="0"/>
                <w:color w:val="auto"/>
                <w:spacing w:val="0"/>
                <w:sz w:val="24"/>
                <w:szCs w:val="24"/>
                <w:highlight w:val="none"/>
                <w:lang w:val="en-US" w:eastAsia="zh-CN"/>
              </w:rPr>
              <w:t>12</w:t>
            </w:r>
            <w:r>
              <w:rPr>
                <w:rFonts w:hint="eastAsia" w:ascii="宋体" w:hAnsi="宋体" w:eastAsia="宋体" w:cs="宋体"/>
                <w:b/>
                <w:bCs w:val="0"/>
                <w:color w:val="auto"/>
                <w:spacing w:val="0"/>
                <w:sz w:val="24"/>
                <w:szCs w:val="24"/>
                <w:highlight w:val="none"/>
              </w:rPr>
              <w:t>选址合理性分析</w:t>
            </w:r>
          </w:p>
          <w:p w14:paraId="50AF83B0">
            <w:pPr>
              <w:pStyle w:val="13"/>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宋体" w:hAnsi="宋体" w:eastAsia="宋体" w:cs="宋体"/>
                <w:bCs/>
                <w:color w:val="auto"/>
                <w:spacing w:val="0"/>
                <w:kern w:val="2"/>
                <w:sz w:val="24"/>
                <w:szCs w:val="24"/>
                <w:highlight w:val="none"/>
                <w:lang w:val="en-US" w:eastAsia="zh-CN" w:bidi="ar-SA"/>
              </w:rPr>
            </w:pPr>
            <w:r>
              <w:rPr>
                <w:rFonts w:hint="eastAsia" w:ascii="宋体" w:hAnsi="宋体" w:eastAsia="宋体" w:cs="宋体"/>
                <w:color w:val="auto"/>
                <w:spacing w:val="0"/>
                <w:sz w:val="24"/>
                <w:szCs w:val="28"/>
                <w:highlight w:val="none"/>
              </w:rPr>
              <w:t>（</w:t>
            </w:r>
            <w:r>
              <w:rPr>
                <w:rFonts w:hint="eastAsia" w:ascii="宋体" w:hAnsi="宋体" w:eastAsia="宋体" w:cs="宋体"/>
                <w:bCs/>
                <w:color w:val="auto"/>
                <w:spacing w:val="0"/>
                <w:kern w:val="2"/>
                <w:sz w:val="24"/>
                <w:szCs w:val="24"/>
                <w:highlight w:val="none"/>
                <w:lang w:val="en-US" w:eastAsia="zh-CN" w:bidi="ar-SA"/>
              </w:rPr>
              <w:t>1）用地相符性</w:t>
            </w:r>
          </w:p>
          <w:p w14:paraId="533E84B9">
            <w:pPr>
              <w:pStyle w:val="13"/>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宋体" w:hAnsi="宋体" w:eastAsia="宋体" w:cs="宋体"/>
                <w:bCs/>
                <w:color w:val="auto"/>
                <w:spacing w:val="0"/>
                <w:kern w:val="2"/>
                <w:sz w:val="24"/>
                <w:szCs w:val="24"/>
                <w:highlight w:val="none"/>
                <w:lang w:val="en-US" w:eastAsia="zh-CN" w:bidi="ar-SA"/>
              </w:rPr>
            </w:pPr>
            <w:r>
              <w:rPr>
                <w:rFonts w:hint="eastAsia" w:ascii="宋体" w:hAnsi="宋体" w:eastAsia="宋体" w:cs="宋体"/>
                <w:bCs/>
                <w:color w:val="auto"/>
                <w:spacing w:val="0"/>
                <w:kern w:val="2"/>
                <w:sz w:val="24"/>
                <w:szCs w:val="24"/>
                <w:highlight w:val="none"/>
                <w:lang w:val="en-US" w:eastAsia="zh-CN" w:bidi="ar-SA"/>
              </w:rPr>
              <w:t>根据国土资源部、国家发展和改革委员会2012年5月30日发布的“关于发布实施《限制用地项目目录（2012年本）》和《禁止用地项目目录（2012年本）》的通知”中规定，各级国土资源管理部门和投资管理部门一律不得办理相关手续；凡列入《限制用地项目目录（2012年本）》的建设项目，必须符合目录规定条件，各级国土资源管理部门和投资管理部门方可办理相关手续。按照国务院批准的《产业结构调整指导目录（2024年本）》，凡采用明令淘汰的落后工艺技术、装备或者生产明令淘汰产品的建设项目，各级国土资源管理部门和投资管理部门一律不得办理相关手续。</w:t>
            </w:r>
          </w:p>
          <w:p w14:paraId="3EEBF736">
            <w:pPr>
              <w:pStyle w:val="13"/>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宋体" w:hAnsi="宋体" w:eastAsia="宋体" w:cs="宋体"/>
                <w:bCs/>
                <w:color w:val="auto"/>
                <w:spacing w:val="0"/>
                <w:kern w:val="2"/>
                <w:sz w:val="24"/>
                <w:szCs w:val="24"/>
                <w:highlight w:val="none"/>
                <w:lang w:val="en-US" w:eastAsia="zh-CN" w:bidi="ar-SA"/>
              </w:rPr>
            </w:pPr>
            <w:r>
              <w:rPr>
                <w:rFonts w:hint="eastAsia" w:ascii="宋体" w:hAnsi="宋体" w:eastAsia="宋体" w:cs="宋体"/>
                <w:bCs/>
                <w:color w:val="auto"/>
                <w:spacing w:val="0"/>
                <w:kern w:val="2"/>
                <w:sz w:val="24"/>
                <w:szCs w:val="24"/>
                <w:highlight w:val="none"/>
                <w:lang w:val="en-US" w:eastAsia="zh-CN" w:bidi="ar-SA"/>
              </w:rPr>
              <w:t>本项目建设地点位于</w:t>
            </w:r>
            <w:r>
              <w:rPr>
                <w:rFonts w:hint="eastAsia" w:ascii="宋体" w:hAnsi="宋体" w:cs="宋体"/>
                <w:bCs/>
                <w:color w:val="auto"/>
                <w:spacing w:val="0"/>
                <w:kern w:val="2"/>
                <w:sz w:val="24"/>
                <w:szCs w:val="24"/>
                <w:highlight w:val="none"/>
                <w:lang w:val="en-US" w:eastAsia="zh-CN" w:bidi="ar-SA"/>
              </w:rPr>
              <w:t>黑龙江鸡西经济开发区梨树工业谷黑龙江省燎泰新材料科技有限公司院内（原碱场社区026乡道与006乡道之间A-03-a-1-1地块）</w:t>
            </w:r>
            <w:r>
              <w:rPr>
                <w:rFonts w:hint="eastAsia" w:ascii="宋体" w:hAnsi="宋体" w:eastAsia="宋体" w:cs="宋体"/>
                <w:bCs/>
                <w:color w:val="auto"/>
                <w:spacing w:val="0"/>
                <w:kern w:val="2"/>
                <w:sz w:val="24"/>
                <w:szCs w:val="24"/>
                <w:highlight w:val="none"/>
                <w:lang w:val="en-US" w:eastAsia="zh-CN" w:bidi="ar-SA"/>
              </w:rPr>
              <w:t>。</w:t>
            </w:r>
            <w:r>
              <w:rPr>
                <w:rFonts w:hint="eastAsia"/>
                <w:color w:val="auto"/>
                <w:sz w:val="24"/>
                <w:highlight w:val="none"/>
                <w:lang w:val="en-US" w:eastAsia="zh-CN"/>
              </w:rPr>
              <w:t>不新增用地面积。</w:t>
            </w:r>
            <w:r>
              <w:rPr>
                <w:rFonts w:hint="eastAsia" w:ascii="宋体" w:hAnsi="宋体" w:eastAsia="宋体" w:cs="宋体"/>
                <w:bCs/>
                <w:color w:val="auto"/>
                <w:spacing w:val="0"/>
                <w:kern w:val="2"/>
                <w:sz w:val="24"/>
                <w:szCs w:val="24"/>
                <w:highlight w:val="none"/>
                <w:lang w:val="en-US" w:eastAsia="zh-CN" w:bidi="ar-SA"/>
              </w:rPr>
              <w:t>根据《产业结构调整指导目录（2024年本）》，本项目不属于鼓励类、限制类、淘汰类建设项目，属于允许类项目；本项目建设土地类型为工业用地。本项目不属于《限制用地项目目录（2012年本）》和《禁止用地项目目录（2012年本）》中的限制用地、禁止用地项目，符合土地政策要求。</w:t>
            </w:r>
          </w:p>
          <w:p w14:paraId="29EFDCFA">
            <w:pPr>
              <w:pStyle w:val="13"/>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宋体" w:hAnsi="宋体" w:eastAsia="宋体" w:cs="宋体"/>
                <w:bCs/>
                <w:color w:val="auto"/>
                <w:spacing w:val="0"/>
                <w:kern w:val="2"/>
                <w:sz w:val="24"/>
                <w:szCs w:val="24"/>
                <w:highlight w:val="none"/>
                <w:lang w:val="en-US" w:eastAsia="zh-CN" w:bidi="ar-SA"/>
              </w:rPr>
            </w:pPr>
            <w:r>
              <w:rPr>
                <w:rFonts w:hint="eastAsia" w:ascii="宋体" w:hAnsi="宋体" w:eastAsia="宋体" w:cs="宋体"/>
                <w:bCs/>
                <w:color w:val="auto"/>
                <w:spacing w:val="0"/>
                <w:kern w:val="2"/>
                <w:sz w:val="24"/>
                <w:szCs w:val="24"/>
                <w:highlight w:val="none"/>
                <w:lang w:val="en-US" w:eastAsia="zh-CN" w:bidi="ar-SA"/>
              </w:rPr>
              <w:t>（2）环境相容性</w:t>
            </w:r>
          </w:p>
          <w:p w14:paraId="43D0AC46">
            <w:pPr>
              <w:pStyle w:val="13"/>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宋体" w:hAnsi="宋体" w:eastAsia="宋体" w:cs="宋体"/>
                <w:bCs/>
                <w:color w:val="auto"/>
                <w:spacing w:val="0"/>
                <w:kern w:val="2"/>
                <w:sz w:val="24"/>
                <w:szCs w:val="24"/>
                <w:highlight w:val="none"/>
                <w:lang w:val="en-US" w:eastAsia="zh-CN" w:bidi="ar-SA"/>
              </w:rPr>
            </w:pPr>
            <w:r>
              <w:rPr>
                <w:rFonts w:hint="eastAsia" w:ascii="宋体" w:hAnsi="宋体" w:eastAsia="宋体" w:cs="宋体"/>
                <w:bCs/>
                <w:color w:val="auto"/>
                <w:spacing w:val="0"/>
                <w:kern w:val="2"/>
                <w:sz w:val="24"/>
                <w:szCs w:val="24"/>
                <w:highlight w:val="none"/>
                <w:lang w:val="en-US" w:eastAsia="zh-CN" w:bidi="ar-SA"/>
              </w:rPr>
              <w:t>项目运营期产生的废气主要作为</w:t>
            </w:r>
            <w:r>
              <w:rPr>
                <w:rFonts w:hint="eastAsia" w:ascii="宋体" w:hAnsi="宋体" w:eastAsia="宋体" w:cs="宋体"/>
                <w:color w:val="auto"/>
                <w:spacing w:val="0"/>
                <w:sz w:val="24"/>
                <w:szCs w:val="24"/>
                <w:highlight w:val="none"/>
                <w:lang w:val="en-US" w:eastAsia="zh-CN"/>
              </w:rPr>
              <w:t>锅炉产生</w:t>
            </w:r>
            <w:r>
              <w:rPr>
                <w:rFonts w:hint="eastAsia" w:ascii="宋体" w:hAnsi="宋体" w:eastAsia="宋体" w:cs="宋体"/>
                <w:color w:val="auto"/>
                <w:spacing w:val="0"/>
                <w:sz w:val="24"/>
                <w:highlight w:val="none"/>
                <w:lang w:val="en-US" w:eastAsia="zh-CN"/>
              </w:rPr>
              <w:t>颗粒物、二氧化硫、氮氧化物、烟气黑度</w:t>
            </w:r>
            <w:r>
              <w:rPr>
                <w:rFonts w:hint="eastAsia" w:ascii="宋体" w:hAnsi="宋体" w:cs="宋体"/>
                <w:color w:val="auto"/>
                <w:spacing w:val="0"/>
                <w:sz w:val="24"/>
                <w:highlight w:val="none"/>
                <w:lang w:val="en-US" w:eastAsia="zh-CN"/>
              </w:rPr>
              <w:t>、汞及其化合物</w:t>
            </w:r>
            <w:r>
              <w:rPr>
                <w:rFonts w:hint="eastAsia" w:ascii="宋体" w:hAnsi="宋体" w:eastAsia="宋体" w:cs="宋体"/>
                <w:color w:val="auto"/>
                <w:spacing w:val="0"/>
                <w:sz w:val="24"/>
                <w:szCs w:val="24"/>
                <w:highlight w:val="none"/>
                <w:lang w:val="en-US" w:eastAsia="zh-CN"/>
              </w:rPr>
              <w:t>。废气经由</w:t>
            </w:r>
            <w:r>
              <w:rPr>
                <w:rFonts w:hint="eastAsia" w:ascii="宋体" w:hAnsi="宋体" w:cs="宋体"/>
                <w:color w:val="auto"/>
                <w:spacing w:val="0"/>
                <w:sz w:val="24"/>
                <w:szCs w:val="24"/>
                <w:highlight w:val="none"/>
                <w:lang w:val="en-US" w:eastAsia="zh-CN"/>
              </w:rPr>
              <w:t>1</w:t>
            </w:r>
            <w:r>
              <w:rPr>
                <w:rFonts w:hint="eastAsia" w:ascii="宋体" w:hAnsi="宋体" w:eastAsia="宋体" w:cs="宋体"/>
                <w:color w:val="auto"/>
                <w:spacing w:val="0"/>
                <w:sz w:val="24"/>
                <w:szCs w:val="24"/>
                <w:highlight w:val="none"/>
                <w:lang w:val="en-US" w:eastAsia="zh-CN"/>
              </w:rPr>
              <w:t>根</w:t>
            </w:r>
            <w:r>
              <w:rPr>
                <w:rFonts w:hint="eastAsia" w:ascii="宋体" w:hAnsi="宋体" w:cs="宋体"/>
                <w:color w:val="auto"/>
                <w:spacing w:val="0"/>
                <w:sz w:val="24"/>
                <w:szCs w:val="24"/>
                <w:highlight w:val="none"/>
                <w:lang w:val="en-US" w:eastAsia="zh-CN"/>
              </w:rPr>
              <w:t>35</w:t>
            </w:r>
            <w:r>
              <w:rPr>
                <w:rFonts w:hint="eastAsia" w:ascii="宋体" w:hAnsi="宋体" w:eastAsia="宋体" w:cs="宋体"/>
                <w:color w:val="auto"/>
                <w:spacing w:val="0"/>
                <w:sz w:val="24"/>
                <w:szCs w:val="24"/>
                <w:highlight w:val="none"/>
                <w:lang w:eastAsia="zh-CN"/>
              </w:rPr>
              <w:t>m高</w:t>
            </w:r>
            <w:r>
              <w:rPr>
                <w:rFonts w:hint="eastAsia" w:ascii="宋体" w:hAnsi="宋体" w:eastAsia="宋体" w:cs="宋体"/>
                <w:color w:val="auto"/>
                <w:spacing w:val="0"/>
                <w:sz w:val="24"/>
                <w:szCs w:val="24"/>
                <w:highlight w:val="none"/>
                <w:lang w:val="en-US" w:eastAsia="zh-CN"/>
              </w:rPr>
              <w:t>烟囱</w:t>
            </w:r>
            <w:r>
              <w:rPr>
                <w:rFonts w:hint="eastAsia" w:ascii="宋体" w:hAnsi="宋体" w:cs="宋体"/>
                <w:color w:val="auto"/>
                <w:spacing w:val="0"/>
                <w:sz w:val="24"/>
                <w:szCs w:val="24"/>
                <w:highlight w:val="none"/>
                <w:lang w:val="en-US" w:eastAsia="zh-CN"/>
              </w:rPr>
              <w:t>DA010</w:t>
            </w:r>
            <w:r>
              <w:rPr>
                <w:rFonts w:hint="eastAsia" w:ascii="宋体" w:hAnsi="宋体" w:eastAsia="宋体" w:cs="宋体"/>
                <w:color w:val="auto"/>
                <w:spacing w:val="0"/>
                <w:sz w:val="24"/>
                <w:szCs w:val="24"/>
                <w:highlight w:val="none"/>
                <w:lang w:val="en-US" w:eastAsia="zh-CN"/>
              </w:rPr>
              <w:t>有组织</w:t>
            </w:r>
            <w:r>
              <w:rPr>
                <w:rFonts w:hint="eastAsia" w:ascii="宋体" w:hAnsi="宋体" w:eastAsia="宋体" w:cs="宋体"/>
                <w:color w:val="auto"/>
                <w:spacing w:val="0"/>
                <w:sz w:val="24"/>
                <w:szCs w:val="24"/>
                <w:highlight w:val="none"/>
              </w:rPr>
              <w:t>排放</w:t>
            </w:r>
            <w:r>
              <w:rPr>
                <w:rFonts w:hint="eastAsia" w:ascii="宋体" w:hAnsi="宋体" w:eastAsia="宋体" w:cs="宋体"/>
                <w:color w:val="auto"/>
                <w:spacing w:val="0"/>
                <w:sz w:val="24"/>
                <w:szCs w:val="24"/>
                <w:highlight w:val="none"/>
                <w:lang w:eastAsia="zh-CN"/>
              </w:rPr>
              <w:t>；</w:t>
            </w:r>
            <w:r>
              <w:rPr>
                <w:rFonts w:hint="eastAsia" w:ascii="宋体" w:hAnsi="宋体" w:eastAsia="宋体" w:cs="宋体"/>
                <w:color w:val="auto"/>
                <w:spacing w:val="0"/>
                <w:sz w:val="24"/>
                <w:szCs w:val="24"/>
                <w:highlight w:val="none"/>
                <w:lang w:val="en-US" w:eastAsia="zh-CN"/>
              </w:rPr>
              <w:t>废气排放满足</w:t>
            </w:r>
            <w:r>
              <w:rPr>
                <w:rFonts w:hint="eastAsia" w:ascii="宋体" w:hAnsi="宋体" w:eastAsia="宋体" w:cs="宋体"/>
                <w:color w:val="auto"/>
                <w:spacing w:val="0"/>
                <w:sz w:val="24"/>
                <w:highlight w:val="none"/>
              </w:rPr>
              <w:t>《</w:t>
            </w:r>
            <w:r>
              <w:rPr>
                <w:rFonts w:hint="eastAsia" w:ascii="宋体" w:hAnsi="宋体" w:eastAsia="宋体" w:cs="宋体"/>
                <w:color w:val="auto"/>
                <w:spacing w:val="0"/>
                <w:sz w:val="24"/>
                <w:highlight w:val="none"/>
                <w:lang w:val="en-US" w:eastAsia="zh-CN"/>
              </w:rPr>
              <w:t>锅炉大气污染物排放标准</w:t>
            </w:r>
            <w:r>
              <w:rPr>
                <w:rFonts w:hint="eastAsia" w:ascii="宋体" w:hAnsi="宋体" w:eastAsia="宋体" w:cs="宋体"/>
                <w:color w:val="auto"/>
                <w:spacing w:val="0"/>
                <w:sz w:val="24"/>
                <w:highlight w:val="none"/>
              </w:rPr>
              <w:t>》（GB</w:t>
            </w:r>
            <w:r>
              <w:rPr>
                <w:rFonts w:hint="eastAsia" w:ascii="宋体" w:hAnsi="宋体" w:eastAsia="宋体" w:cs="宋体"/>
                <w:color w:val="auto"/>
                <w:spacing w:val="0"/>
                <w:sz w:val="24"/>
                <w:highlight w:val="none"/>
                <w:lang w:val="en-US" w:eastAsia="zh-CN"/>
              </w:rPr>
              <w:t>13271</w:t>
            </w:r>
            <w:r>
              <w:rPr>
                <w:rFonts w:hint="eastAsia" w:ascii="宋体" w:hAnsi="宋体" w:eastAsia="宋体" w:cs="宋体"/>
                <w:color w:val="auto"/>
                <w:spacing w:val="0"/>
                <w:sz w:val="24"/>
                <w:highlight w:val="none"/>
              </w:rPr>
              <w:t>-</w:t>
            </w:r>
            <w:r>
              <w:rPr>
                <w:rFonts w:hint="eastAsia" w:ascii="宋体" w:hAnsi="宋体" w:eastAsia="宋体" w:cs="宋体"/>
                <w:color w:val="auto"/>
                <w:spacing w:val="0"/>
                <w:sz w:val="24"/>
                <w:highlight w:val="none"/>
                <w:lang w:val="en-US" w:eastAsia="zh-CN"/>
              </w:rPr>
              <w:t>2014</w:t>
            </w:r>
            <w:r>
              <w:rPr>
                <w:rFonts w:hint="eastAsia" w:ascii="宋体" w:hAnsi="宋体" w:eastAsia="宋体" w:cs="宋体"/>
                <w:color w:val="auto"/>
                <w:spacing w:val="0"/>
                <w:sz w:val="24"/>
                <w:highlight w:val="none"/>
              </w:rPr>
              <w:t>）表</w:t>
            </w:r>
            <w:r>
              <w:rPr>
                <w:rFonts w:hint="eastAsia" w:ascii="宋体" w:hAnsi="宋体" w:eastAsia="宋体" w:cs="宋体"/>
                <w:color w:val="auto"/>
                <w:spacing w:val="0"/>
                <w:sz w:val="24"/>
                <w:highlight w:val="none"/>
                <w:lang w:val="en-US" w:eastAsia="zh-CN"/>
              </w:rPr>
              <w:t>2</w:t>
            </w:r>
            <w:r>
              <w:rPr>
                <w:rFonts w:hint="eastAsia" w:ascii="宋体" w:hAnsi="宋体" w:eastAsia="宋体" w:cs="宋体"/>
                <w:color w:val="auto"/>
                <w:spacing w:val="0"/>
                <w:sz w:val="24"/>
                <w:highlight w:val="none"/>
              </w:rPr>
              <w:t>中</w:t>
            </w:r>
            <w:r>
              <w:rPr>
                <w:rFonts w:hint="eastAsia" w:ascii="宋体" w:hAnsi="宋体" w:eastAsia="宋体" w:cs="宋体"/>
                <w:color w:val="auto"/>
                <w:spacing w:val="0"/>
                <w:sz w:val="24"/>
                <w:highlight w:val="none"/>
                <w:lang w:val="en-US" w:eastAsia="zh-CN"/>
              </w:rPr>
              <w:t>排放限值，</w:t>
            </w:r>
            <w:r>
              <w:rPr>
                <w:rFonts w:hint="eastAsia" w:ascii="宋体" w:hAnsi="宋体" w:eastAsia="宋体" w:cs="宋体"/>
                <w:bCs/>
                <w:color w:val="auto"/>
                <w:spacing w:val="0"/>
                <w:kern w:val="2"/>
                <w:sz w:val="24"/>
                <w:szCs w:val="24"/>
                <w:highlight w:val="none"/>
                <w:lang w:val="en-US" w:eastAsia="zh-CN" w:bidi="ar-SA"/>
              </w:rPr>
              <w:t>对大气环境造成影响较小；</w:t>
            </w:r>
            <w:r>
              <w:rPr>
                <w:rFonts w:hint="eastAsia" w:ascii="宋体" w:hAnsi="宋体" w:eastAsia="宋体" w:cs="宋体"/>
                <w:color w:val="auto"/>
                <w:spacing w:val="0"/>
                <w:sz w:val="24"/>
                <w:szCs w:val="24"/>
                <w:highlight w:val="none"/>
                <w:lang w:val="en-US"/>
              </w:rPr>
              <w:t>本项目建成后</w:t>
            </w:r>
            <w:r>
              <w:rPr>
                <w:rFonts w:hint="eastAsia" w:ascii="宋体" w:hAnsi="宋体" w:eastAsia="宋体" w:cs="宋体"/>
                <w:color w:val="auto"/>
                <w:spacing w:val="0"/>
                <w:sz w:val="24"/>
                <w:szCs w:val="24"/>
                <w:highlight w:val="none"/>
                <w:lang w:val="en-US" w:eastAsia="zh-CN"/>
              </w:rPr>
              <w:t>外排</w:t>
            </w:r>
            <w:r>
              <w:rPr>
                <w:rFonts w:hint="eastAsia" w:ascii="宋体" w:hAnsi="宋体" w:eastAsia="宋体" w:cs="宋体"/>
                <w:color w:val="auto"/>
                <w:spacing w:val="0"/>
                <w:sz w:val="24"/>
                <w:szCs w:val="24"/>
                <w:highlight w:val="none"/>
                <w:lang w:val="en-US"/>
              </w:rPr>
              <w:t>废水主要是</w:t>
            </w:r>
            <w:r>
              <w:rPr>
                <w:rFonts w:hint="eastAsia" w:ascii="宋体" w:hAnsi="宋体" w:eastAsia="宋体" w:cs="宋体"/>
                <w:color w:val="auto"/>
                <w:spacing w:val="0"/>
                <w:sz w:val="24"/>
                <w:szCs w:val="24"/>
                <w:highlight w:val="none"/>
                <w:lang w:val="en-US" w:eastAsia="zh-CN"/>
              </w:rPr>
              <w:t>锅炉排污水</w:t>
            </w:r>
            <w:r>
              <w:rPr>
                <w:rFonts w:hint="eastAsia" w:ascii="宋体" w:hAnsi="宋体" w:cs="宋体"/>
                <w:color w:val="auto"/>
                <w:spacing w:val="0"/>
                <w:sz w:val="24"/>
                <w:szCs w:val="24"/>
                <w:highlight w:val="none"/>
                <w:lang w:val="en-US" w:eastAsia="zh-CN"/>
              </w:rPr>
              <w:t>和软水制备废水</w:t>
            </w:r>
            <w:r>
              <w:rPr>
                <w:rFonts w:hint="eastAsia" w:ascii="宋体" w:hAnsi="宋体" w:eastAsia="宋体" w:cs="宋体"/>
                <w:color w:val="auto"/>
                <w:spacing w:val="0"/>
                <w:sz w:val="24"/>
                <w:szCs w:val="24"/>
                <w:highlight w:val="none"/>
                <w:lang w:val="en-US" w:eastAsia="zh-CN"/>
              </w:rPr>
              <w:t>。</w:t>
            </w:r>
            <w:r>
              <w:rPr>
                <w:rFonts w:hint="eastAsia" w:ascii="宋体" w:hAnsi="宋体" w:eastAsia="宋体" w:cs="宋体"/>
                <w:bCs/>
                <w:color w:val="auto"/>
                <w:spacing w:val="0"/>
                <w:sz w:val="24"/>
                <w:szCs w:val="24"/>
                <w:highlight w:val="none"/>
                <w:lang w:val="en-US" w:eastAsia="zh-CN"/>
              </w:rPr>
              <w:t>污水排入污水管网，最终进入</w:t>
            </w:r>
            <w:r>
              <w:rPr>
                <w:rFonts w:hint="eastAsia" w:ascii="宋体" w:hAnsi="宋体" w:cs="宋体"/>
                <w:bCs/>
                <w:color w:val="auto"/>
                <w:spacing w:val="0"/>
                <w:sz w:val="24"/>
                <w:szCs w:val="24"/>
                <w:highlight w:val="none"/>
                <w:lang w:val="en-US" w:eastAsia="zh-CN"/>
              </w:rPr>
              <w:t>梨树工业谷污水处理厂</w:t>
            </w:r>
            <w:r>
              <w:rPr>
                <w:rFonts w:hint="eastAsia" w:ascii="宋体" w:hAnsi="宋体" w:eastAsia="宋体" w:cs="宋体"/>
                <w:bCs/>
                <w:color w:val="auto"/>
                <w:spacing w:val="0"/>
                <w:sz w:val="24"/>
                <w:szCs w:val="24"/>
                <w:highlight w:val="none"/>
                <w:lang w:val="en-US" w:eastAsia="zh-CN"/>
              </w:rPr>
              <w:t>集中处理</w:t>
            </w:r>
            <w:r>
              <w:rPr>
                <w:rFonts w:hint="eastAsia" w:ascii="宋体" w:hAnsi="宋体" w:eastAsia="宋体" w:cs="宋体"/>
                <w:color w:val="auto"/>
                <w:spacing w:val="0"/>
                <w:sz w:val="24"/>
                <w:szCs w:val="24"/>
                <w:highlight w:val="none"/>
                <w:lang w:val="en-US" w:eastAsia="zh-CN"/>
              </w:rPr>
              <w:t>。</w:t>
            </w:r>
            <w:r>
              <w:rPr>
                <w:rFonts w:hint="eastAsia" w:ascii="宋体" w:hAnsi="宋体" w:eastAsia="宋体" w:cs="宋体"/>
                <w:bCs/>
                <w:color w:val="auto"/>
                <w:spacing w:val="0"/>
                <w:kern w:val="2"/>
                <w:sz w:val="24"/>
                <w:szCs w:val="24"/>
                <w:highlight w:val="none"/>
                <w:lang w:val="en-US" w:eastAsia="zh-CN" w:bidi="ar-SA"/>
              </w:rPr>
              <w:t>本项目噪声主要来自锅炉运转过程产生的噪声，通过基础减振、</w:t>
            </w:r>
            <w:r>
              <w:rPr>
                <w:rFonts w:hint="eastAsia" w:ascii="宋体" w:hAnsi="宋体" w:cs="宋体"/>
                <w:bCs/>
                <w:color w:val="auto"/>
                <w:spacing w:val="0"/>
                <w:kern w:val="2"/>
                <w:sz w:val="24"/>
                <w:szCs w:val="24"/>
                <w:highlight w:val="none"/>
                <w:lang w:val="en-US" w:eastAsia="zh-CN" w:bidi="ar-SA"/>
              </w:rPr>
              <w:t>厂房隔声</w:t>
            </w:r>
            <w:r>
              <w:rPr>
                <w:rFonts w:hint="eastAsia" w:ascii="宋体" w:hAnsi="宋体" w:eastAsia="宋体" w:cs="宋体"/>
                <w:bCs/>
                <w:color w:val="auto"/>
                <w:spacing w:val="0"/>
                <w:kern w:val="2"/>
                <w:sz w:val="24"/>
                <w:szCs w:val="24"/>
                <w:highlight w:val="none"/>
                <w:lang w:val="en-US" w:eastAsia="zh-CN" w:bidi="ar-SA"/>
              </w:rPr>
              <w:t>措施，能够满足《工业企业厂界环境噪声排放标准》（GB12348-2008）</w:t>
            </w:r>
            <w:r>
              <w:rPr>
                <w:rFonts w:hint="eastAsia" w:ascii="宋体" w:hAnsi="宋体" w:cs="宋体"/>
                <w:bCs/>
                <w:color w:val="auto"/>
                <w:spacing w:val="0"/>
                <w:kern w:val="2"/>
                <w:sz w:val="24"/>
                <w:szCs w:val="24"/>
                <w:highlight w:val="none"/>
                <w:lang w:val="en-US" w:eastAsia="zh-CN" w:bidi="ar-SA"/>
              </w:rPr>
              <w:t>3</w:t>
            </w:r>
            <w:r>
              <w:rPr>
                <w:rFonts w:hint="eastAsia" w:ascii="宋体" w:hAnsi="宋体" w:eastAsia="宋体" w:cs="宋体"/>
                <w:bCs/>
                <w:color w:val="auto"/>
                <w:spacing w:val="0"/>
                <w:kern w:val="2"/>
                <w:sz w:val="24"/>
                <w:szCs w:val="24"/>
                <w:highlight w:val="none"/>
                <w:lang w:val="en-US" w:eastAsia="zh-CN" w:bidi="ar-SA"/>
              </w:rPr>
              <w:t>类，对周围声环境质量影响较小；</w:t>
            </w:r>
            <w:r>
              <w:rPr>
                <w:rFonts w:hint="eastAsia" w:cs="宋体"/>
                <w:color w:val="auto"/>
                <w:spacing w:val="0"/>
                <w:sz w:val="24"/>
                <w:szCs w:val="24"/>
                <w:highlight w:val="none"/>
                <w:lang w:val="en-US" w:eastAsia="zh-CN"/>
              </w:rPr>
              <w:t>软水制备过程产生的离子交换树脂</w:t>
            </w:r>
            <w:r>
              <w:rPr>
                <w:rFonts w:hint="eastAsia" w:ascii="宋体" w:hAnsi="宋体" w:eastAsia="宋体" w:cs="宋体"/>
                <w:color w:val="auto"/>
                <w:spacing w:val="0"/>
                <w:sz w:val="24"/>
                <w:szCs w:val="24"/>
                <w:highlight w:val="none"/>
                <w:lang w:eastAsia="zh-CN"/>
              </w:rPr>
              <w:t>集中收集后</w:t>
            </w:r>
            <w:r>
              <w:rPr>
                <w:rFonts w:hint="eastAsia" w:cs="宋体"/>
                <w:color w:val="auto"/>
                <w:spacing w:val="0"/>
                <w:sz w:val="24"/>
                <w:szCs w:val="24"/>
                <w:highlight w:val="none"/>
                <w:lang w:val="en-US" w:eastAsia="zh-CN"/>
              </w:rPr>
              <w:t>交由厂家回收再生处理，锅炉灰渣外售综合利用</w:t>
            </w:r>
            <w:r>
              <w:rPr>
                <w:rFonts w:hint="eastAsia" w:ascii="宋体" w:hAnsi="宋体" w:eastAsia="宋体" w:cs="宋体"/>
                <w:bCs/>
                <w:color w:val="auto"/>
                <w:spacing w:val="0"/>
                <w:kern w:val="2"/>
                <w:sz w:val="24"/>
                <w:szCs w:val="24"/>
                <w:highlight w:val="none"/>
                <w:lang w:val="en-US" w:eastAsia="zh-CN" w:bidi="ar-SA"/>
              </w:rPr>
              <w:t>。项目建成后对周边环境的影响主要是废气、废水、固体废物以及噪声，采取污染防治措施后对周边环境影响较小。</w:t>
            </w:r>
          </w:p>
          <w:p w14:paraId="1743D63E">
            <w:pPr>
              <w:widowControl/>
              <w:spacing w:line="360" w:lineRule="auto"/>
              <w:ind w:firstLine="480" w:firstLineChars="200"/>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项目建设过程中产生的废气、废水、噪声、固废对周围环境将产生一定影响，但通过采取相应的环保措施可使该项目对环境的影响降低，项目的建设不会使环境功能发生改变。</w:t>
            </w:r>
          </w:p>
          <w:p w14:paraId="42DC37FA">
            <w:pPr>
              <w:ind w:left="0" w:leftChars="0" w:firstLine="480" w:firstLineChars="200"/>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highlight w:val="none"/>
              </w:rPr>
              <w:t>综上所述，项目选址可行。</w:t>
            </w:r>
          </w:p>
        </w:tc>
      </w:tr>
    </w:tbl>
    <w:p w14:paraId="59B5F18E">
      <w:pPr>
        <w:rPr>
          <w:rFonts w:hint="eastAsia" w:ascii="宋体" w:hAnsi="宋体" w:eastAsia="宋体" w:cs="宋体"/>
          <w:color w:val="auto"/>
          <w:spacing w:val="0"/>
          <w:highlight w:val="none"/>
        </w:rPr>
        <w:sectPr>
          <w:footerReference r:id="rId11"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start="1"/>
          <w:cols w:space="720" w:num="1"/>
          <w:docGrid w:linePitch="312" w:charSpace="0"/>
        </w:sectPr>
      </w:pPr>
    </w:p>
    <w:p w14:paraId="7B1C24A3">
      <w:pPr>
        <w:pStyle w:val="4"/>
        <w:spacing w:line="360" w:lineRule="auto"/>
        <w:jc w:val="center"/>
        <w:rPr>
          <w:rFonts w:hint="eastAsia" w:ascii="宋体" w:hAnsi="宋体" w:eastAsia="宋体" w:cs="宋体"/>
          <w:bCs w:val="0"/>
          <w:color w:val="auto"/>
          <w:spacing w:val="0"/>
          <w:highlight w:val="none"/>
        </w:rPr>
      </w:pPr>
      <w:bookmarkStart w:id="6" w:name="_Toc71191476"/>
      <w:bookmarkStart w:id="7" w:name="_Toc21995"/>
      <w:r>
        <w:rPr>
          <w:rFonts w:hint="eastAsia" w:ascii="宋体" w:hAnsi="宋体" w:eastAsia="宋体" w:cs="宋体"/>
          <w:bCs w:val="0"/>
          <w:color w:val="auto"/>
          <w:spacing w:val="0"/>
          <w:highlight w:val="none"/>
        </w:rPr>
        <w:t>二、建设项目工程分析</w:t>
      </w:r>
      <w:bookmarkEnd w:id="6"/>
      <w:bookmarkEnd w:id="7"/>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35"/>
        <w:gridCol w:w="7987"/>
      </w:tblGrid>
      <w:tr w14:paraId="07FAEE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535" w:type="dxa"/>
            <w:noWrap w:val="0"/>
            <w:vAlign w:val="center"/>
          </w:tcPr>
          <w:p w14:paraId="309B8DD1">
            <w:pPr>
              <w:pStyle w:val="33"/>
              <w:ind w:firstLine="0" w:firstLineChars="0"/>
              <w:jc w:val="center"/>
              <w:rPr>
                <w:rFonts w:hint="eastAsia" w:ascii="宋体" w:hAnsi="宋体" w:eastAsia="宋体" w:cs="宋体"/>
                <w:bCs/>
                <w:color w:val="auto"/>
                <w:spacing w:val="0"/>
                <w:sz w:val="21"/>
                <w:szCs w:val="21"/>
                <w:highlight w:val="none"/>
              </w:rPr>
            </w:pPr>
            <w:r>
              <w:rPr>
                <w:rFonts w:hint="eastAsia" w:ascii="宋体" w:hAnsi="宋体" w:eastAsia="宋体" w:cs="宋体"/>
                <w:bCs/>
                <w:color w:val="auto"/>
                <w:spacing w:val="0"/>
                <w:sz w:val="24"/>
                <w:szCs w:val="24"/>
                <w:highlight w:val="none"/>
              </w:rPr>
              <w:t>建设内容</w:t>
            </w:r>
          </w:p>
        </w:tc>
        <w:tc>
          <w:tcPr>
            <w:tcW w:w="7987" w:type="dxa"/>
            <w:noWrap w:val="0"/>
            <w:vAlign w:val="top"/>
          </w:tcPr>
          <w:p w14:paraId="2221E135">
            <w:pPr>
              <w:numPr>
                <w:ilvl w:val="0"/>
                <w:numId w:val="5"/>
              </w:num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ascii="宋体" w:hAnsi="宋体" w:eastAsia="宋体" w:cs="宋体"/>
                <w:b/>
                <w:bCs w:val="0"/>
                <w:color w:val="auto"/>
                <w:spacing w:val="0"/>
                <w:sz w:val="24"/>
                <w:szCs w:val="24"/>
                <w:highlight w:val="none"/>
                <w:lang w:val="en-US" w:eastAsia="zh-CN"/>
              </w:rPr>
              <w:t>项目</w:t>
            </w:r>
            <w:r>
              <w:rPr>
                <w:rFonts w:hint="eastAsia" w:cs="宋体"/>
                <w:b/>
                <w:bCs w:val="0"/>
                <w:color w:val="auto"/>
                <w:spacing w:val="0"/>
                <w:sz w:val="24"/>
                <w:szCs w:val="24"/>
                <w:highlight w:val="none"/>
                <w:lang w:val="en-US" w:eastAsia="zh-CN"/>
              </w:rPr>
              <w:t>由来</w:t>
            </w:r>
          </w:p>
          <w:p w14:paraId="4B63BB48">
            <w:pPr>
              <w:pStyle w:val="9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firstLine="480" w:firstLineChars="200"/>
              <w:textAlignment w:val="baseline"/>
              <w:rPr>
                <w:rFonts w:hint="default" w:ascii="宋体" w:hAnsi="宋体" w:eastAsia="宋体" w:cs="宋体"/>
                <w:color w:val="auto"/>
                <w:spacing w:val="0"/>
                <w:sz w:val="24"/>
                <w:szCs w:val="24"/>
                <w:highlight w:val="none"/>
                <w:lang w:val="en-US" w:eastAsia="zh-CN"/>
              </w:rPr>
            </w:pPr>
            <w:r>
              <w:rPr>
                <w:rFonts w:hint="eastAsia" w:ascii="宋体" w:hAnsi="宋体" w:cs="宋体"/>
                <w:bCs/>
                <w:color w:val="auto"/>
                <w:spacing w:val="0"/>
                <w:sz w:val="24"/>
                <w:szCs w:val="24"/>
                <w:highlight w:val="none"/>
                <w:shd w:val="clear"/>
                <w:lang w:eastAsia="zh-CN"/>
              </w:rPr>
              <w:t>黑龙江省燎泰新材料科技有限公司</w:t>
            </w:r>
            <w:r>
              <w:rPr>
                <w:rFonts w:hint="eastAsia" w:ascii="宋体" w:hAnsi="宋体" w:eastAsia="宋体" w:cs="宋体"/>
                <w:bCs/>
                <w:color w:val="auto"/>
                <w:spacing w:val="0"/>
                <w:sz w:val="24"/>
                <w:szCs w:val="24"/>
                <w:highlight w:val="none"/>
                <w:shd w:val="clear"/>
                <w:lang w:val="en-US" w:eastAsia="zh-CN"/>
              </w:rPr>
              <w:t>成立于20</w:t>
            </w:r>
            <w:r>
              <w:rPr>
                <w:rFonts w:hint="eastAsia" w:ascii="宋体" w:hAnsi="宋体" w:cs="宋体"/>
                <w:bCs/>
                <w:color w:val="auto"/>
                <w:spacing w:val="0"/>
                <w:sz w:val="24"/>
                <w:szCs w:val="24"/>
                <w:highlight w:val="none"/>
                <w:shd w:val="clear"/>
                <w:lang w:val="en-US" w:eastAsia="zh-CN"/>
              </w:rPr>
              <w:t>20</w:t>
            </w:r>
            <w:r>
              <w:rPr>
                <w:rFonts w:hint="eastAsia" w:ascii="宋体" w:hAnsi="宋体" w:eastAsia="宋体" w:cs="宋体"/>
                <w:bCs/>
                <w:color w:val="auto"/>
                <w:spacing w:val="0"/>
                <w:sz w:val="24"/>
                <w:szCs w:val="24"/>
                <w:highlight w:val="none"/>
                <w:shd w:val="clear"/>
                <w:lang w:val="en-US" w:eastAsia="zh-CN"/>
              </w:rPr>
              <w:t>年</w:t>
            </w:r>
            <w:r>
              <w:rPr>
                <w:rFonts w:hint="eastAsia" w:ascii="宋体" w:hAnsi="宋体" w:cs="宋体"/>
                <w:bCs/>
                <w:color w:val="auto"/>
                <w:spacing w:val="0"/>
                <w:sz w:val="24"/>
                <w:szCs w:val="24"/>
                <w:highlight w:val="none"/>
                <w:shd w:val="clear"/>
                <w:lang w:val="en-US" w:eastAsia="zh-CN"/>
              </w:rPr>
              <w:t>，位于黑龙江鸡西经济开发区（梨树工业谷），</w:t>
            </w:r>
            <w:r>
              <w:rPr>
                <w:rFonts w:hint="eastAsia" w:ascii="宋体" w:hAnsi="宋体" w:eastAsia="宋体" w:cs="宋体"/>
                <w:bCs/>
                <w:color w:val="auto"/>
                <w:spacing w:val="0"/>
                <w:sz w:val="24"/>
                <w:szCs w:val="24"/>
                <w:highlight w:val="none"/>
                <w:shd w:val="clear"/>
                <w:lang w:val="en-US" w:eastAsia="zh-CN"/>
              </w:rPr>
              <w:t>是一家从事</w:t>
            </w:r>
            <w:r>
              <w:rPr>
                <w:rFonts w:hint="eastAsia" w:ascii="宋体" w:hAnsi="宋体" w:cs="宋体"/>
                <w:bCs/>
                <w:color w:val="auto"/>
                <w:spacing w:val="0"/>
                <w:sz w:val="24"/>
                <w:szCs w:val="24"/>
                <w:highlight w:val="none"/>
                <w:shd w:val="clear"/>
                <w:lang w:val="en-US" w:eastAsia="zh-CN"/>
              </w:rPr>
              <w:t>涂料、油墨、颜料生产及销售的企业</w:t>
            </w:r>
            <w:r>
              <w:rPr>
                <w:rFonts w:hint="eastAsia" w:ascii="宋体" w:hAnsi="宋体" w:eastAsia="宋体" w:cs="宋体"/>
                <w:bCs/>
                <w:color w:val="auto"/>
                <w:spacing w:val="0"/>
                <w:sz w:val="24"/>
                <w:szCs w:val="24"/>
                <w:highlight w:val="none"/>
                <w:shd w:val="clear"/>
                <w:lang w:val="en-US" w:eastAsia="zh-CN"/>
              </w:rPr>
              <w:t>，</w:t>
            </w:r>
            <w:r>
              <w:rPr>
                <w:rFonts w:hint="eastAsia" w:ascii="宋体" w:hAnsi="宋体" w:cs="宋体"/>
                <w:bCs/>
                <w:color w:val="auto"/>
                <w:spacing w:val="0"/>
                <w:sz w:val="24"/>
                <w:szCs w:val="24"/>
                <w:highlight w:val="none"/>
                <w:shd w:val="clear"/>
                <w:lang w:val="en-US" w:eastAsia="zh-CN"/>
              </w:rPr>
              <w:t>2023</w:t>
            </w:r>
            <w:r>
              <w:rPr>
                <w:rFonts w:hint="eastAsia" w:ascii="宋体" w:hAnsi="宋体" w:eastAsia="宋体" w:cs="宋体"/>
                <w:bCs/>
                <w:color w:val="auto"/>
                <w:spacing w:val="0"/>
                <w:sz w:val="24"/>
                <w:szCs w:val="24"/>
                <w:highlight w:val="none"/>
                <w:shd w:val="clear"/>
                <w:lang w:val="en-US" w:eastAsia="zh-CN"/>
              </w:rPr>
              <w:t>年</w:t>
            </w:r>
            <w:r>
              <w:rPr>
                <w:rFonts w:hint="eastAsia" w:ascii="宋体" w:hAnsi="宋体" w:cs="宋体"/>
                <w:bCs/>
                <w:color w:val="auto"/>
                <w:spacing w:val="0"/>
                <w:sz w:val="24"/>
                <w:szCs w:val="24"/>
                <w:highlight w:val="none"/>
                <w:shd w:val="clear"/>
                <w:lang w:eastAsia="zh-CN"/>
              </w:rPr>
              <w:t>燎泰新材料</w:t>
            </w:r>
            <w:r>
              <w:rPr>
                <w:rFonts w:hint="eastAsia"/>
                <w:color w:val="auto"/>
                <w:sz w:val="24"/>
                <w:szCs w:val="18"/>
                <w:highlight w:val="none"/>
                <w:lang w:val="en-US" w:eastAsia="zh-CN"/>
              </w:rPr>
              <w:t>委托哈尔滨善成环保科技发展有限公司</w:t>
            </w:r>
            <w:r>
              <w:rPr>
                <w:rFonts w:hint="eastAsia" w:ascii="宋体" w:hAnsi="宋体" w:cs="宋体"/>
                <w:bCs/>
                <w:color w:val="auto"/>
                <w:spacing w:val="0"/>
                <w:sz w:val="24"/>
                <w:szCs w:val="24"/>
                <w:highlight w:val="none"/>
                <w:shd w:val="clear"/>
                <w:lang w:val="en-US" w:eastAsia="zh-CN"/>
              </w:rPr>
              <w:t>开展了《黑龙江省鸡西市梨树区燎泰高强度着色粉和中间体项目（一期）环境影响报告书》的编制工作</w:t>
            </w:r>
            <w:r>
              <w:rPr>
                <w:rFonts w:hint="eastAsia" w:ascii="宋体" w:hAnsi="宋体" w:eastAsia="宋体" w:cs="宋体"/>
                <w:bCs/>
                <w:color w:val="auto"/>
                <w:spacing w:val="0"/>
                <w:sz w:val="24"/>
                <w:szCs w:val="24"/>
                <w:highlight w:val="none"/>
                <w:shd w:val="clear"/>
                <w:lang w:val="en-US" w:eastAsia="zh-CN"/>
              </w:rPr>
              <w:t>，</w:t>
            </w:r>
            <w:r>
              <w:rPr>
                <w:rFonts w:hint="eastAsia" w:ascii="宋体" w:hAnsi="宋体" w:cs="宋体"/>
                <w:bCs/>
                <w:color w:val="auto"/>
                <w:spacing w:val="0"/>
                <w:sz w:val="24"/>
                <w:szCs w:val="24"/>
                <w:highlight w:val="none"/>
                <w:shd w:val="clear"/>
                <w:lang w:val="en-US" w:eastAsia="zh-CN"/>
              </w:rPr>
              <w:t>于2023年5月15日取得了由鸡西市生态环境局出具的批复，</w:t>
            </w:r>
            <w:r>
              <w:rPr>
                <w:rFonts w:hint="eastAsia" w:ascii="宋体" w:hAnsi="宋体" w:eastAsia="宋体" w:cs="宋体"/>
                <w:bCs/>
                <w:color w:val="auto"/>
                <w:spacing w:val="0"/>
                <w:sz w:val="24"/>
                <w:szCs w:val="24"/>
                <w:highlight w:val="none"/>
                <w:shd w:val="clear"/>
                <w:lang w:val="en-US" w:eastAsia="zh-CN"/>
              </w:rPr>
              <w:t>批复文号为“鸡环审〔2023〕11号”，</w:t>
            </w:r>
            <w:r>
              <w:rPr>
                <w:rFonts w:hint="eastAsia" w:ascii="宋体" w:hAnsi="宋体" w:cs="宋体"/>
                <w:bCs/>
                <w:color w:val="auto"/>
                <w:spacing w:val="0"/>
                <w:sz w:val="24"/>
                <w:szCs w:val="24"/>
                <w:highlight w:val="none"/>
                <w:shd w:val="clear"/>
                <w:lang w:val="en-US" w:eastAsia="zh-CN"/>
              </w:rPr>
              <w:t>该项目主要建设内容为新建12条</w:t>
            </w:r>
            <w:r>
              <w:rPr>
                <w:rFonts w:hint="eastAsia" w:ascii="Times New Roman" w:hAnsi="Times New Roman" w:eastAsia="宋体" w:cs="Times New Roman"/>
                <w:color w:val="auto"/>
                <w:sz w:val="24"/>
                <w:highlight w:val="none"/>
                <w:lang w:val="en-US" w:eastAsia="zh-CN"/>
              </w:rPr>
              <w:t>高强度着色粉及染料中间体生产线</w:t>
            </w:r>
            <w:r>
              <w:rPr>
                <w:rFonts w:hint="eastAsia" w:ascii="Times New Roman" w:hAnsi="Times New Roman" w:cs="Times New Roman"/>
                <w:color w:val="auto"/>
                <w:sz w:val="24"/>
                <w:highlight w:val="none"/>
                <w:lang w:val="en-US" w:eastAsia="zh-CN"/>
              </w:rPr>
              <w:t>，同时配套建设1台生物质导热油炉用于本项目生产用热，生产用蒸汽由</w:t>
            </w:r>
            <w:r>
              <w:rPr>
                <w:rFonts w:hint="eastAsia" w:ascii="宋体" w:hAnsi="宋体" w:eastAsia="宋体" w:cs="宋体"/>
                <w:color w:val="auto"/>
                <w:sz w:val="24"/>
                <w:highlight w:val="none"/>
              </w:rPr>
              <w:t>沈阳焦煤鸡西盛隆有限责任公司煤矸石电厂</w:t>
            </w:r>
            <w:r>
              <w:rPr>
                <w:rFonts w:hint="eastAsia" w:ascii="宋体" w:hAnsi="宋体" w:cs="宋体"/>
                <w:color w:val="auto"/>
                <w:sz w:val="24"/>
                <w:highlight w:val="none"/>
                <w:lang w:val="en-US" w:eastAsia="zh-CN"/>
              </w:rPr>
              <w:t>提供，由于</w:t>
            </w:r>
            <w:r>
              <w:rPr>
                <w:rFonts w:hint="eastAsia" w:cs="宋体"/>
                <w:color w:val="auto"/>
                <w:sz w:val="24"/>
                <w:highlight w:val="none"/>
                <w:lang w:val="en-US" w:eastAsia="zh-CN"/>
              </w:rPr>
              <w:t>夏季</w:t>
            </w:r>
            <w:r>
              <w:rPr>
                <w:rFonts w:hint="eastAsia" w:ascii="宋体" w:hAnsi="宋体" w:eastAsia="宋体" w:cs="宋体"/>
                <w:color w:val="auto"/>
                <w:sz w:val="24"/>
                <w:highlight w:val="none"/>
              </w:rPr>
              <w:t>沈阳焦煤鸡西盛隆有限责任公司煤矸石电厂</w:t>
            </w:r>
            <w:r>
              <w:rPr>
                <w:rFonts w:hint="eastAsia" w:cs="宋体"/>
                <w:color w:val="auto"/>
                <w:sz w:val="24"/>
                <w:highlight w:val="none"/>
                <w:lang w:val="en-US" w:eastAsia="zh-CN"/>
              </w:rPr>
              <w:t>处于停产阶段，夏季生产将存在用热缺口（</w:t>
            </w:r>
            <w:r>
              <w:rPr>
                <w:rFonts w:hint="default" w:ascii="Times New Roman" w:hAnsi="Times New Roman" w:cs="Times New Roman"/>
                <w:color w:val="auto"/>
                <w:sz w:val="24"/>
                <w:highlight w:val="none"/>
                <w:lang w:val="en-US" w:eastAsia="zh-CN"/>
              </w:rPr>
              <w:t>90d</w:t>
            </w:r>
            <w:r>
              <w:rPr>
                <w:rFonts w:hint="eastAsia" w:cs="宋体"/>
                <w:color w:val="auto"/>
                <w:sz w:val="24"/>
                <w:highlight w:val="none"/>
                <w:lang w:val="en-US" w:eastAsia="zh-CN"/>
              </w:rPr>
              <w:t>），同时，在冬季极寒天气情况下，为保证居民供热系统稳定运行，矸石电厂对于工业蒸汽将限制供应。为确保燎泰新材料稳定运行，我单位在供暖高峰期临时启用该锅炉做为生产热源，依据历年运行状况，预计30天/年。</w:t>
            </w:r>
            <w:r>
              <w:rPr>
                <w:rFonts w:hint="eastAsia" w:ascii="Times New Roman" w:hAnsi="Times New Roman" w:cs="Times New Roman"/>
                <w:color w:val="auto"/>
                <w:sz w:val="24"/>
                <w:highlight w:val="none"/>
                <w:lang w:val="en-US" w:eastAsia="zh-CN"/>
              </w:rPr>
              <w:t>因此</w:t>
            </w:r>
            <w:r>
              <w:rPr>
                <w:rFonts w:hint="eastAsia" w:ascii="宋体" w:hAnsi="宋体" w:cs="宋体"/>
                <w:bCs/>
                <w:color w:val="auto"/>
                <w:spacing w:val="0"/>
                <w:sz w:val="24"/>
                <w:szCs w:val="24"/>
                <w:highlight w:val="none"/>
                <w:shd w:val="clear"/>
                <w:lang w:val="en-US" w:eastAsia="zh-CN"/>
              </w:rPr>
              <w:t>本项目新建一台6t/h的生物质锅炉作为</w:t>
            </w:r>
            <w:r>
              <w:rPr>
                <w:rFonts w:hint="eastAsia" w:ascii="宋体" w:hAnsi="宋体" w:eastAsia="宋体" w:cs="宋体"/>
                <w:color w:val="auto"/>
                <w:sz w:val="24"/>
                <w:highlight w:val="none"/>
              </w:rPr>
              <w:t>沈阳焦煤鸡西盛隆有限责任公司煤矸石电厂</w:t>
            </w:r>
            <w:r>
              <w:rPr>
                <w:rFonts w:hint="eastAsia" w:ascii="宋体" w:hAnsi="宋体" w:cs="宋体"/>
                <w:color w:val="auto"/>
                <w:sz w:val="24"/>
                <w:highlight w:val="none"/>
                <w:lang w:val="en-US" w:eastAsia="zh-CN"/>
              </w:rPr>
              <w:t>夏季停产阶段的生产用热要求</w:t>
            </w:r>
            <w:r>
              <w:rPr>
                <w:rFonts w:hint="eastAsia" w:ascii="宋体" w:hAnsi="宋体" w:cs="宋体"/>
                <w:bCs/>
                <w:color w:val="auto"/>
                <w:spacing w:val="0"/>
                <w:sz w:val="24"/>
                <w:szCs w:val="24"/>
                <w:highlight w:val="none"/>
                <w:shd w:val="clear"/>
                <w:lang w:val="en-US" w:eastAsia="zh-CN"/>
              </w:rPr>
              <w:t>。建成后锅炉年运行120d。</w:t>
            </w:r>
          </w:p>
          <w:p w14:paraId="04D96261">
            <w:pPr>
              <w:spacing w:line="360" w:lineRule="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根据《建设项目环境影响评价分类管理名录》（2021年版），本项目所属类别</w:t>
            </w:r>
            <w:r>
              <w:rPr>
                <w:rFonts w:hint="eastAsia" w:ascii="宋体" w:hAnsi="宋体" w:eastAsia="宋体" w:cs="宋体"/>
                <w:color w:val="auto"/>
                <w:spacing w:val="0"/>
                <w:sz w:val="24"/>
                <w:szCs w:val="24"/>
                <w:highlight w:val="none"/>
                <w:lang w:eastAsia="zh-CN"/>
              </w:rPr>
              <w:t>为</w:t>
            </w:r>
            <w:r>
              <w:rPr>
                <w:rFonts w:hint="eastAsia" w:ascii="宋体" w:hAnsi="宋体" w:eastAsia="宋体" w:cs="宋体"/>
                <w:color w:val="auto"/>
                <w:spacing w:val="0"/>
                <w:sz w:val="24"/>
                <w:szCs w:val="24"/>
                <w:highlight w:val="none"/>
                <w:lang w:val="en-US" w:eastAsia="zh-CN"/>
              </w:rPr>
              <w:t>“燃煤、燃油锅炉总容量65吨/小时</w:t>
            </w:r>
            <w:r>
              <w:rPr>
                <w:rFonts w:hint="eastAsia" w:cs="宋体"/>
                <w:color w:val="auto"/>
                <w:spacing w:val="0"/>
                <w:sz w:val="24"/>
                <w:szCs w:val="24"/>
                <w:highlight w:val="none"/>
                <w:lang w:val="en-US" w:eastAsia="zh-CN"/>
              </w:rPr>
              <w:t>（</w:t>
            </w:r>
            <w:r>
              <w:rPr>
                <w:rFonts w:hint="eastAsia" w:ascii="宋体" w:hAnsi="宋体" w:eastAsia="宋体" w:cs="宋体"/>
                <w:color w:val="auto"/>
                <w:spacing w:val="0"/>
                <w:sz w:val="24"/>
                <w:szCs w:val="24"/>
                <w:highlight w:val="none"/>
                <w:lang w:val="en-US" w:eastAsia="zh-CN"/>
              </w:rPr>
              <w:t>45.5兆瓦</w:t>
            </w:r>
            <w:r>
              <w:rPr>
                <w:rFonts w:hint="eastAsia" w:cs="宋体"/>
                <w:color w:val="auto"/>
                <w:spacing w:val="0"/>
                <w:sz w:val="24"/>
                <w:szCs w:val="24"/>
                <w:highlight w:val="none"/>
                <w:lang w:val="en-US" w:eastAsia="zh-CN"/>
              </w:rPr>
              <w:t>）</w:t>
            </w:r>
            <w:r>
              <w:rPr>
                <w:rFonts w:hint="eastAsia" w:ascii="宋体" w:hAnsi="宋体" w:eastAsia="宋体" w:cs="宋体"/>
                <w:color w:val="auto"/>
                <w:spacing w:val="0"/>
                <w:sz w:val="24"/>
                <w:szCs w:val="24"/>
                <w:highlight w:val="none"/>
                <w:lang w:val="en-US" w:eastAsia="zh-CN"/>
              </w:rPr>
              <w:t>及以下的</w:t>
            </w:r>
            <w:r>
              <w:rPr>
                <w:rFonts w:hint="eastAsia" w:cs="宋体"/>
                <w:color w:val="auto"/>
                <w:spacing w:val="0"/>
                <w:sz w:val="24"/>
                <w:szCs w:val="24"/>
                <w:highlight w:val="none"/>
                <w:lang w:val="en-US" w:eastAsia="zh-CN"/>
              </w:rPr>
              <w:t>：</w:t>
            </w:r>
            <w:r>
              <w:rPr>
                <w:rFonts w:hint="eastAsia" w:ascii="宋体" w:hAnsi="宋体" w:eastAsia="宋体" w:cs="宋体"/>
                <w:color w:val="auto"/>
                <w:spacing w:val="0"/>
                <w:sz w:val="24"/>
                <w:szCs w:val="24"/>
                <w:highlight w:val="none"/>
                <w:lang w:val="en-US" w:eastAsia="zh-CN"/>
              </w:rPr>
              <w:t>天然气锅炉总容量1吨/小时</w:t>
            </w:r>
            <w:r>
              <w:rPr>
                <w:rFonts w:hint="eastAsia" w:cs="宋体"/>
                <w:color w:val="auto"/>
                <w:spacing w:val="0"/>
                <w:sz w:val="24"/>
                <w:szCs w:val="24"/>
                <w:highlight w:val="none"/>
                <w:lang w:val="en-US" w:eastAsia="zh-CN"/>
              </w:rPr>
              <w:t>（</w:t>
            </w:r>
            <w:r>
              <w:rPr>
                <w:rFonts w:hint="eastAsia" w:ascii="宋体" w:hAnsi="宋体" w:eastAsia="宋体" w:cs="宋体"/>
                <w:color w:val="auto"/>
                <w:spacing w:val="0"/>
                <w:sz w:val="24"/>
                <w:szCs w:val="24"/>
                <w:highlight w:val="none"/>
                <w:lang w:val="en-US" w:eastAsia="zh-CN"/>
              </w:rPr>
              <w:t>0.7兆瓦</w:t>
            </w:r>
            <w:r>
              <w:rPr>
                <w:rFonts w:hint="eastAsia" w:cs="宋体"/>
                <w:color w:val="auto"/>
                <w:spacing w:val="0"/>
                <w:sz w:val="24"/>
                <w:szCs w:val="24"/>
                <w:highlight w:val="none"/>
                <w:lang w:val="en-US" w:eastAsia="zh-CN"/>
              </w:rPr>
              <w:t>）</w:t>
            </w:r>
            <w:r>
              <w:rPr>
                <w:rFonts w:hint="eastAsia" w:ascii="宋体" w:hAnsi="宋体" w:eastAsia="宋体" w:cs="宋体"/>
                <w:color w:val="auto"/>
                <w:spacing w:val="0"/>
                <w:sz w:val="24"/>
                <w:szCs w:val="24"/>
                <w:highlight w:val="none"/>
                <w:lang w:val="en-US" w:eastAsia="zh-CN"/>
              </w:rPr>
              <w:t>以上的</w:t>
            </w:r>
            <w:r>
              <w:rPr>
                <w:rFonts w:hint="eastAsia" w:cs="宋体"/>
                <w:color w:val="auto"/>
                <w:spacing w:val="0"/>
                <w:sz w:val="24"/>
                <w:szCs w:val="24"/>
                <w:highlight w:val="none"/>
                <w:lang w:val="en-US" w:eastAsia="zh-CN"/>
              </w:rPr>
              <w:t>；</w:t>
            </w:r>
            <w:r>
              <w:rPr>
                <w:rFonts w:hint="eastAsia" w:ascii="宋体" w:hAnsi="宋体" w:eastAsia="宋体" w:cs="宋体"/>
                <w:color w:val="auto"/>
                <w:spacing w:val="0"/>
                <w:sz w:val="24"/>
                <w:szCs w:val="24"/>
                <w:highlight w:val="none"/>
                <w:lang w:val="en-US" w:eastAsia="zh-CN"/>
              </w:rPr>
              <w:t>使用其他高污染燃料的”需编制环境影响报告表。</w:t>
            </w:r>
          </w:p>
          <w:p w14:paraId="0D0D388D">
            <w:pPr>
              <w:numPr>
                <w:ilvl w:val="0"/>
                <w:numId w:val="5"/>
              </w:num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ascii="宋体" w:hAnsi="宋体" w:eastAsia="宋体" w:cs="宋体"/>
                <w:b/>
                <w:bCs w:val="0"/>
                <w:color w:val="auto"/>
                <w:spacing w:val="0"/>
                <w:sz w:val="24"/>
                <w:szCs w:val="24"/>
                <w:highlight w:val="none"/>
                <w:lang w:val="en-US" w:eastAsia="zh-CN"/>
              </w:rPr>
              <w:t>建设内容</w:t>
            </w:r>
          </w:p>
          <w:p w14:paraId="70DE8717">
            <w:pPr>
              <w:spacing w:line="360" w:lineRule="auto"/>
              <w:rPr>
                <w:rFonts w:hint="default" w:ascii="宋体" w:hAnsi="宋体" w:eastAsia="宋体" w:cs="宋体"/>
                <w:color w:val="auto"/>
                <w:spacing w:val="0"/>
                <w:sz w:val="24"/>
                <w:szCs w:val="24"/>
                <w:highlight w:val="none"/>
                <w:lang w:val="en-US" w:eastAsia="zh-CN"/>
              </w:rPr>
            </w:pPr>
            <w:r>
              <w:rPr>
                <w:rFonts w:hint="eastAsia" w:cs="宋体"/>
                <w:color w:val="auto"/>
                <w:spacing w:val="0"/>
                <w:sz w:val="24"/>
                <w:szCs w:val="24"/>
                <w:highlight w:val="none"/>
                <w:lang w:val="en-US" w:eastAsia="zh-CN"/>
              </w:rPr>
              <w:t>本项目为锅炉新建项目，主体工程新增1台6t/h的生物质蒸汽锅炉用于生产过程的烘干用热，辅助工程新建一套锅炉软化水处理系统用于锅炉补水，其他公用工程、储运工程等依托在建工程。</w:t>
            </w:r>
          </w:p>
          <w:p w14:paraId="683C17A0">
            <w:pPr>
              <w:spacing w:line="360" w:lineRule="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本项目主要工程组成见下表</w:t>
            </w:r>
            <w:r>
              <w:rPr>
                <w:rFonts w:hint="eastAsia" w:ascii="宋体" w:hAnsi="宋体" w:eastAsia="宋体" w:cs="宋体"/>
                <w:color w:val="auto"/>
                <w:spacing w:val="0"/>
                <w:sz w:val="24"/>
                <w:szCs w:val="24"/>
                <w:highlight w:val="none"/>
                <w:lang w:val="en-US" w:eastAsia="zh-CN"/>
              </w:rPr>
              <w:t>2-1</w:t>
            </w:r>
            <w:r>
              <w:rPr>
                <w:rFonts w:hint="eastAsia" w:ascii="宋体" w:hAnsi="宋体" w:eastAsia="宋体" w:cs="宋体"/>
                <w:color w:val="auto"/>
                <w:spacing w:val="0"/>
                <w:sz w:val="24"/>
                <w:szCs w:val="24"/>
                <w:highlight w:val="none"/>
              </w:rPr>
              <w:t>。</w:t>
            </w:r>
          </w:p>
          <w:p w14:paraId="7126060B">
            <w:pPr>
              <w:pStyle w:val="77"/>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b/>
                <w:bCs w:val="0"/>
                <w:color w:val="auto"/>
                <w:spacing w:val="0"/>
                <w:kern w:val="2"/>
                <w:sz w:val="21"/>
                <w:szCs w:val="21"/>
                <w:highlight w:val="none"/>
                <w:lang w:val="en-US" w:eastAsia="zh-CN" w:bidi="ar-SA"/>
              </w:rPr>
            </w:pPr>
            <w:r>
              <w:rPr>
                <w:rFonts w:hint="eastAsia" w:ascii="宋体" w:hAnsi="宋体" w:eastAsia="宋体" w:cs="宋体"/>
                <w:b/>
                <w:bCs w:val="0"/>
                <w:color w:val="auto"/>
                <w:spacing w:val="0"/>
                <w:kern w:val="2"/>
                <w:sz w:val="21"/>
                <w:szCs w:val="21"/>
                <w:highlight w:val="none"/>
                <w:lang w:val="en-US" w:eastAsia="zh-CN" w:bidi="ar-SA"/>
              </w:rPr>
              <w:t>表2-1 主要建设内容一览表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1327"/>
              <w:gridCol w:w="4498"/>
              <w:gridCol w:w="689"/>
            </w:tblGrid>
            <w:tr w14:paraId="5833B3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584" w:type="dxa"/>
                  <w:gridSpan w:val="2"/>
                  <w:noWrap w:val="0"/>
                  <w:vAlign w:val="center"/>
                </w:tcPr>
                <w:p w14:paraId="65CD2A10">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项目</w:t>
                  </w:r>
                </w:p>
              </w:tc>
              <w:tc>
                <w:tcPr>
                  <w:tcW w:w="4498" w:type="dxa"/>
                  <w:noWrap w:val="0"/>
                  <w:vAlign w:val="center"/>
                </w:tcPr>
                <w:p w14:paraId="4F756DCA">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主要建设内容</w:t>
                  </w:r>
                </w:p>
              </w:tc>
              <w:tc>
                <w:tcPr>
                  <w:tcW w:w="689" w:type="dxa"/>
                  <w:noWrap w:val="0"/>
                  <w:vAlign w:val="center"/>
                </w:tcPr>
                <w:p w14:paraId="2E1BD87D">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snapToGrid w:val="0"/>
                      <w:color w:val="auto"/>
                      <w:spacing w:val="0"/>
                      <w:sz w:val="21"/>
                      <w:szCs w:val="21"/>
                      <w:highlight w:val="none"/>
                      <w:lang w:val="en-US" w:eastAsia="zh-CN"/>
                    </w:rPr>
                    <w:t>备注</w:t>
                  </w:r>
                </w:p>
              </w:tc>
            </w:tr>
            <w:tr w14:paraId="6A6E4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noWrap w:val="0"/>
                  <w:vAlign w:val="center"/>
                </w:tcPr>
                <w:p w14:paraId="4A6B9B7D">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主体工程</w:t>
                  </w:r>
                </w:p>
              </w:tc>
              <w:tc>
                <w:tcPr>
                  <w:tcW w:w="1327" w:type="dxa"/>
                  <w:noWrap w:val="0"/>
                  <w:vAlign w:val="center"/>
                </w:tcPr>
                <w:p w14:paraId="74795B6D">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rPr>
                  </w:pPr>
                  <w:r>
                    <w:rPr>
                      <w:rFonts w:hint="default" w:ascii="Times New Roman" w:hAnsi="Times New Roman" w:cs="Times New Roman"/>
                      <w:snapToGrid w:val="0"/>
                      <w:color w:val="auto"/>
                      <w:spacing w:val="0"/>
                      <w:sz w:val="21"/>
                      <w:szCs w:val="21"/>
                      <w:highlight w:val="none"/>
                      <w:lang w:val="en-US" w:eastAsia="zh-CN"/>
                    </w:rPr>
                    <w:t>锅炉房</w:t>
                  </w:r>
                </w:p>
              </w:tc>
              <w:tc>
                <w:tcPr>
                  <w:tcW w:w="4498" w:type="dxa"/>
                  <w:noWrap w:val="0"/>
                  <w:vAlign w:val="center"/>
                </w:tcPr>
                <w:p w14:paraId="2F6C1767">
                  <w:pPr>
                    <w:spacing w:line="240" w:lineRule="auto"/>
                    <w:ind w:left="0" w:leftChars="0" w:firstLine="0" w:firstLineChars="0"/>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cs="Times New Roman"/>
                      <w:snapToGrid w:val="0"/>
                      <w:color w:val="auto"/>
                      <w:spacing w:val="0"/>
                      <w:sz w:val="21"/>
                      <w:szCs w:val="21"/>
                      <w:highlight w:val="none"/>
                      <w:lang w:val="en-US" w:eastAsia="zh-CN"/>
                    </w:rPr>
                    <w:t>本项目</w:t>
                  </w:r>
                  <w:r>
                    <w:rPr>
                      <w:rFonts w:hint="eastAsia" w:ascii="Times New Roman" w:hAnsi="Times New Roman" w:cs="Times New Roman"/>
                      <w:snapToGrid w:val="0"/>
                      <w:color w:val="auto"/>
                      <w:spacing w:val="0"/>
                      <w:sz w:val="21"/>
                      <w:szCs w:val="21"/>
                      <w:highlight w:val="none"/>
                      <w:lang w:val="en-US" w:eastAsia="zh-CN"/>
                    </w:rPr>
                    <w:t>在</w:t>
                  </w:r>
                  <w:r>
                    <w:rPr>
                      <w:rFonts w:hint="default" w:ascii="Times New Roman" w:hAnsi="Times New Roman" w:cs="Times New Roman"/>
                      <w:snapToGrid w:val="0"/>
                      <w:color w:val="auto"/>
                      <w:spacing w:val="0"/>
                      <w:sz w:val="21"/>
                      <w:szCs w:val="21"/>
                      <w:highlight w:val="none"/>
                      <w:lang w:val="en-US" w:eastAsia="zh-CN"/>
                    </w:rPr>
                    <w:t>现有锅炉房</w:t>
                  </w:r>
                  <w:r>
                    <w:rPr>
                      <w:rFonts w:hint="eastAsia" w:ascii="Times New Roman" w:hAnsi="Times New Roman" w:cs="Times New Roman"/>
                      <w:snapToGrid w:val="0"/>
                      <w:color w:val="auto"/>
                      <w:spacing w:val="0"/>
                      <w:sz w:val="21"/>
                      <w:szCs w:val="21"/>
                      <w:highlight w:val="none"/>
                      <w:lang w:val="en-US" w:eastAsia="zh-CN"/>
                    </w:rPr>
                    <w:t>东侧新建锅炉房</w:t>
                  </w:r>
                  <w:r>
                    <w:rPr>
                      <w:rFonts w:hint="default" w:ascii="Times New Roman" w:hAnsi="Times New Roman" w:cs="Times New Roman"/>
                      <w:snapToGrid w:val="0"/>
                      <w:color w:val="auto"/>
                      <w:spacing w:val="0"/>
                      <w:sz w:val="21"/>
                      <w:szCs w:val="21"/>
                      <w:highlight w:val="none"/>
                      <w:lang w:val="en-US" w:eastAsia="zh-CN"/>
                    </w:rPr>
                    <w:t>，</w:t>
                  </w:r>
                  <w:r>
                    <w:rPr>
                      <w:rFonts w:hint="eastAsia" w:ascii="Times New Roman" w:hAnsi="Times New Roman" w:cs="Times New Roman"/>
                      <w:snapToGrid w:val="0"/>
                      <w:color w:val="auto"/>
                      <w:spacing w:val="0"/>
                      <w:sz w:val="21"/>
                      <w:szCs w:val="21"/>
                      <w:highlight w:val="none"/>
                      <w:lang w:val="en-US" w:eastAsia="zh-CN"/>
                    </w:rPr>
                    <w:t>属于新建独立锅炉房，不与现有锅炉房合并建设，</w:t>
                  </w:r>
                  <w:r>
                    <w:rPr>
                      <w:rFonts w:hint="default" w:ascii="Times New Roman" w:hAnsi="Times New Roman" w:cs="Times New Roman"/>
                      <w:snapToGrid w:val="0"/>
                      <w:color w:val="auto"/>
                      <w:spacing w:val="0"/>
                      <w:sz w:val="21"/>
                      <w:szCs w:val="21"/>
                      <w:highlight w:val="none"/>
                      <w:lang w:val="en-US" w:eastAsia="zh-CN"/>
                    </w:rPr>
                    <w:t>锅炉房为1层地上建筑结构，建筑面积为</w:t>
                  </w:r>
                  <w:r>
                    <w:rPr>
                      <w:rFonts w:hint="eastAsia" w:ascii="Times New Roman" w:hAnsi="Times New Roman" w:cs="Times New Roman"/>
                      <w:snapToGrid w:val="0"/>
                      <w:color w:val="auto"/>
                      <w:spacing w:val="0"/>
                      <w:sz w:val="21"/>
                      <w:szCs w:val="21"/>
                      <w:highlight w:val="none"/>
                      <w:lang w:val="en-US" w:eastAsia="zh-CN"/>
                    </w:rPr>
                    <w:t>330</w:t>
                  </w:r>
                  <w:r>
                    <w:rPr>
                      <w:rFonts w:hint="default" w:ascii="Times New Roman" w:hAnsi="Times New Roman" w:cs="Times New Roman"/>
                      <w:snapToGrid w:val="0"/>
                      <w:color w:val="auto"/>
                      <w:spacing w:val="0"/>
                      <w:sz w:val="21"/>
                      <w:szCs w:val="21"/>
                      <w:highlight w:val="none"/>
                      <w:lang w:val="en-US" w:eastAsia="zh-CN"/>
                    </w:rPr>
                    <w:t>m</w:t>
                  </w:r>
                  <w:r>
                    <w:rPr>
                      <w:rFonts w:hint="default" w:ascii="Times New Roman" w:hAnsi="Times New Roman" w:cs="Times New Roman"/>
                      <w:snapToGrid w:val="0"/>
                      <w:color w:val="auto"/>
                      <w:spacing w:val="0"/>
                      <w:sz w:val="21"/>
                      <w:szCs w:val="21"/>
                      <w:highlight w:val="none"/>
                      <w:vertAlign w:val="superscript"/>
                      <w:lang w:val="en-US" w:eastAsia="zh-CN"/>
                    </w:rPr>
                    <w:t>2</w:t>
                  </w:r>
                  <w:r>
                    <w:rPr>
                      <w:rFonts w:hint="default" w:ascii="Times New Roman" w:hAnsi="Times New Roman" w:cs="Times New Roman"/>
                      <w:snapToGrid w:val="0"/>
                      <w:color w:val="auto"/>
                      <w:spacing w:val="0"/>
                      <w:sz w:val="21"/>
                      <w:szCs w:val="21"/>
                      <w:highlight w:val="none"/>
                      <w:lang w:val="en-US" w:eastAsia="zh-CN"/>
                    </w:rPr>
                    <w:t>。新增1台6t/h的生物质锅炉用于生产</w:t>
                  </w:r>
                  <w:r>
                    <w:rPr>
                      <w:rFonts w:hint="eastAsia" w:ascii="Times New Roman" w:hAnsi="Times New Roman" w:cs="Times New Roman"/>
                      <w:snapToGrid w:val="0"/>
                      <w:color w:val="auto"/>
                      <w:spacing w:val="0"/>
                      <w:sz w:val="21"/>
                      <w:szCs w:val="21"/>
                      <w:highlight w:val="none"/>
                      <w:lang w:val="en-US" w:eastAsia="zh-CN"/>
                    </w:rPr>
                    <w:t>用热及供暖</w:t>
                  </w:r>
                  <w:r>
                    <w:rPr>
                      <w:rFonts w:hint="default" w:ascii="Times New Roman" w:hAnsi="Times New Roman" w:cs="Times New Roman"/>
                      <w:snapToGrid w:val="0"/>
                      <w:color w:val="auto"/>
                      <w:spacing w:val="0"/>
                      <w:sz w:val="21"/>
                      <w:szCs w:val="21"/>
                      <w:highlight w:val="none"/>
                      <w:lang w:val="en-US" w:eastAsia="zh-CN"/>
                    </w:rPr>
                    <w:t>用热。</w:t>
                  </w:r>
                </w:p>
              </w:tc>
              <w:tc>
                <w:tcPr>
                  <w:tcW w:w="689" w:type="dxa"/>
                  <w:noWrap w:val="0"/>
                  <w:vAlign w:val="center"/>
                </w:tcPr>
                <w:p w14:paraId="6E13FF2F">
                  <w:pPr>
                    <w:spacing w:line="240" w:lineRule="auto"/>
                    <w:ind w:left="0" w:leftChars="0" w:firstLine="0" w:firstLineChars="0"/>
                    <w:jc w:val="center"/>
                    <w:rPr>
                      <w:rFonts w:hint="default" w:ascii="Times New Roman" w:hAnsi="Times New Roman" w:eastAsia="宋体" w:cs="Times New Roman"/>
                      <w:snapToGrid w:val="0"/>
                      <w:color w:val="auto"/>
                      <w:spacing w:val="0"/>
                      <w:sz w:val="21"/>
                      <w:szCs w:val="21"/>
                      <w:highlight w:val="none"/>
                      <w:lang w:val="en-US" w:eastAsia="zh-CN"/>
                    </w:rPr>
                  </w:pPr>
                  <w:r>
                    <w:rPr>
                      <w:rFonts w:hint="eastAsia" w:ascii="Times New Roman" w:hAnsi="Times New Roman" w:cs="Times New Roman"/>
                      <w:snapToGrid w:val="0"/>
                      <w:color w:val="auto"/>
                      <w:spacing w:val="0"/>
                      <w:sz w:val="21"/>
                      <w:szCs w:val="21"/>
                      <w:highlight w:val="none"/>
                      <w:lang w:val="en-US" w:eastAsia="zh-CN"/>
                    </w:rPr>
                    <w:t>新</w:t>
                  </w:r>
                  <w:r>
                    <w:rPr>
                      <w:rFonts w:hint="default" w:ascii="Times New Roman" w:hAnsi="Times New Roman" w:eastAsia="宋体" w:cs="Times New Roman"/>
                      <w:snapToGrid w:val="0"/>
                      <w:color w:val="auto"/>
                      <w:spacing w:val="0"/>
                      <w:sz w:val="21"/>
                      <w:szCs w:val="21"/>
                      <w:highlight w:val="none"/>
                      <w:lang w:val="en-US" w:eastAsia="zh-CN"/>
                    </w:rPr>
                    <w:t>建</w:t>
                  </w:r>
                </w:p>
              </w:tc>
            </w:tr>
            <w:tr w14:paraId="518892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noWrap w:val="0"/>
                  <w:vAlign w:val="center"/>
                </w:tcPr>
                <w:p w14:paraId="37B35F07">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rPr>
                  </w:pPr>
                  <w:r>
                    <w:rPr>
                      <w:rFonts w:hint="default" w:ascii="Times New Roman" w:hAnsi="Times New Roman" w:eastAsia="宋体" w:cs="Times New Roman"/>
                      <w:snapToGrid w:val="0"/>
                      <w:color w:val="auto"/>
                      <w:spacing w:val="0"/>
                      <w:sz w:val="21"/>
                      <w:szCs w:val="21"/>
                      <w:highlight w:val="none"/>
                      <w:lang w:val="en-US"/>
                    </w:rPr>
                    <w:t>辅助工程</w:t>
                  </w:r>
                </w:p>
              </w:tc>
              <w:tc>
                <w:tcPr>
                  <w:tcW w:w="1327" w:type="dxa"/>
                  <w:noWrap w:val="0"/>
                  <w:vAlign w:val="center"/>
                </w:tcPr>
                <w:p w14:paraId="0349C420">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cs="Times New Roman"/>
                      <w:color w:val="auto"/>
                      <w:szCs w:val="21"/>
                      <w:highlight w:val="none"/>
                    </w:rPr>
                    <w:t>锅炉软化水处理系统</w:t>
                  </w:r>
                </w:p>
              </w:tc>
              <w:tc>
                <w:tcPr>
                  <w:tcW w:w="4498" w:type="dxa"/>
                  <w:noWrap w:val="0"/>
                  <w:vAlign w:val="center"/>
                </w:tcPr>
                <w:p w14:paraId="09C7CB5C">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cs="Times New Roman"/>
                      <w:snapToGrid w:val="0"/>
                      <w:color w:val="auto"/>
                      <w:spacing w:val="0"/>
                      <w:sz w:val="21"/>
                      <w:szCs w:val="21"/>
                      <w:highlight w:val="none"/>
                      <w:lang w:val="en-US" w:eastAsia="zh-CN"/>
                    </w:rPr>
                    <w:t>项目设1套软水制备系统，处理能力为8t/h。制备工艺为离子交换树脂工艺。</w:t>
                  </w:r>
                </w:p>
              </w:tc>
              <w:tc>
                <w:tcPr>
                  <w:tcW w:w="689" w:type="dxa"/>
                  <w:noWrap w:val="0"/>
                  <w:vAlign w:val="center"/>
                </w:tcPr>
                <w:p w14:paraId="451994DE">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snapToGrid w:val="0"/>
                      <w:color w:val="auto"/>
                      <w:spacing w:val="0"/>
                      <w:sz w:val="21"/>
                      <w:szCs w:val="21"/>
                      <w:highlight w:val="none"/>
                      <w:lang w:val="en-US" w:eastAsia="zh-CN"/>
                    </w:rPr>
                    <w:t>新建</w:t>
                  </w:r>
                </w:p>
              </w:tc>
            </w:tr>
            <w:tr w14:paraId="2D93EF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noWrap w:val="0"/>
                  <w:vAlign w:val="center"/>
                </w:tcPr>
                <w:p w14:paraId="4EDE3D50">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lang w:val="en-US"/>
                    </w:rPr>
                    <w:t>储运工程</w:t>
                  </w:r>
                </w:p>
              </w:tc>
              <w:tc>
                <w:tcPr>
                  <w:tcW w:w="1327" w:type="dxa"/>
                  <w:noWrap w:val="0"/>
                  <w:vAlign w:val="center"/>
                </w:tcPr>
                <w:p w14:paraId="4FA5A560">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cs="Times New Roman"/>
                      <w:color w:val="auto"/>
                      <w:highlight w:val="none"/>
                      <w:lang w:val="en-US" w:eastAsia="zh-CN"/>
                    </w:rPr>
                    <w:t>燃料库、灰渣库（20</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w:t>
                  </w:r>
                </w:p>
              </w:tc>
              <w:tc>
                <w:tcPr>
                  <w:tcW w:w="4498" w:type="dxa"/>
                  <w:noWrap w:val="0"/>
                  <w:vAlign w:val="center"/>
                </w:tcPr>
                <w:p w14:paraId="4615B273">
                  <w:pPr>
                    <w:pStyle w:val="70"/>
                    <w:spacing w:line="240" w:lineRule="auto"/>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利用在建工程的燃料库，</w:t>
                  </w:r>
                  <w:r>
                    <w:rPr>
                      <w:rFonts w:hint="default" w:ascii="Times New Roman" w:hAnsi="Times New Roman" w:cs="Times New Roman"/>
                      <w:color w:val="auto"/>
                      <w:kern w:val="0"/>
                      <w:szCs w:val="21"/>
                      <w:highlight w:val="none"/>
                      <w:lang w:val="en-US" w:eastAsia="zh-CN"/>
                    </w:rPr>
                    <w:t>1栋，丙类仓库，</w:t>
                  </w:r>
                  <w:r>
                    <w:rPr>
                      <w:rFonts w:hint="default" w:ascii="Times New Roman" w:hAnsi="Times New Roman" w:cs="Times New Roman"/>
                      <w:color w:val="auto"/>
                      <w:sz w:val="21"/>
                      <w:szCs w:val="21"/>
                      <w:highlight w:val="none"/>
                      <w:lang w:val="en-US" w:eastAsia="zh-CN"/>
                    </w:rPr>
                    <w:t>建筑高度最高6.608m，门式钢架结构，占地面积722.5m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，为生物质成型燃料及锅炉灰渣储存方库，最大储存量为650t燃料及80t灰渣；</w:t>
                  </w:r>
                  <w:r>
                    <w:rPr>
                      <w:rFonts w:hint="eastAsia"/>
                      <w:color w:val="auto"/>
                      <w:highlight w:val="none"/>
                      <w:lang w:val="en-US" w:eastAsia="zh-CN"/>
                    </w:rPr>
                    <w:t>本项目燃料量为3113.568t/a，在建工程燃料量为7128t/a，建成后全厂燃料量为10735.776t/a，燃料库可满足25d燃料用量；本项目建成后锅炉灰渣产生量为509.98t/a，</w:t>
                  </w:r>
                  <w:r>
                    <w:rPr>
                      <w:rFonts w:hint="default" w:ascii="Times New Roman" w:hAnsi="Times New Roman" w:cs="Times New Roman"/>
                      <w:color w:val="auto"/>
                      <w:sz w:val="21"/>
                      <w:szCs w:val="21"/>
                      <w:highlight w:val="none"/>
                      <w:lang w:val="en-US" w:eastAsia="zh-CN"/>
                    </w:rPr>
                    <w:t>建成后全厂灰渣量为</w:t>
                  </w:r>
                  <w:r>
                    <w:rPr>
                      <w:rFonts w:hint="eastAsia" w:cs="Times New Roman"/>
                      <w:color w:val="auto"/>
                      <w:sz w:val="21"/>
                      <w:szCs w:val="21"/>
                      <w:highlight w:val="none"/>
                      <w:lang w:val="en-US" w:eastAsia="zh-CN"/>
                    </w:rPr>
                    <w:t>1396.48</w:t>
                  </w:r>
                  <w:r>
                    <w:rPr>
                      <w:rFonts w:hint="default" w:ascii="Times New Roman" w:hAnsi="Times New Roman" w:cs="Times New Roman"/>
                      <w:color w:val="auto"/>
                      <w:sz w:val="21"/>
                      <w:szCs w:val="21"/>
                      <w:highlight w:val="none"/>
                      <w:lang w:val="en-US" w:eastAsia="zh-CN"/>
                    </w:rPr>
                    <w:t>t/a。本项目灰渣库满足</w:t>
                  </w:r>
                  <w:r>
                    <w:rPr>
                      <w:rFonts w:hint="eastAsia" w:ascii="Times New Roman" w:hAnsi="Times New Roman" w:cs="Times New Roman"/>
                      <w:color w:val="auto"/>
                      <w:sz w:val="21"/>
                      <w:szCs w:val="21"/>
                      <w:highlight w:val="none"/>
                      <w:lang w:val="en-US" w:eastAsia="zh-CN"/>
                    </w:rPr>
                    <w:t>18</w:t>
                  </w:r>
                  <w:r>
                    <w:rPr>
                      <w:rFonts w:hint="default" w:ascii="Times New Roman" w:hAnsi="Times New Roman" w:cs="Times New Roman"/>
                      <w:color w:val="auto"/>
                      <w:sz w:val="21"/>
                      <w:szCs w:val="21"/>
                      <w:highlight w:val="none"/>
                      <w:lang w:val="en-US" w:eastAsia="zh-CN"/>
                    </w:rPr>
                    <w:t>d的储存量。</w:t>
                  </w:r>
                </w:p>
              </w:tc>
              <w:tc>
                <w:tcPr>
                  <w:tcW w:w="689" w:type="dxa"/>
                  <w:noWrap w:val="0"/>
                  <w:vAlign w:val="center"/>
                </w:tcPr>
                <w:p w14:paraId="2B7E4FD9">
                  <w:pPr>
                    <w:pStyle w:val="70"/>
                    <w:spacing w:line="240" w:lineRule="auto"/>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依托</w:t>
                  </w:r>
                </w:p>
              </w:tc>
            </w:tr>
            <w:tr w14:paraId="619E9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restart"/>
                  <w:noWrap w:val="0"/>
                  <w:vAlign w:val="center"/>
                </w:tcPr>
                <w:p w14:paraId="49AE0F66">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公用工程</w:t>
                  </w:r>
                </w:p>
              </w:tc>
              <w:tc>
                <w:tcPr>
                  <w:tcW w:w="1327" w:type="dxa"/>
                  <w:noWrap w:val="0"/>
                  <w:vAlign w:val="center"/>
                </w:tcPr>
                <w:p w14:paraId="3C1DF0B4">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lang w:val="en-US"/>
                    </w:rPr>
                    <w:t>供水</w:t>
                  </w:r>
                </w:p>
              </w:tc>
              <w:tc>
                <w:tcPr>
                  <w:tcW w:w="4498" w:type="dxa"/>
                  <w:noWrap w:val="0"/>
                  <w:vAlign w:val="center"/>
                </w:tcPr>
                <w:p w14:paraId="1F738E05">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snapToGrid w:val="0"/>
                      <w:color w:val="auto"/>
                      <w:spacing w:val="0"/>
                      <w:sz w:val="21"/>
                      <w:szCs w:val="21"/>
                      <w:highlight w:val="none"/>
                      <w:lang w:val="en-US" w:eastAsia="zh-CN"/>
                    </w:rPr>
                    <w:t>由</w:t>
                  </w:r>
                  <w:r>
                    <w:rPr>
                      <w:rFonts w:hint="default" w:ascii="Times New Roman" w:hAnsi="Times New Roman" w:cs="Times New Roman"/>
                      <w:snapToGrid w:val="0"/>
                      <w:color w:val="auto"/>
                      <w:spacing w:val="0"/>
                      <w:sz w:val="21"/>
                      <w:szCs w:val="21"/>
                      <w:highlight w:val="none"/>
                      <w:lang w:val="en-US" w:eastAsia="zh-CN"/>
                    </w:rPr>
                    <w:t>园区</w:t>
                  </w:r>
                  <w:r>
                    <w:rPr>
                      <w:rFonts w:hint="default" w:ascii="Times New Roman" w:hAnsi="Times New Roman" w:eastAsia="宋体" w:cs="Times New Roman"/>
                      <w:snapToGrid w:val="0"/>
                      <w:color w:val="auto"/>
                      <w:spacing w:val="0"/>
                      <w:sz w:val="21"/>
                      <w:szCs w:val="21"/>
                      <w:highlight w:val="none"/>
                      <w:lang w:val="en-US" w:eastAsia="zh-CN"/>
                    </w:rPr>
                    <w:t>供水管网供给，本项目用水主要为锅炉</w:t>
                  </w:r>
                  <w:r>
                    <w:rPr>
                      <w:rFonts w:hint="default" w:ascii="Times New Roman" w:hAnsi="Times New Roman" w:cs="Times New Roman"/>
                      <w:snapToGrid w:val="0"/>
                      <w:color w:val="auto"/>
                      <w:spacing w:val="0"/>
                      <w:sz w:val="21"/>
                      <w:szCs w:val="21"/>
                      <w:highlight w:val="none"/>
                      <w:lang w:val="en-US" w:eastAsia="zh-CN"/>
                    </w:rPr>
                    <w:t>补</w:t>
                  </w:r>
                  <w:r>
                    <w:rPr>
                      <w:rFonts w:hint="default" w:ascii="Times New Roman" w:hAnsi="Times New Roman" w:eastAsia="宋体" w:cs="Times New Roman"/>
                      <w:snapToGrid w:val="0"/>
                      <w:color w:val="auto"/>
                      <w:spacing w:val="0"/>
                      <w:sz w:val="21"/>
                      <w:szCs w:val="21"/>
                      <w:highlight w:val="none"/>
                      <w:lang w:val="en-US" w:eastAsia="zh-CN"/>
                    </w:rPr>
                    <w:t>水。</w:t>
                  </w:r>
                  <w:r>
                    <w:rPr>
                      <w:rFonts w:hint="default" w:ascii="Times New Roman" w:hAnsi="Times New Roman" w:cs="Times New Roman"/>
                      <w:snapToGrid w:val="0"/>
                      <w:color w:val="auto"/>
                      <w:spacing w:val="0"/>
                      <w:sz w:val="21"/>
                      <w:szCs w:val="21"/>
                      <w:highlight w:val="none"/>
                      <w:lang w:val="en-US" w:eastAsia="zh-CN"/>
                    </w:rPr>
                    <w:t>用水量为</w:t>
                  </w:r>
                  <w:r>
                    <w:rPr>
                      <w:rFonts w:hint="eastAsia" w:cs="Times New Roman"/>
                      <w:snapToGrid w:val="0"/>
                      <w:color w:val="auto"/>
                      <w:spacing w:val="0"/>
                      <w:sz w:val="21"/>
                      <w:szCs w:val="21"/>
                      <w:highlight w:val="none"/>
                      <w:lang w:val="en-US" w:eastAsia="zh-CN"/>
                    </w:rPr>
                    <w:t>21587.16</w:t>
                  </w:r>
                  <w:r>
                    <w:rPr>
                      <w:rFonts w:hint="default" w:ascii="Times New Roman" w:hAnsi="Times New Roman" w:cs="Times New Roman"/>
                      <w:snapToGrid w:val="0"/>
                      <w:color w:val="auto"/>
                      <w:spacing w:val="0"/>
                      <w:sz w:val="21"/>
                      <w:szCs w:val="21"/>
                      <w:highlight w:val="none"/>
                      <w:lang w:val="en-US" w:eastAsia="zh-CN"/>
                    </w:rPr>
                    <w:t>t/a。</w:t>
                  </w:r>
                </w:p>
              </w:tc>
              <w:tc>
                <w:tcPr>
                  <w:tcW w:w="689" w:type="dxa"/>
                  <w:noWrap w:val="0"/>
                  <w:vAlign w:val="center"/>
                </w:tcPr>
                <w:p w14:paraId="0E83ECBB">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snapToGrid w:val="0"/>
                      <w:color w:val="auto"/>
                      <w:spacing w:val="0"/>
                      <w:sz w:val="21"/>
                      <w:szCs w:val="21"/>
                      <w:highlight w:val="none"/>
                      <w:lang w:val="en-US" w:eastAsia="zh-CN"/>
                    </w:rPr>
                    <w:t>依托</w:t>
                  </w:r>
                </w:p>
              </w:tc>
            </w:tr>
            <w:tr w14:paraId="5EC26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noWrap w:val="0"/>
                  <w:vAlign w:val="center"/>
                </w:tcPr>
                <w:p w14:paraId="28D22679">
                  <w:pPr>
                    <w:pStyle w:val="70"/>
                    <w:spacing w:line="240" w:lineRule="auto"/>
                    <w:jc w:val="center"/>
                    <w:rPr>
                      <w:rFonts w:hint="default" w:ascii="Times New Roman" w:hAnsi="Times New Roman" w:eastAsia="宋体" w:cs="Times New Roman"/>
                      <w:snapToGrid w:val="0"/>
                      <w:color w:val="auto"/>
                      <w:spacing w:val="0"/>
                      <w:sz w:val="21"/>
                      <w:szCs w:val="21"/>
                      <w:highlight w:val="none"/>
                    </w:rPr>
                  </w:pPr>
                </w:p>
              </w:tc>
              <w:tc>
                <w:tcPr>
                  <w:tcW w:w="1327" w:type="dxa"/>
                  <w:noWrap w:val="0"/>
                  <w:vAlign w:val="center"/>
                </w:tcPr>
                <w:p w14:paraId="3BF5BF4D">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rPr>
                  </w:pPr>
                  <w:r>
                    <w:rPr>
                      <w:rFonts w:hint="default" w:ascii="Times New Roman" w:hAnsi="Times New Roman" w:eastAsia="宋体" w:cs="Times New Roman"/>
                      <w:snapToGrid w:val="0"/>
                      <w:color w:val="auto"/>
                      <w:spacing w:val="0"/>
                      <w:sz w:val="21"/>
                      <w:szCs w:val="21"/>
                      <w:highlight w:val="none"/>
                      <w:lang w:val="en-US"/>
                    </w:rPr>
                    <w:t>排水</w:t>
                  </w:r>
                </w:p>
              </w:tc>
              <w:tc>
                <w:tcPr>
                  <w:tcW w:w="4498" w:type="dxa"/>
                  <w:noWrap w:val="0"/>
                  <w:vAlign w:val="center"/>
                </w:tcPr>
                <w:p w14:paraId="297DDBE7">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本项目建成后外排废水主要为锅炉排污水和</w:t>
                  </w:r>
                  <w:r>
                    <w:rPr>
                      <w:rFonts w:hint="default" w:ascii="Times New Roman" w:hAnsi="Times New Roman" w:cs="Times New Roman"/>
                      <w:color w:val="auto"/>
                      <w:spacing w:val="0"/>
                      <w:sz w:val="21"/>
                      <w:szCs w:val="21"/>
                      <w:highlight w:val="none"/>
                      <w:lang w:val="en-US" w:eastAsia="zh-CN"/>
                    </w:rPr>
                    <w:t>软水制备废水</w:t>
                  </w:r>
                  <w:r>
                    <w:rPr>
                      <w:rFonts w:hint="default" w:ascii="Times New Roman" w:hAnsi="Times New Roman" w:eastAsia="宋体" w:cs="Times New Roman"/>
                      <w:color w:val="auto"/>
                      <w:spacing w:val="0"/>
                      <w:sz w:val="21"/>
                      <w:szCs w:val="21"/>
                      <w:highlight w:val="none"/>
                      <w:lang w:val="en-US" w:eastAsia="zh-CN"/>
                    </w:rPr>
                    <w:t>，锅炉排污水</w:t>
                  </w:r>
                  <w:r>
                    <w:rPr>
                      <w:rFonts w:hint="default" w:ascii="Times New Roman" w:hAnsi="Times New Roman" w:cs="Times New Roman"/>
                      <w:color w:val="auto"/>
                      <w:spacing w:val="0"/>
                      <w:sz w:val="21"/>
                      <w:szCs w:val="21"/>
                      <w:highlight w:val="none"/>
                      <w:lang w:val="en-US" w:eastAsia="zh-CN"/>
                    </w:rPr>
                    <w:t>和软水制备废水</w:t>
                  </w:r>
                  <w:r>
                    <w:rPr>
                      <w:rFonts w:hint="default" w:ascii="Times New Roman" w:hAnsi="Times New Roman" w:eastAsia="宋体" w:cs="Times New Roman"/>
                      <w:color w:val="auto"/>
                      <w:spacing w:val="0"/>
                      <w:sz w:val="21"/>
                      <w:szCs w:val="21"/>
                      <w:highlight w:val="none"/>
                      <w:lang w:val="en-US" w:eastAsia="zh-CN"/>
                    </w:rPr>
                    <w:t>经污水管网排放至</w:t>
                  </w:r>
                  <w:r>
                    <w:rPr>
                      <w:rFonts w:hint="default" w:ascii="Times New Roman" w:hAnsi="Times New Roman" w:cs="Times New Roman"/>
                      <w:color w:val="auto"/>
                      <w:spacing w:val="0"/>
                      <w:sz w:val="21"/>
                      <w:szCs w:val="21"/>
                      <w:highlight w:val="none"/>
                      <w:lang w:val="en-US" w:eastAsia="zh-CN"/>
                    </w:rPr>
                    <w:t>梨树工业谷污水处理厂</w:t>
                  </w:r>
                  <w:r>
                    <w:rPr>
                      <w:rFonts w:hint="default" w:ascii="Times New Roman" w:hAnsi="Times New Roman" w:eastAsia="宋体" w:cs="Times New Roman"/>
                      <w:color w:val="auto"/>
                      <w:spacing w:val="0"/>
                      <w:sz w:val="21"/>
                      <w:szCs w:val="21"/>
                      <w:highlight w:val="none"/>
                      <w:lang w:val="en-US" w:eastAsia="zh-CN"/>
                    </w:rPr>
                    <w:t>集中处理。</w:t>
                  </w:r>
                </w:p>
              </w:tc>
              <w:tc>
                <w:tcPr>
                  <w:tcW w:w="689" w:type="dxa"/>
                  <w:noWrap w:val="0"/>
                  <w:vAlign w:val="center"/>
                </w:tcPr>
                <w:p w14:paraId="63A65219">
                  <w:pPr>
                    <w:pStyle w:val="70"/>
                    <w:spacing w:line="240" w:lineRule="auto"/>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依托</w:t>
                  </w:r>
                </w:p>
              </w:tc>
            </w:tr>
            <w:tr w14:paraId="76FB8B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noWrap w:val="0"/>
                  <w:vAlign w:val="center"/>
                </w:tcPr>
                <w:p w14:paraId="29EF40D8">
                  <w:pPr>
                    <w:pStyle w:val="70"/>
                    <w:spacing w:line="240" w:lineRule="auto"/>
                    <w:jc w:val="center"/>
                    <w:rPr>
                      <w:rFonts w:hint="default" w:ascii="Times New Roman" w:hAnsi="Times New Roman" w:eastAsia="宋体" w:cs="Times New Roman"/>
                      <w:snapToGrid w:val="0"/>
                      <w:color w:val="auto"/>
                      <w:spacing w:val="0"/>
                      <w:sz w:val="21"/>
                      <w:szCs w:val="21"/>
                      <w:highlight w:val="none"/>
                    </w:rPr>
                  </w:pPr>
                </w:p>
              </w:tc>
              <w:tc>
                <w:tcPr>
                  <w:tcW w:w="1327" w:type="dxa"/>
                  <w:noWrap w:val="0"/>
                  <w:vAlign w:val="center"/>
                </w:tcPr>
                <w:p w14:paraId="4AEE1F61">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供电</w:t>
                  </w:r>
                </w:p>
              </w:tc>
              <w:tc>
                <w:tcPr>
                  <w:tcW w:w="4498" w:type="dxa"/>
                  <w:noWrap w:val="0"/>
                  <w:vAlign w:val="center"/>
                </w:tcPr>
                <w:p w14:paraId="4ADE85D8">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由</w:t>
                  </w:r>
                  <w:r>
                    <w:rPr>
                      <w:rFonts w:hint="default" w:ascii="Times New Roman" w:hAnsi="Times New Roman" w:eastAsia="宋体" w:cs="Times New Roman"/>
                      <w:snapToGrid w:val="0"/>
                      <w:color w:val="auto"/>
                      <w:spacing w:val="0"/>
                      <w:sz w:val="21"/>
                      <w:szCs w:val="21"/>
                      <w:highlight w:val="none"/>
                      <w:lang w:val="en-US" w:eastAsia="zh-CN"/>
                    </w:rPr>
                    <w:t>园区</w:t>
                  </w:r>
                  <w:r>
                    <w:rPr>
                      <w:rFonts w:hint="default" w:ascii="Times New Roman" w:hAnsi="Times New Roman" w:eastAsia="宋体" w:cs="Times New Roman"/>
                      <w:snapToGrid w:val="0"/>
                      <w:color w:val="auto"/>
                      <w:spacing w:val="0"/>
                      <w:sz w:val="21"/>
                      <w:szCs w:val="21"/>
                      <w:highlight w:val="none"/>
                    </w:rPr>
                    <w:t>市政供电管网统一供给。</w:t>
                  </w:r>
                </w:p>
              </w:tc>
              <w:tc>
                <w:tcPr>
                  <w:tcW w:w="689" w:type="dxa"/>
                  <w:noWrap w:val="0"/>
                  <w:vAlign w:val="center"/>
                </w:tcPr>
                <w:p w14:paraId="15B73E63">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snapToGrid w:val="0"/>
                      <w:color w:val="auto"/>
                      <w:spacing w:val="0"/>
                      <w:sz w:val="21"/>
                      <w:szCs w:val="21"/>
                      <w:highlight w:val="none"/>
                      <w:lang w:val="en-US" w:eastAsia="zh-CN"/>
                    </w:rPr>
                    <w:t>依托</w:t>
                  </w:r>
                </w:p>
              </w:tc>
            </w:tr>
            <w:tr w14:paraId="4AE47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noWrap w:val="0"/>
                  <w:vAlign w:val="center"/>
                </w:tcPr>
                <w:p w14:paraId="39220847">
                  <w:pPr>
                    <w:pStyle w:val="70"/>
                    <w:spacing w:line="240" w:lineRule="auto"/>
                    <w:jc w:val="center"/>
                    <w:rPr>
                      <w:rFonts w:hint="default" w:ascii="Times New Roman" w:hAnsi="Times New Roman" w:eastAsia="宋体" w:cs="Times New Roman"/>
                      <w:snapToGrid w:val="0"/>
                      <w:color w:val="auto"/>
                      <w:spacing w:val="0"/>
                      <w:sz w:val="21"/>
                      <w:szCs w:val="21"/>
                      <w:highlight w:val="none"/>
                    </w:rPr>
                  </w:pPr>
                </w:p>
              </w:tc>
              <w:tc>
                <w:tcPr>
                  <w:tcW w:w="1327" w:type="dxa"/>
                  <w:noWrap w:val="0"/>
                  <w:vAlign w:val="center"/>
                </w:tcPr>
                <w:p w14:paraId="40F8F3DA">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kern w:val="0"/>
                      <w:sz w:val="21"/>
                      <w:szCs w:val="21"/>
                      <w:highlight w:val="none"/>
                    </w:rPr>
                    <w:t>供热</w:t>
                  </w:r>
                </w:p>
              </w:tc>
              <w:tc>
                <w:tcPr>
                  <w:tcW w:w="4498" w:type="dxa"/>
                  <w:noWrap w:val="0"/>
                  <w:vAlign w:val="center"/>
                </w:tcPr>
                <w:p w14:paraId="384ECF6A">
                  <w:pPr>
                    <w:pStyle w:val="20"/>
                    <w:spacing w:after="0" w:line="240" w:lineRule="auto"/>
                    <w:ind w:left="0" w:leftChars="0" w:firstLine="0" w:firstLineChars="0"/>
                    <w:jc w:val="center"/>
                    <w:rPr>
                      <w:rFonts w:hint="default" w:ascii="Times New Roman" w:hAnsi="Times New Roman" w:eastAsia="宋体" w:cs="Times New Roman"/>
                      <w:snapToGrid w:val="0"/>
                      <w:color w:val="auto"/>
                      <w:spacing w:val="0"/>
                      <w:sz w:val="21"/>
                      <w:szCs w:val="21"/>
                      <w:highlight w:val="none"/>
                      <w:lang w:val="en-US" w:eastAsia="zh-CN"/>
                    </w:rPr>
                  </w:pPr>
                  <w:r>
                    <w:rPr>
                      <w:rFonts w:hint="eastAsia"/>
                      <w:color w:val="auto"/>
                      <w:sz w:val="21"/>
                      <w:szCs w:val="21"/>
                      <w:highlight w:val="none"/>
                      <w:lang w:val="en-US" w:eastAsia="zh-CN"/>
                    </w:rPr>
                    <w:t>冬季供暖利用本项目建设的生物质锅炉</w:t>
                  </w:r>
                  <w:r>
                    <w:rPr>
                      <w:rFonts w:hint="default" w:ascii="Times New Roman" w:hAnsi="Times New Roman" w:cs="Times New Roman"/>
                      <w:snapToGrid w:val="0"/>
                      <w:color w:val="auto"/>
                      <w:spacing w:val="0"/>
                      <w:sz w:val="21"/>
                      <w:szCs w:val="21"/>
                      <w:highlight w:val="none"/>
                      <w:lang w:val="en-US" w:eastAsia="zh-CN"/>
                    </w:rPr>
                    <w:t>。</w:t>
                  </w:r>
                </w:p>
              </w:tc>
              <w:tc>
                <w:tcPr>
                  <w:tcW w:w="689" w:type="dxa"/>
                  <w:shd w:val="clear" w:color="auto" w:fill="auto"/>
                  <w:noWrap w:val="0"/>
                  <w:vAlign w:val="center"/>
                </w:tcPr>
                <w:p w14:paraId="030CB2FE">
                  <w:pPr>
                    <w:pStyle w:val="70"/>
                    <w:spacing w:line="240" w:lineRule="auto"/>
                    <w:jc w:val="center"/>
                    <w:rPr>
                      <w:rFonts w:hint="default" w:ascii="Times New Roman" w:hAnsi="Times New Roman" w:eastAsia="宋体" w:cs="Times New Roman"/>
                      <w:snapToGrid w:val="0"/>
                      <w:color w:val="auto"/>
                      <w:spacing w:val="0"/>
                      <w:kern w:val="2"/>
                      <w:sz w:val="21"/>
                      <w:szCs w:val="21"/>
                      <w:highlight w:val="none"/>
                      <w:lang w:val="en-US" w:eastAsia="zh-CN" w:bidi="ar-SA"/>
                    </w:rPr>
                  </w:pPr>
                  <w:r>
                    <w:rPr>
                      <w:rFonts w:hint="eastAsia" w:cs="Times New Roman"/>
                      <w:snapToGrid w:val="0"/>
                      <w:color w:val="auto"/>
                      <w:spacing w:val="0"/>
                      <w:sz w:val="21"/>
                      <w:szCs w:val="21"/>
                      <w:highlight w:val="none"/>
                      <w:lang w:val="en-US" w:eastAsia="zh-CN"/>
                    </w:rPr>
                    <w:t>新建</w:t>
                  </w:r>
                </w:p>
              </w:tc>
            </w:tr>
            <w:tr w14:paraId="0B77CA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restart"/>
                  <w:noWrap w:val="0"/>
                  <w:vAlign w:val="center"/>
                </w:tcPr>
                <w:p w14:paraId="772E9AD6">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环保工程</w:t>
                  </w:r>
                </w:p>
              </w:tc>
              <w:tc>
                <w:tcPr>
                  <w:tcW w:w="1327" w:type="dxa"/>
                  <w:noWrap w:val="0"/>
                  <w:vAlign w:val="center"/>
                </w:tcPr>
                <w:p w14:paraId="16926FAF">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废水治理</w:t>
                  </w:r>
                </w:p>
              </w:tc>
              <w:tc>
                <w:tcPr>
                  <w:tcW w:w="4498" w:type="dxa"/>
                  <w:noWrap w:val="0"/>
                  <w:vAlign w:val="center"/>
                </w:tcPr>
                <w:p w14:paraId="2E70F0F4">
                  <w:pPr>
                    <w:spacing w:line="240" w:lineRule="auto"/>
                    <w:ind w:left="0" w:leftChars="0" w:firstLine="0" w:firstLineChars="0"/>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本项目建成后外排废水主要为锅炉排污水和</w:t>
                  </w:r>
                  <w:r>
                    <w:rPr>
                      <w:rFonts w:hint="default" w:ascii="Times New Roman" w:hAnsi="Times New Roman" w:cs="Times New Roman"/>
                      <w:color w:val="auto"/>
                      <w:spacing w:val="0"/>
                      <w:sz w:val="21"/>
                      <w:szCs w:val="21"/>
                      <w:highlight w:val="none"/>
                      <w:lang w:val="en-US" w:eastAsia="zh-CN"/>
                    </w:rPr>
                    <w:t>软水制备废水</w:t>
                  </w:r>
                  <w:r>
                    <w:rPr>
                      <w:rFonts w:hint="default" w:ascii="Times New Roman" w:hAnsi="Times New Roman" w:eastAsia="宋体" w:cs="Times New Roman"/>
                      <w:color w:val="auto"/>
                      <w:spacing w:val="0"/>
                      <w:sz w:val="21"/>
                      <w:szCs w:val="21"/>
                      <w:highlight w:val="none"/>
                      <w:lang w:val="en-US" w:eastAsia="zh-CN"/>
                    </w:rPr>
                    <w:t>，锅炉排污水</w:t>
                  </w:r>
                  <w:r>
                    <w:rPr>
                      <w:rFonts w:hint="default" w:ascii="Times New Roman" w:hAnsi="Times New Roman" w:cs="Times New Roman"/>
                      <w:color w:val="auto"/>
                      <w:spacing w:val="0"/>
                      <w:sz w:val="21"/>
                      <w:szCs w:val="21"/>
                      <w:highlight w:val="none"/>
                      <w:lang w:val="en-US" w:eastAsia="zh-CN"/>
                    </w:rPr>
                    <w:t>和软水制备废水</w:t>
                  </w:r>
                  <w:r>
                    <w:rPr>
                      <w:rFonts w:hint="eastAsia" w:ascii="Times New Roman" w:hAnsi="Times New Roman" w:cs="Times New Roman"/>
                      <w:color w:val="auto"/>
                      <w:spacing w:val="0"/>
                      <w:sz w:val="21"/>
                      <w:szCs w:val="21"/>
                      <w:highlight w:val="none"/>
                      <w:lang w:val="en-US" w:eastAsia="zh-CN"/>
                    </w:rPr>
                    <w:t>无需进行收集，产生的废水直接</w:t>
                  </w:r>
                  <w:r>
                    <w:rPr>
                      <w:rFonts w:hint="default" w:ascii="Times New Roman" w:hAnsi="Times New Roman" w:eastAsia="宋体" w:cs="Times New Roman"/>
                      <w:color w:val="auto"/>
                      <w:spacing w:val="0"/>
                      <w:sz w:val="21"/>
                      <w:szCs w:val="21"/>
                      <w:highlight w:val="none"/>
                      <w:lang w:val="en-US" w:eastAsia="zh-CN"/>
                    </w:rPr>
                    <w:t>经污水管网排放至</w:t>
                  </w:r>
                  <w:r>
                    <w:rPr>
                      <w:rFonts w:hint="default" w:ascii="Times New Roman" w:hAnsi="Times New Roman" w:cs="Times New Roman"/>
                      <w:color w:val="auto"/>
                      <w:spacing w:val="0"/>
                      <w:sz w:val="21"/>
                      <w:szCs w:val="21"/>
                      <w:highlight w:val="none"/>
                      <w:lang w:val="en-US" w:eastAsia="zh-CN"/>
                    </w:rPr>
                    <w:t>梨树工业谷污水处理厂</w:t>
                  </w:r>
                  <w:r>
                    <w:rPr>
                      <w:rFonts w:hint="default" w:ascii="Times New Roman" w:hAnsi="Times New Roman" w:eastAsia="宋体" w:cs="Times New Roman"/>
                      <w:color w:val="auto"/>
                      <w:spacing w:val="0"/>
                      <w:sz w:val="21"/>
                      <w:szCs w:val="21"/>
                      <w:highlight w:val="none"/>
                      <w:lang w:val="en-US" w:eastAsia="zh-CN"/>
                    </w:rPr>
                    <w:t>集中处理。</w:t>
                  </w:r>
                </w:p>
              </w:tc>
              <w:tc>
                <w:tcPr>
                  <w:tcW w:w="689" w:type="dxa"/>
                  <w:noWrap w:val="0"/>
                  <w:vAlign w:val="center"/>
                </w:tcPr>
                <w:p w14:paraId="1624B9F7">
                  <w:pPr>
                    <w:spacing w:line="240" w:lineRule="auto"/>
                    <w:ind w:left="0" w:leftChars="0"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bCs/>
                      <w:color w:val="auto"/>
                      <w:spacing w:val="0"/>
                      <w:kern w:val="2"/>
                      <w:sz w:val="21"/>
                      <w:szCs w:val="21"/>
                      <w:highlight w:val="none"/>
                      <w:lang w:val="en-US" w:eastAsia="zh-CN" w:bidi="ar-SA"/>
                    </w:rPr>
                    <w:t>新建</w:t>
                  </w:r>
                </w:p>
              </w:tc>
            </w:tr>
            <w:tr w14:paraId="37289E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noWrap w:val="0"/>
                  <w:vAlign w:val="center"/>
                </w:tcPr>
                <w:p w14:paraId="00D64269">
                  <w:pPr>
                    <w:pStyle w:val="70"/>
                    <w:spacing w:line="240" w:lineRule="auto"/>
                    <w:jc w:val="center"/>
                    <w:rPr>
                      <w:rFonts w:hint="default" w:ascii="Times New Roman" w:hAnsi="Times New Roman" w:eastAsia="宋体" w:cs="Times New Roman"/>
                      <w:snapToGrid w:val="0"/>
                      <w:color w:val="auto"/>
                      <w:spacing w:val="0"/>
                      <w:sz w:val="21"/>
                      <w:szCs w:val="21"/>
                      <w:highlight w:val="none"/>
                    </w:rPr>
                  </w:pPr>
                </w:p>
              </w:tc>
              <w:tc>
                <w:tcPr>
                  <w:tcW w:w="1327" w:type="dxa"/>
                  <w:noWrap w:val="0"/>
                  <w:vAlign w:val="center"/>
                </w:tcPr>
                <w:p w14:paraId="4778B025">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rPr>
                  </w:pPr>
                  <w:r>
                    <w:rPr>
                      <w:rFonts w:hint="default" w:ascii="Times New Roman" w:hAnsi="Times New Roman" w:eastAsia="宋体" w:cs="Times New Roman"/>
                      <w:snapToGrid w:val="0"/>
                      <w:color w:val="auto"/>
                      <w:spacing w:val="0"/>
                      <w:sz w:val="21"/>
                      <w:szCs w:val="21"/>
                      <w:highlight w:val="none"/>
                      <w:lang w:val="en-US"/>
                    </w:rPr>
                    <w:t>噪声治理</w:t>
                  </w:r>
                </w:p>
              </w:tc>
              <w:tc>
                <w:tcPr>
                  <w:tcW w:w="4498" w:type="dxa"/>
                  <w:noWrap w:val="0"/>
                  <w:vAlign w:val="center"/>
                </w:tcPr>
                <w:p w14:paraId="1B347CF5">
                  <w:pPr>
                    <w:pStyle w:val="70"/>
                    <w:spacing w:line="240" w:lineRule="auto"/>
                    <w:ind w:firstLine="420" w:firstLineChars="200"/>
                    <w:jc w:val="center"/>
                    <w:rPr>
                      <w:rFonts w:hint="default" w:ascii="Times New Roman" w:hAnsi="Times New Roman" w:eastAsia="宋体" w:cs="Times New Roman"/>
                      <w:snapToGrid w:val="0"/>
                      <w:color w:val="auto"/>
                      <w:spacing w:val="0"/>
                      <w:sz w:val="21"/>
                      <w:szCs w:val="21"/>
                      <w:highlight w:val="none"/>
                      <w:lang w:eastAsia="zh-CN"/>
                    </w:rPr>
                  </w:pPr>
                  <w:r>
                    <w:rPr>
                      <w:rFonts w:hint="default" w:ascii="Times New Roman" w:hAnsi="Times New Roman" w:cs="Times New Roman"/>
                      <w:color w:val="auto"/>
                      <w:spacing w:val="0"/>
                      <w:sz w:val="21"/>
                      <w:szCs w:val="21"/>
                      <w:highlight w:val="none"/>
                      <w:lang w:val="en-US" w:eastAsia="zh-CN"/>
                    </w:rPr>
                    <w:t>主要噪声为锅炉运行产生的噪声，在</w:t>
                  </w:r>
                  <w:r>
                    <w:rPr>
                      <w:rFonts w:hint="default" w:ascii="Times New Roman" w:hAnsi="Times New Roman" w:eastAsia="宋体" w:cs="Times New Roman"/>
                      <w:color w:val="auto"/>
                      <w:spacing w:val="0"/>
                      <w:sz w:val="21"/>
                      <w:szCs w:val="21"/>
                      <w:highlight w:val="none"/>
                      <w:lang w:eastAsia="zh-CN"/>
                    </w:rPr>
                    <w:t>通过采</w:t>
                  </w:r>
                  <w:r>
                    <w:rPr>
                      <w:rFonts w:hint="default" w:ascii="Times New Roman" w:hAnsi="Times New Roman" w:eastAsia="宋体" w:cs="Times New Roman"/>
                      <w:color w:val="auto"/>
                      <w:spacing w:val="0"/>
                      <w:sz w:val="21"/>
                      <w:szCs w:val="21"/>
                      <w:highlight w:val="none"/>
                      <w:lang w:val="en-US" w:eastAsia="zh-CN"/>
                    </w:rPr>
                    <w:t>用</w:t>
                  </w:r>
                  <w:r>
                    <w:rPr>
                      <w:rFonts w:hint="default" w:ascii="Times New Roman" w:hAnsi="Times New Roman" w:eastAsia="宋体" w:cs="Times New Roman"/>
                      <w:color w:val="auto"/>
                      <w:spacing w:val="0"/>
                      <w:sz w:val="21"/>
                      <w:szCs w:val="21"/>
                      <w:highlight w:val="none"/>
                      <w:lang w:eastAsia="zh-CN"/>
                    </w:rPr>
                    <w:t>基础减振、安装隔声罩、厂房隔声等措施</w:t>
                  </w:r>
                  <w:r>
                    <w:rPr>
                      <w:rFonts w:hint="default" w:ascii="Times New Roman" w:hAnsi="Times New Roman" w:cs="Times New Roman"/>
                      <w:color w:val="auto"/>
                      <w:spacing w:val="0"/>
                      <w:sz w:val="21"/>
                      <w:szCs w:val="21"/>
                      <w:highlight w:val="none"/>
                      <w:lang w:val="en-US" w:eastAsia="zh-CN"/>
                    </w:rPr>
                    <w:t>后</w:t>
                  </w:r>
                  <w:r>
                    <w:rPr>
                      <w:rFonts w:hint="default" w:ascii="Times New Roman" w:hAnsi="Times New Roman" w:cs="Times New Roman"/>
                      <w:color w:val="auto"/>
                      <w:spacing w:val="0"/>
                      <w:sz w:val="21"/>
                      <w:szCs w:val="21"/>
                      <w:highlight w:val="none"/>
                      <w:lang w:eastAsia="zh-CN"/>
                    </w:rPr>
                    <w:t>，厂界</w:t>
                  </w:r>
                  <w:r>
                    <w:rPr>
                      <w:rFonts w:hint="default" w:ascii="Times New Roman" w:hAnsi="Times New Roman" w:cs="Times New Roman"/>
                      <w:color w:val="auto"/>
                      <w:spacing w:val="0"/>
                      <w:sz w:val="21"/>
                      <w:szCs w:val="21"/>
                      <w:highlight w:val="none"/>
                      <w:lang w:val="en-US" w:eastAsia="zh-CN"/>
                    </w:rPr>
                    <w:t>四</w:t>
                  </w:r>
                  <w:r>
                    <w:rPr>
                      <w:rFonts w:hint="default" w:ascii="Times New Roman" w:hAnsi="Times New Roman" w:cs="Times New Roman"/>
                      <w:color w:val="auto"/>
                      <w:spacing w:val="0"/>
                      <w:sz w:val="21"/>
                      <w:szCs w:val="21"/>
                      <w:highlight w:val="none"/>
                      <w:lang w:eastAsia="zh-CN"/>
                    </w:rPr>
                    <w:t>侧可满足《工业企业厂界环境噪声排放标准》（GB</w:t>
                  </w:r>
                  <w:r>
                    <w:rPr>
                      <w:rFonts w:hint="default" w:ascii="Times New Roman" w:hAnsi="Times New Roman" w:cs="Times New Roman"/>
                      <w:color w:val="auto"/>
                      <w:spacing w:val="0"/>
                      <w:sz w:val="21"/>
                      <w:szCs w:val="21"/>
                      <w:highlight w:val="none"/>
                      <w:lang w:val="en-US" w:eastAsia="zh-CN"/>
                    </w:rPr>
                    <w:t xml:space="preserve"> </w:t>
                  </w:r>
                  <w:r>
                    <w:rPr>
                      <w:rFonts w:hint="default" w:ascii="Times New Roman" w:hAnsi="Times New Roman" w:cs="Times New Roman"/>
                      <w:color w:val="auto"/>
                      <w:spacing w:val="0"/>
                      <w:sz w:val="21"/>
                      <w:szCs w:val="21"/>
                      <w:highlight w:val="none"/>
                      <w:lang w:eastAsia="zh-CN"/>
                    </w:rPr>
                    <w:t>12348-2008）表1中</w:t>
                  </w:r>
                  <w:r>
                    <w:rPr>
                      <w:rFonts w:hint="default" w:ascii="Times New Roman" w:hAnsi="Times New Roman" w:cs="Times New Roman"/>
                      <w:color w:val="auto"/>
                      <w:spacing w:val="0"/>
                      <w:sz w:val="21"/>
                      <w:szCs w:val="21"/>
                      <w:highlight w:val="none"/>
                      <w:lang w:val="en-US" w:eastAsia="zh-CN"/>
                    </w:rPr>
                    <w:t>3</w:t>
                  </w:r>
                  <w:r>
                    <w:rPr>
                      <w:rFonts w:hint="default" w:ascii="Times New Roman" w:hAnsi="Times New Roman" w:cs="Times New Roman"/>
                      <w:color w:val="auto"/>
                      <w:spacing w:val="0"/>
                      <w:sz w:val="21"/>
                      <w:szCs w:val="21"/>
                      <w:highlight w:val="none"/>
                      <w:lang w:eastAsia="zh-CN"/>
                    </w:rPr>
                    <w:t>类标准要求。</w:t>
                  </w:r>
                </w:p>
              </w:tc>
              <w:tc>
                <w:tcPr>
                  <w:tcW w:w="689" w:type="dxa"/>
                  <w:noWrap w:val="0"/>
                  <w:vAlign w:val="center"/>
                </w:tcPr>
                <w:p w14:paraId="750C265D">
                  <w:pPr>
                    <w:pStyle w:val="70"/>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eastAsia="宋体" w:cs="Times New Roman"/>
                      <w:bCs/>
                      <w:color w:val="auto"/>
                      <w:spacing w:val="0"/>
                      <w:kern w:val="2"/>
                      <w:sz w:val="21"/>
                      <w:szCs w:val="21"/>
                      <w:highlight w:val="none"/>
                      <w:lang w:val="en-US" w:eastAsia="zh-CN" w:bidi="ar-SA"/>
                    </w:rPr>
                    <w:t>新建</w:t>
                  </w:r>
                </w:p>
              </w:tc>
            </w:tr>
            <w:tr w14:paraId="4664EF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57" w:type="dxa"/>
                  <w:vMerge w:val="continue"/>
                  <w:noWrap w:val="0"/>
                  <w:vAlign w:val="center"/>
                </w:tcPr>
                <w:p w14:paraId="4F5AFD0C">
                  <w:pPr>
                    <w:pStyle w:val="70"/>
                    <w:spacing w:line="240" w:lineRule="auto"/>
                    <w:jc w:val="center"/>
                    <w:rPr>
                      <w:rFonts w:hint="default" w:ascii="Times New Roman" w:hAnsi="Times New Roman" w:eastAsia="宋体" w:cs="Times New Roman"/>
                      <w:snapToGrid w:val="0"/>
                      <w:color w:val="auto"/>
                      <w:spacing w:val="0"/>
                      <w:sz w:val="21"/>
                      <w:szCs w:val="21"/>
                      <w:highlight w:val="none"/>
                    </w:rPr>
                  </w:pPr>
                </w:p>
              </w:tc>
              <w:tc>
                <w:tcPr>
                  <w:tcW w:w="1327" w:type="dxa"/>
                  <w:noWrap w:val="0"/>
                  <w:vAlign w:val="center"/>
                </w:tcPr>
                <w:p w14:paraId="2BCC328A">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snapToGrid w:val="0"/>
                      <w:color w:val="auto"/>
                      <w:spacing w:val="0"/>
                      <w:sz w:val="21"/>
                      <w:szCs w:val="21"/>
                      <w:highlight w:val="none"/>
                      <w:lang w:val="en-US" w:eastAsia="zh-CN"/>
                    </w:rPr>
                    <w:t>废气</w:t>
                  </w:r>
                </w:p>
              </w:tc>
              <w:tc>
                <w:tcPr>
                  <w:tcW w:w="4498" w:type="dxa"/>
                  <w:noWrap w:val="0"/>
                  <w:vAlign w:val="center"/>
                </w:tcPr>
                <w:p w14:paraId="0557509C">
                  <w:pPr>
                    <w:pStyle w:val="70"/>
                    <w:spacing w:line="240" w:lineRule="auto"/>
                    <w:ind w:firstLine="420" w:firstLineChars="20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本项目产生的废气主要为</w:t>
                  </w:r>
                  <w:r>
                    <w:rPr>
                      <w:rFonts w:hint="default" w:ascii="Times New Roman" w:hAnsi="Times New Roman" w:cs="Times New Roman"/>
                      <w:color w:val="auto"/>
                      <w:spacing w:val="0"/>
                      <w:sz w:val="21"/>
                      <w:szCs w:val="21"/>
                      <w:highlight w:val="none"/>
                      <w:lang w:val="en-US" w:eastAsia="zh-CN"/>
                    </w:rPr>
                    <w:t>生物质锅炉</w:t>
                  </w:r>
                  <w:r>
                    <w:rPr>
                      <w:rFonts w:hint="default" w:ascii="Times New Roman" w:hAnsi="Times New Roman" w:eastAsia="宋体" w:cs="Times New Roman"/>
                      <w:color w:val="auto"/>
                      <w:spacing w:val="0"/>
                      <w:sz w:val="21"/>
                      <w:szCs w:val="21"/>
                      <w:highlight w:val="none"/>
                      <w:lang w:val="en-US" w:eastAsia="zh-CN"/>
                    </w:rPr>
                    <w:t>产生锅炉废气，锅炉为</w:t>
                  </w:r>
                  <w:r>
                    <w:rPr>
                      <w:rFonts w:hint="eastAsia" w:cs="Times New Roman"/>
                      <w:color w:val="auto"/>
                      <w:spacing w:val="0"/>
                      <w:sz w:val="21"/>
                      <w:szCs w:val="21"/>
                      <w:highlight w:val="none"/>
                      <w:lang w:val="en-US" w:eastAsia="zh-CN"/>
                    </w:rPr>
                    <w:t>燃生物质蒸汽</w:t>
                  </w:r>
                  <w:r>
                    <w:rPr>
                      <w:rFonts w:hint="default" w:ascii="Times New Roman" w:hAnsi="Times New Roman" w:eastAsia="宋体" w:cs="Times New Roman"/>
                      <w:color w:val="auto"/>
                      <w:spacing w:val="0"/>
                      <w:sz w:val="21"/>
                      <w:szCs w:val="21"/>
                      <w:highlight w:val="none"/>
                      <w:lang w:val="en-US" w:eastAsia="zh-CN"/>
                    </w:rPr>
                    <w:t>锅炉，锅炉配备低氮燃烧器，经低氮燃烧器处理后的烟气</w:t>
                  </w:r>
                  <w:r>
                    <w:rPr>
                      <w:rFonts w:hint="eastAsia" w:cs="Times New Roman"/>
                      <w:color w:val="auto"/>
                      <w:spacing w:val="0"/>
                      <w:sz w:val="21"/>
                      <w:szCs w:val="21"/>
                      <w:highlight w:val="none"/>
                      <w:lang w:val="en-US" w:eastAsia="zh-CN"/>
                    </w:rPr>
                    <w:t>通过“</w:t>
                  </w:r>
                  <w:r>
                    <w:rPr>
                      <w:rFonts w:hint="eastAsia" w:cs="Times New Roman"/>
                      <w:color w:val="auto"/>
                      <w:spacing w:val="0"/>
                      <w:sz w:val="21"/>
                      <w:szCs w:val="21"/>
                      <w:highlight w:val="none"/>
                      <w:lang w:val="en-US" w:eastAsia="zh-CN"/>
                    </w:rPr>
                    <w:t>低氮燃烧+旋风除尘器+布袋除尘器</w:t>
                  </w:r>
                  <w:r>
                    <w:rPr>
                      <w:rFonts w:hint="eastAsia" w:cs="Times New Roman"/>
                      <w:color w:val="auto"/>
                      <w:spacing w:val="0"/>
                      <w:sz w:val="21"/>
                      <w:szCs w:val="21"/>
                      <w:highlight w:val="none"/>
                      <w:lang w:val="en-US" w:eastAsia="zh-CN"/>
                    </w:rPr>
                    <w:t>”净化处理后</w:t>
                  </w:r>
                  <w:r>
                    <w:rPr>
                      <w:rFonts w:hint="default" w:ascii="Times New Roman" w:hAnsi="Times New Roman" w:eastAsia="宋体" w:cs="Times New Roman"/>
                      <w:color w:val="auto"/>
                      <w:spacing w:val="0"/>
                      <w:sz w:val="21"/>
                      <w:szCs w:val="21"/>
                      <w:highlight w:val="none"/>
                      <w:lang w:val="en-US" w:eastAsia="zh-CN"/>
                    </w:rPr>
                    <w:t>经</w:t>
                  </w:r>
                  <w:r>
                    <w:rPr>
                      <w:rFonts w:hint="default" w:ascii="Times New Roman" w:hAnsi="Times New Roman" w:cs="Times New Roman"/>
                      <w:color w:val="auto"/>
                      <w:spacing w:val="0"/>
                      <w:sz w:val="21"/>
                      <w:szCs w:val="21"/>
                      <w:highlight w:val="none"/>
                      <w:lang w:val="en-US" w:eastAsia="zh-CN"/>
                    </w:rPr>
                    <w:t>DA010</w:t>
                  </w:r>
                  <w:r>
                    <w:rPr>
                      <w:rFonts w:hint="default" w:ascii="Times New Roman" w:hAnsi="Times New Roman" w:eastAsia="宋体" w:cs="Times New Roman"/>
                      <w:color w:val="auto"/>
                      <w:spacing w:val="0"/>
                      <w:sz w:val="21"/>
                      <w:szCs w:val="21"/>
                      <w:highlight w:val="none"/>
                      <w:lang w:val="en-US" w:eastAsia="zh-CN"/>
                    </w:rPr>
                    <w:t>烟囱有组织排放，颗粒物、二氧化硫、氮氧化物</w:t>
                  </w:r>
                  <w:r>
                    <w:rPr>
                      <w:rFonts w:hint="eastAsia"/>
                      <w:color w:val="auto"/>
                      <w:highlight w:val="none"/>
                      <w:lang w:eastAsia="zh-CN"/>
                    </w:rPr>
                    <w:t>、</w:t>
                  </w:r>
                  <w:r>
                    <w:rPr>
                      <w:rFonts w:hint="eastAsia"/>
                      <w:color w:val="auto"/>
                      <w:highlight w:val="none"/>
                      <w:lang w:val="en-US" w:eastAsia="zh-CN"/>
                    </w:rPr>
                    <w:t>汞及其化合物、烟气黑度</w:t>
                  </w:r>
                  <w:r>
                    <w:rPr>
                      <w:rFonts w:hint="default" w:ascii="Times New Roman" w:hAnsi="Times New Roman" w:eastAsia="宋体" w:cs="Times New Roman"/>
                      <w:color w:val="auto"/>
                      <w:spacing w:val="0"/>
                      <w:sz w:val="21"/>
                      <w:szCs w:val="21"/>
                      <w:highlight w:val="none"/>
                      <w:lang w:val="en-US" w:eastAsia="zh-CN"/>
                    </w:rPr>
                    <w:t>废气排放满足《锅炉大气污染物排放标准》（GB13271-2014）表2排放限值。</w:t>
                  </w:r>
                </w:p>
              </w:tc>
              <w:tc>
                <w:tcPr>
                  <w:tcW w:w="689" w:type="dxa"/>
                  <w:noWrap w:val="0"/>
                  <w:vAlign w:val="center"/>
                </w:tcPr>
                <w:p w14:paraId="0AFCFEF0">
                  <w:pPr>
                    <w:pStyle w:val="70"/>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pacing w:val="0"/>
                      <w:kern w:val="2"/>
                      <w:sz w:val="21"/>
                      <w:szCs w:val="21"/>
                      <w:highlight w:val="none"/>
                      <w:lang w:val="en-US" w:eastAsia="zh-CN" w:bidi="ar-SA"/>
                    </w:rPr>
                  </w:pPr>
                  <w:r>
                    <w:rPr>
                      <w:rFonts w:hint="default" w:ascii="Times New Roman" w:hAnsi="Times New Roman" w:cs="Times New Roman"/>
                      <w:bCs/>
                      <w:color w:val="auto"/>
                      <w:spacing w:val="0"/>
                      <w:kern w:val="2"/>
                      <w:sz w:val="21"/>
                      <w:szCs w:val="21"/>
                      <w:highlight w:val="none"/>
                      <w:lang w:val="en-US" w:eastAsia="zh-CN" w:bidi="ar-SA"/>
                    </w:rPr>
                    <w:t>新</w:t>
                  </w:r>
                  <w:r>
                    <w:rPr>
                      <w:rFonts w:hint="default" w:ascii="Times New Roman" w:hAnsi="Times New Roman" w:eastAsia="宋体" w:cs="Times New Roman"/>
                      <w:bCs/>
                      <w:color w:val="auto"/>
                      <w:spacing w:val="0"/>
                      <w:kern w:val="2"/>
                      <w:sz w:val="21"/>
                      <w:szCs w:val="21"/>
                      <w:highlight w:val="none"/>
                      <w:lang w:val="en-US" w:eastAsia="zh-CN" w:bidi="ar-SA"/>
                    </w:rPr>
                    <w:t>建</w:t>
                  </w:r>
                </w:p>
              </w:tc>
            </w:tr>
            <w:tr w14:paraId="2CDC3B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7" w:type="dxa"/>
                  <w:vMerge w:val="continue"/>
                  <w:noWrap w:val="0"/>
                  <w:vAlign w:val="center"/>
                </w:tcPr>
                <w:p w14:paraId="01837E71">
                  <w:pPr>
                    <w:pStyle w:val="70"/>
                    <w:spacing w:line="240" w:lineRule="auto"/>
                    <w:jc w:val="center"/>
                    <w:rPr>
                      <w:rFonts w:hint="default" w:ascii="Times New Roman" w:hAnsi="Times New Roman" w:eastAsia="宋体" w:cs="Times New Roman"/>
                      <w:snapToGrid w:val="0"/>
                      <w:color w:val="auto"/>
                      <w:spacing w:val="0"/>
                      <w:sz w:val="21"/>
                      <w:szCs w:val="21"/>
                      <w:highlight w:val="none"/>
                    </w:rPr>
                  </w:pPr>
                </w:p>
              </w:tc>
              <w:tc>
                <w:tcPr>
                  <w:tcW w:w="1327" w:type="dxa"/>
                  <w:noWrap w:val="0"/>
                  <w:vAlign w:val="center"/>
                </w:tcPr>
                <w:p w14:paraId="7AED9B21">
                  <w:pPr>
                    <w:pStyle w:val="70"/>
                    <w:spacing w:line="240" w:lineRule="auto"/>
                    <w:jc w:val="center"/>
                    <w:rPr>
                      <w:rFonts w:hint="default" w:ascii="Times New Roman" w:hAnsi="Times New Roman" w:eastAsia="宋体" w:cs="Times New Roman"/>
                      <w:snapToGrid w:val="0"/>
                      <w:color w:val="auto"/>
                      <w:spacing w:val="0"/>
                      <w:sz w:val="21"/>
                      <w:szCs w:val="21"/>
                      <w:highlight w:val="none"/>
                    </w:rPr>
                  </w:pPr>
                  <w:r>
                    <w:rPr>
                      <w:rFonts w:hint="default" w:ascii="Times New Roman" w:hAnsi="Times New Roman" w:eastAsia="宋体" w:cs="Times New Roman"/>
                      <w:snapToGrid w:val="0"/>
                      <w:color w:val="auto"/>
                      <w:spacing w:val="0"/>
                      <w:sz w:val="21"/>
                      <w:szCs w:val="21"/>
                      <w:highlight w:val="none"/>
                    </w:rPr>
                    <w:t>固废治理</w:t>
                  </w:r>
                </w:p>
              </w:tc>
              <w:tc>
                <w:tcPr>
                  <w:tcW w:w="4498" w:type="dxa"/>
                  <w:noWrap w:val="0"/>
                  <w:vAlign w:val="center"/>
                </w:tcPr>
                <w:p w14:paraId="008634D6">
                  <w:pPr>
                    <w:spacing w:line="240" w:lineRule="auto"/>
                    <w:jc w:val="both"/>
                    <w:rPr>
                      <w:color w:val="auto"/>
                      <w:highlight w:val="none"/>
                    </w:rPr>
                  </w:pPr>
                  <w:r>
                    <w:rPr>
                      <w:rFonts w:hint="default" w:ascii="Times New Roman" w:hAnsi="Times New Roman" w:cs="Times New Roman"/>
                      <w:bCs w:val="0"/>
                      <w:color w:val="auto"/>
                      <w:spacing w:val="0"/>
                      <w:kern w:val="2"/>
                      <w:sz w:val="21"/>
                      <w:szCs w:val="21"/>
                      <w:highlight w:val="none"/>
                      <w:lang w:val="en-US" w:eastAsia="zh-CN" w:bidi="ar-SA"/>
                    </w:rPr>
                    <w:t>本项目不新增劳动定员，不产生生活垃圾，主要固废为废离子交换树脂、锅炉灰渣、</w:t>
                  </w:r>
                  <w:r>
                    <w:rPr>
                      <w:rFonts w:hint="eastAsia" w:ascii="Times New Roman" w:hAnsi="Times New Roman" w:cs="Times New Roman"/>
                      <w:bCs w:val="0"/>
                      <w:color w:val="auto"/>
                      <w:spacing w:val="0"/>
                      <w:kern w:val="2"/>
                      <w:sz w:val="21"/>
                      <w:szCs w:val="21"/>
                      <w:highlight w:val="none"/>
                      <w:lang w:val="en-US" w:eastAsia="zh-CN" w:bidi="ar-SA"/>
                    </w:rPr>
                    <w:t>除尘器</w:t>
                  </w:r>
                  <w:r>
                    <w:rPr>
                      <w:rFonts w:hint="default" w:ascii="Times New Roman" w:hAnsi="Times New Roman" w:cs="Times New Roman"/>
                      <w:bCs w:val="0"/>
                      <w:color w:val="auto"/>
                      <w:spacing w:val="0"/>
                      <w:kern w:val="2"/>
                      <w:sz w:val="21"/>
                      <w:szCs w:val="21"/>
                      <w:highlight w:val="none"/>
                      <w:lang w:val="en-US" w:eastAsia="zh-CN" w:bidi="ar-SA"/>
                    </w:rPr>
                    <w:t>集尘、废布袋和废机油、废机油桶、含油棉纱，废离子交换树脂</w:t>
                  </w:r>
                  <w:r>
                    <w:rPr>
                      <w:rFonts w:hint="eastAsia" w:ascii="Times New Roman" w:hAnsi="Times New Roman" w:cs="Times New Roman"/>
                      <w:bCs w:val="0"/>
                      <w:color w:val="auto"/>
                      <w:spacing w:val="0"/>
                      <w:kern w:val="2"/>
                      <w:sz w:val="21"/>
                      <w:szCs w:val="21"/>
                      <w:highlight w:val="none"/>
                      <w:lang w:val="en-US" w:eastAsia="zh-CN" w:bidi="ar-SA"/>
                    </w:rPr>
                    <w:t>交厂家回收，</w:t>
                  </w:r>
                  <w:r>
                    <w:rPr>
                      <w:rFonts w:hint="default" w:ascii="Times New Roman" w:hAnsi="Times New Roman" w:cs="Times New Roman"/>
                      <w:bCs w:val="0"/>
                      <w:color w:val="auto"/>
                      <w:spacing w:val="0"/>
                      <w:kern w:val="2"/>
                      <w:sz w:val="21"/>
                      <w:szCs w:val="21"/>
                      <w:highlight w:val="none"/>
                      <w:lang w:val="en-US" w:eastAsia="zh-CN" w:bidi="ar-SA"/>
                    </w:rPr>
                    <w:t>废布袋收集后交厂家回收再生处理。废机油、废机油桶、含油棉纱</w:t>
                  </w:r>
                  <w:r>
                    <w:rPr>
                      <w:rFonts w:hint="eastAsia" w:ascii="Times New Roman" w:hAnsi="Times New Roman" w:cs="Times New Roman"/>
                      <w:bCs w:val="0"/>
                      <w:color w:val="auto"/>
                      <w:spacing w:val="0"/>
                      <w:kern w:val="2"/>
                      <w:sz w:val="21"/>
                      <w:szCs w:val="21"/>
                      <w:highlight w:val="none"/>
                      <w:lang w:val="en-US" w:eastAsia="zh-CN" w:bidi="ar-SA"/>
                    </w:rPr>
                    <w:t>属于危险废物</w:t>
                  </w:r>
                  <w:r>
                    <w:rPr>
                      <w:rFonts w:hint="default" w:ascii="Times New Roman" w:hAnsi="Times New Roman" w:cs="Times New Roman"/>
                      <w:bCs w:val="0"/>
                      <w:color w:val="auto"/>
                      <w:spacing w:val="0"/>
                      <w:kern w:val="2"/>
                      <w:sz w:val="21"/>
                      <w:szCs w:val="21"/>
                      <w:highlight w:val="none"/>
                      <w:lang w:val="en-US" w:eastAsia="zh-CN" w:bidi="ar-SA"/>
                    </w:rPr>
                    <w:t>交有资质单位处置。锅炉灰渣和</w:t>
                  </w:r>
                  <w:r>
                    <w:rPr>
                      <w:rFonts w:hint="eastAsia" w:ascii="Times New Roman" w:hAnsi="Times New Roman" w:cs="Times New Roman"/>
                      <w:bCs w:val="0"/>
                      <w:color w:val="auto"/>
                      <w:spacing w:val="0"/>
                      <w:kern w:val="2"/>
                      <w:sz w:val="21"/>
                      <w:szCs w:val="21"/>
                      <w:highlight w:val="none"/>
                      <w:lang w:val="en-US" w:eastAsia="zh-CN" w:bidi="ar-SA"/>
                    </w:rPr>
                    <w:t>除尘器</w:t>
                  </w:r>
                  <w:r>
                    <w:rPr>
                      <w:rFonts w:hint="default" w:ascii="Times New Roman" w:hAnsi="Times New Roman" w:cs="Times New Roman"/>
                      <w:bCs w:val="0"/>
                      <w:color w:val="auto"/>
                      <w:spacing w:val="0"/>
                      <w:kern w:val="2"/>
                      <w:sz w:val="21"/>
                      <w:szCs w:val="21"/>
                      <w:highlight w:val="none"/>
                      <w:lang w:val="en-US" w:eastAsia="zh-CN" w:bidi="ar-SA"/>
                    </w:rPr>
                    <w:t>集尘外售综合利用。</w:t>
                  </w:r>
                </w:p>
                <w:p w14:paraId="09DC68B6">
                  <w:pPr>
                    <w:pStyle w:val="46"/>
                    <w:jc w:val="both"/>
                    <w:rPr>
                      <w:rFonts w:hint="default"/>
                      <w:color w:val="auto"/>
                      <w:highlight w:val="none"/>
                      <w:lang w:val="en-US" w:eastAsia="zh-CN"/>
                    </w:rPr>
                  </w:pPr>
                  <w:r>
                    <w:rPr>
                      <w:rFonts w:hint="eastAsia"/>
                      <w:color w:val="auto"/>
                      <w:sz w:val="21"/>
                      <w:szCs w:val="21"/>
                      <w:highlight w:val="none"/>
                      <w:lang w:val="en-US" w:eastAsia="zh-CN"/>
                    </w:rPr>
                    <w:t>本项目在建工程建设危废贮存库一座，</w:t>
                  </w:r>
                  <w:r>
                    <w:rPr>
                      <w:rFonts w:hint="eastAsia" w:ascii="Times New Roman" w:hAnsi="Times New Roman" w:eastAsia="宋体" w:cs="Times New Roman"/>
                      <w:color w:val="auto"/>
                      <w:sz w:val="21"/>
                      <w:szCs w:val="21"/>
                      <w:highlight w:val="none"/>
                      <w:lang w:val="en-US" w:eastAsia="zh-CN"/>
                    </w:rPr>
                    <w:t>占地面积为430m</w:t>
                  </w:r>
                  <w:r>
                    <w:rPr>
                      <w:rFonts w:hint="eastAsia"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cs="Times New Roman"/>
                      <w:bCs w:val="0"/>
                      <w:color w:val="auto"/>
                      <w:spacing w:val="0"/>
                      <w:kern w:val="2"/>
                      <w:sz w:val="21"/>
                      <w:szCs w:val="21"/>
                      <w:highlight w:val="none"/>
                      <w:lang w:val="en-US" w:eastAsia="zh-CN" w:bidi="ar-SA"/>
                    </w:rPr>
                    <w:t>，可存储500t危险废物</w:t>
                  </w:r>
                  <w:r>
                    <w:rPr>
                      <w:rFonts w:hint="eastAsia" w:ascii="Times New Roman" w:hAnsi="Times New Roman" w:cs="Times New Roman"/>
                      <w:bCs w:val="0"/>
                      <w:color w:val="auto"/>
                      <w:spacing w:val="0"/>
                      <w:kern w:val="2"/>
                      <w:sz w:val="21"/>
                      <w:szCs w:val="21"/>
                      <w:highlight w:val="none"/>
                      <w:lang w:val="en-US" w:eastAsia="zh-CN" w:bidi="ar-SA"/>
                    </w:rPr>
                    <w:t>。在建工程产生的危废共17354.1344t/a，需鉴定的固体废物为1823.578t/a。最大贮存周期为34d。在建工程危险废物的转运周期为20d，满足贮存要求。在建贮存库满足“防风、防雨、防晒、防扬散、防流失、防渗漏”要求，基础防渗满足至少1m厚黏土层（渗透系数≤10</w:t>
                  </w:r>
                  <w:r>
                    <w:rPr>
                      <w:rFonts w:hint="eastAsia" w:ascii="Times New Roman" w:hAnsi="Times New Roman" w:cs="Times New Roman"/>
                      <w:bCs w:val="0"/>
                      <w:color w:val="auto"/>
                      <w:spacing w:val="0"/>
                      <w:kern w:val="2"/>
                      <w:sz w:val="21"/>
                      <w:szCs w:val="21"/>
                      <w:highlight w:val="none"/>
                      <w:vertAlign w:val="superscript"/>
                      <w:lang w:val="en-US" w:eastAsia="zh-CN" w:bidi="ar-SA"/>
                    </w:rPr>
                    <w:t>-7</w:t>
                  </w:r>
                  <w:r>
                    <w:rPr>
                      <w:rFonts w:hint="eastAsia" w:ascii="Times New Roman" w:hAnsi="Times New Roman" w:cs="Times New Roman"/>
                      <w:bCs w:val="0"/>
                      <w:color w:val="auto"/>
                      <w:spacing w:val="0"/>
                      <w:kern w:val="2"/>
                      <w:sz w:val="21"/>
                      <w:szCs w:val="21"/>
                      <w:highlight w:val="none"/>
                      <w:lang w:val="en-US" w:eastAsia="zh-CN" w:bidi="ar-SA"/>
                    </w:rPr>
                    <w:t>cm/s），或2mm厚高密度聚乙烯， 或至少2mm厚的其他人工材料，渗透系数≤10</w:t>
                  </w:r>
                  <w:r>
                    <w:rPr>
                      <w:rFonts w:hint="eastAsia" w:ascii="Times New Roman" w:hAnsi="Times New Roman" w:cs="Times New Roman"/>
                      <w:bCs w:val="0"/>
                      <w:color w:val="auto"/>
                      <w:spacing w:val="0"/>
                      <w:kern w:val="2"/>
                      <w:sz w:val="21"/>
                      <w:szCs w:val="21"/>
                      <w:highlight w:val="none"/>
                      <w:vertAlign w:val="superscript"/>
                      <w:lang w:val="en-US" w:eastAsia="zh-CN" w:bidi="ar-SA"/>
                    </w:rPr>
                    <w:t>-10</w:t>
                  </w:r>
                  <w:r>
                    <w:rPr>
                      <w:rFonts w:hint="eastAsia" w:ascii="Times New Roman" w:hAnsi="Times New Roman" w:cs="Times New Roman"/>
                      <w:bCs w:val="0"/>
                      <w:color w:val="auto"/>
                      <w:spacing w:val="0"/>
                      <w:kern w:val="2"/>
                      <w:sz w:val="21"/>
                      <w:szCs w:val="21"/>
                      <w:highlight w:val="none"/>
                      <w:lang w:val="en-US" w:eastAsia="zh-CN" w:bidi="ar-SA"/>
                    </w:rPr>
                    <w:t>cm/s要求。</w:t>
                  </w:r>
                </w:p>
              </w:tc>
              <w:tc>
                <w:tcPr>
                  <w:tcW w:w="689" w:type="dxa"/>
                  <w:noWrap w:val="0"/>
                  <w:vAlign w:val="center"/>
                </w:tcPr>
                <w:p w14:paraId="2FF0CFE0">
                  <w:pPr>
                    <w:spacing w:line="240" w:lineRule="auto"/>
                    <w:ind w:left="0" w:leftChars="0" w:firstLine="0" w:firstLineChars="0"/>
                    <w:jc w:val="center"/>
                    <w:rPr>
                      <w:rFonts w:hint="default" w:ascii="Times New Roman" w:hAnsi="Times New Roman" w:eastAsia="宋体" w:cs="Times New Roman"/>
                      <w:bCs/>
                      <w:color w:val="auto"/>
                      <w:spacing w:val="0"/>
                      <w:kern w:val="2"/>
                      <w:sz w:val="21"/>
                      <w:szCs w:val="21"/>
                      <w:highlight w:val="none"/>
                      <w:lang w:val="en-US" w:eastAsia="zh-CN" w:bidi="ar-SA"/>
                    </w:rPr>
                  </w:pPr>
                  <w:r>
                    <w:rPr>
                      <w:rFonts w:hint="eastAsia" w:ascii="Times New Roman" w:hAnsi="Times New Roman" w:cs="Times New Roman"/>
                      <w:bCs/>
                      <w:color w:val="auto"/>
                      <w:spacing w:val="0"/>
                      <w:kern w:val="2"/>
                      <w:sz w:val="21"/>
                      <w:szCs w:val="21"/>
                      <w:highlight w:val="none"/>
                      <w:lang w:val="en-US" w:eastAsia="zh-CN" w:bidi="ar-SA"/>
                    </w:rPr>
                    <w:t>依托</w:t>
                  </w:r>
                </w:p>
              </w:tc>
            </w:tr>
            <w:tr w14:paraId="3CEDA0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7" w:type="dxa"/>
                  <w:vMerge w:val="restart"/>
                  <w:noWrap w:val="0"/>
                  <w:vAlign w:val="center"/>
                </w:tcPr>
                <w:p w14:paraId="58F47319">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eastAsia="宋体" w:cs="Times New Roman"/>
                      <w:snapToGrid w:val="0"/>
                      <w:color w:val="auto"/>
                      <w:spacing w:val="0"/>
                      <w:sz w:val="21"/>
                      <w:szCs w:val="21"/>
                      <w:highlight w:val="none"/>
                      <w:lang w:val="en-US" w:eastAsia="zh-CN"/>
                    </w:rPr>
                    <w:t>依托工程</w:t>
                  </w:r>
                </w:p>
              </w:tc>
              <w:tc>
                <w:tcPr>
                  <w:tcW w:w="1327" w:type="dxa"/>
                  <w:noWrap w:val="0"/>
                  <w:vAlign w:val="center"/>
                </w:tcPr>
                <w:p w14:paraId="07560690">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r>
                    <w:rPr>
                      <w:rFonts w:hint="default" w:ascii="Times New Roman" w:hAnsi="Times New Roman" w:cs="Times New Roman"/>
                      <w:snapToGrid w:val="0"/>
                      <w:color w:val="auto"/>
                      <w:spacing w:val="0"/>
                      <w:sz w:val="21"/>
                      <w:szCs w:val="21"/>
                      <w:highlight w:val="none"/>
                      <w:lang w:val="en-US" w:eastAsia="zh-CN"/>
                    </w:rPr>
                    <w:t>梨树工业谷污水处理厂</w:t>
                  </w:r>
                </w:p>
              </w:tc>
              <w:tc>
                <w:tcPr>
                  <w:tcW w:w="4498" w:type="dxa"/>
                  <w:noWrap w:val="0"/>
                  <w:vAlign w:val="center"/>
                </w:tcPr>
                <w:p w14:paraId="438AC060">
                  <w:pPr>
                    <w:spacing w:line="240" w:lineRule="auto"/>
                    <w:ind w:firstLine="420" w:firstLineChars="20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eastAsia="宋体" w:cs="Times New Roman"/>
                      <w:bCs w:val="0"/>
                      <w:color w:val="auto"/>
                      <w:spacing w:val="0"/>
                      <w:kern w:val="2"/>
                      <w:sz w:val="21"/>
                      <w:szCs w:val="21"/>
                      <w:highlight w:val="none"/>
                      <w:lang w:val="en-US" w:eastAsia="zh-CN" w:bidi="ar-SA"/>
                    </w:rPr>
                    <w:t>梨树工业谷污水处理厂位于园区东南部，规划占地面积为1</w:t>
                  </w:r>
                  <w:r>
                    <w:rPr>
                      <w:rFonts w:hint="eastAsia" w:ascii="宋体" w:hAnsi="宋体" w:eastAsia="宋体" w:cs="宋体"/>
                      <w:bCs w:val="0"/>
                      <w:color w:val="auto"/>
                      <w:spacing w:val="0"/>
                      <w:kern w:val="2"/>
                      <w:sz w:val="21"/>
                      <w:szCs w:val="21"/>
                      <w:highlight w:val="none"/>
                      <w:lang w:val="en-US" w:eastAsia="zh-CN" w:bidi="ar-SA"/>
                    </w:rPr>
                    <w:t>.</w:t>
                  </w:r>
                  <w:r>
                    <w:rPr>
                      <w:rFonts w:hint="default" w:ascii="Times New Roman" w:hAnsi="Times New Roman" w:eastAsia="宋体" w:cs="Times New Roman"/>
                      <w:bCs w:val="0"/>
                      <w:color w:val="auto"/>
                      <w:spacing w:val="0"/>
                      <w:kern w:val="2"/>
                      <w:sz w:val="21"/>
                      <w:szCs w:val="21"/>
                      <w:highlight w:val="none"/>
                      <w:lang w:val="en-US" w:eastAsia="zh-CN" w:bidi="ar-SA"/>
                    </w:rPr>
                    <w:t>43hm</w:t>
                  </w:r>
                  <w:r>
                    <w:rPr>
                      <w:rFonts w:hint="default" w:ascii="Times New Roman" w:hAnsi="Times New Roman" w:eastAsia="宋体" w:cs="Times New Roman"/>
                      <w:bCs w:val="0"/>
                      <w:color w:val="auto"/>
                      <w:spacing w:val="0"/>
                      <w:kern w:val="2"/>
                      <w:sz w:val="21"/>
                      <w:szCs w:val="21"/>
                      <w:highlight w:val="none"/>
                      <w:vertAlign w:val="superscript"/>
                      <w:lang w:val="en-US" w:eastAsia="zh-CN" w:bidi="ar-SA"/>
                    </w:rPr>
                    <w:t>2</w:t>
                  </w:r>
                  <w:r>
                    <w:rPr>
                      <w:rFonts w:hint="default" w:ascii="Times New Roman" w:hAnsi="Times New Roman" w:eastAsia="宋体" w:cs="Times New Roman"/>
                      <w:bCs w:val="0"/>
                      <w:color w:val="auto"/>
                      <w:spacing w:val="0"/>
                      <w:kern w:val="2"/>
                      <w:sz w:val="21"/>
                      <w:szCs w:val="21"/>
                      <w:highlight w:val="none"/>
                      <w:lang w:val="en-US" w:eastAsia="zh-CN" w:bidi="ar-SA"/>
                    </w:rPr>
                    <w:t>。污水处理厂接收梨树工业谷范围内工业企业的工业废水和生活污水，污水处理厂规划总处理规模20000m</w:t>
                  </w:r>
                  <w:r>
                    <w:rPr>
                      <w:rFonts w:hint="default" w:ascii="Times New Roman" w:hAnsi="Times New Roman" w:eastAsia="宋体" w:cs="Times New Roman"/>
                      <w:bCs w:val="0"/>
                      <w:color w:val="auto"/>
                      <w:spacing w:val="0"/>
                      <w:kern w:val="2"/>
                      <w:sz w:val="21"/>
                      <w:szCs w:val="21"/>
                      <w:highlight w:val="none"/>
                      <w:vertAlign w:val="superscript"/>
                      <w:lang w:val="en-US" w:eastAsia="zh-CN" w:bidi="ar-SA"/>
                    </w:rPr>
                    <w:t>3</w:t>
                  </w:r>
                  <w:r>
                    <w:rPr>
                      <w:rFonts w:hint="default" w:ascii="Times New Roman" w:hAnsi="Times New Roman" w:eastAsia="宋体" w:cs="Times New Roman"/>
                      <w:bCs w:val="0"/>
                      <w:color w:val="auto"/>
                      <w:spacing w:val="0"/>
                      <w:kern w:val="2"/>
                      <w:sz w:val="21"/>
                      <w:szCs w:val="21"/>
                      <w:highlight w:val="none"/>
                      <w:lang w:val="en-US" w:eastAsia="zh-CN" w:bidi="ar-SA"/>
                    </w:rPr>
                    <w:t>/d，分两期建设，一期建设规模8000m</w:t>
                  </w:r>
                  <w:r>
                    <w:rPr>
                      <w:rFonts w:hint="default" w:ascii="Times New Roman" w:hAnsi="Times New Roman" w:eastAsia="宋体" w:cs="Times New Roman"/>
                      <w:bCs w:val="0"/>
                      <w:color w:val="auto"/>
                      <w:spacing w:val="0"/>
                      <w:kern w:val="2"/>
                      <w:sz w:val="21"/>
                      <w:szCs w:val="21"/>
                      <w:highlight w:val="none"/>
                      <w:vertAlign w:val="superscript"/>
                      <w:lang w:val="en-US" w:eastAsia="zh-CN" w:bidi="ar-SA"/>
                    </w:rPr>
                    <w:t>3</w:t>
                  </w:r>
                  <w:r>
                    <w:rPr>
                      <w:rFonts w:hint="default" w:ascii="Times New Roman" w:hAnsi="Times New Roman" w:eastAsia="宋体" w:cs="Times New Roman"/>
                      <w:bCs w:val="0"/>
                      <w:color w:val="auto"/>
                      <w:spacing w:val="0"/>
                      <w:kern w:val="2"/>
                      <w:sz w:val="21"/>
                      <w:szCs w:val="21"/>
                      <w:highlight w:val="none"/>
                      <w:lang w:val="en-US" w:eastAsia="zh-CN" w:bidi="ar-SA"/>
                    </w:rPr>
                    <w:t>/d，二期建设规模12000m</w:t>
                  </w:r>
                  <w:r>
                    <w:rPr>
                      <w:rFonts w:hint="default" w:ascii="Times New Roman" w:hAnsi="Times New Roman" w:eastAsia="宋体" w:cs="Times New Roman"/>
                      <w:bCs w:val="0"/>
                      <w:color w:val="auto"/>
                      <w:spacing w:val="0"/>
                      <w:kern w:val="2"/>
                      <w:sz w:val="21"/>
                      <w:szCs w:val="21"/>
                      <w:highlight w:val="none"/>
                      <w:vertAlign w:val="superscript"/>
                      <w:lang w:val="en-US" w:eastAsia="zh-CN" w:bidi="ar-SA"/>
                    </w:rPr>
                    <w:t>3</w:t>
                  </w:r>
                  <w:r>
                    <w:rPr>
                      <w:rFonts w:hint="default" w:ascii="Times New Roman" w:hAnsi="Times New Roman" w:eastAsia="宋体" w:cs="Times New Roman"/>
                      <w:bCs w:val="0"/>
                      <w:color w:val="auto"/>
                      <w:spacing w:val="0"/>
                      <w:kern w:val="2"/>
                      <w:sz w:val="21"/>
                      <w:szCs w:val="21"/>
                      <w:highlight w:val="none"/>
                      <w:lang w:val="en-US" w:eastAsia="zh-CN" w:bidi="ar-SA"/>
                    </w:rPr>
                    <w:t>/d，一期工程已建设完成投入运行。污水处理厂采用</w:t>
                  </w:r>
                  <w:r>
                    <w:rPr>
                      <w:rFonts w:hint="eastAsia" w:ascii="宋体" w:hAnsi="宋体" w:eastAsia="宋体" w:cs="宋体"/>
                      <w:bCs w:val="0"/>
                      <w:color w:val="auto"/>
                      <w:spacing w:val="0"/>
                      <w:kern w:val="2"/>
                      <w:sz w:val="21"/>
                      <w:szCs w:val="21"/>
                      <w:highlight w:val="none"/>
                      <w:lang w:val="en-US" w:eastAsia="zh-CN" w:bidi="ar-SA"/>
                    </w:rPr>
                    <w:t>“</w:t>
                  </w:r>
                  <w:r>
                    <w:rPr>
                      <w:rFonts w:hint="default" w:ascii="Times New Roman" w:hAnsi="Times New Roman" w:eastAsia="宋体" w:cs="Times New Roman"/>
                      <w:bCs w:val="0"/>
                      <w:color w:val="auto"/>
                      <w:spacing w:val="0"/>
                      <w:kern w:val="2"/>
                      <w:sz w:val="21"/>
                      <w:szCs w:val="21"/>
                      <w:highlight w:val="none"/>
                      <w:lang w:val="en-US" w:eastAsia="zh-CN" w:bidi="ar-SA"/>
                    </w:rPr>
                    <w:t>总进水—粗格栅—一次提升泵池—细格栅（阶梯网板格栅）—旋流除砂池—水量均质调节池—二次提升泵—芬顿单元—水解酸化池—AA/O生化池—矩形沉淀池—中间水池—高密度沉淀池—纤维转盘滤池—臭氧接触池—回用水池（消毒）</w:t>
                  </w:r>
                  <w:r>
                    <w:rPr>
                      <w:rFonts w:hint="eastAsia" w:ascii="宋体" w:hAnsi="宋体" w:eastAsia="宋体" w:cs="宋体"/>
                      <w:bCs w:val="0"/>
                      <w:color w:val="auto"/>
                      <w:spacing w:val="0"/>
                      <w:kern w:val="2"/>
                      <w:sz w:val="21"/>
                      <w:szCs w:val="21"/>
                      <w:highlight w:val="none"/>
                      <w:lang w:val="en-US" w:eastAsia="zh-CN" w:bidi="ar-SA"/>
                    </w:rPr>
                    <w:t>”</w:t>
                  </w:r>
                  <w:r>
                    <w:rPr>
                      <w:rFonts w:hint="default" w:ascii="Times New Roman" w:hAnsi="Times New Roman" w:eastAsia="宋体" w:cs="Times New Roman"/>
                      <w:bCs w:val="0"/>
                      <w:color w:val="auto"/>
                      <w:spacing w:val="0"/>
                      <w:kern w:val="2"/>
                      <w:sz w:val="21"/>
                      <w:szCs w:val="21"/>
                      <w:highlight w:val="none"/>
                      <w:lang w:val="en-US" w:eastAsia="zh-CN" w:bidi="ar-SA"/>
                    </w:rPr>
                    <w:t>处理工艺，出水水质满足《城镇污水处理污染物排放标准》（GB18918-2002）一级A标准排入穆棱河干流。本工程排水量总计</w:t>
                  </w:r>
                  <w:r>
                    <w:rPr>
                      <w:rFonts w:hint="default" w:ascii="Times New Roman" w:hAnsi="Times New Roman" w:cs="Times New Roman"/>
                      <w:color w:val="auto"/>
                      <w:spacing w:val="0"/>
                      <w:sz w:val="21"/>
                      <w:szCs w:val="21"/>
                      <w:highlight w:val="none"/>
                      <w:lang w:val="en-US" w:eastAsia="zh-CN"/>
                    </w:rPr>
                    <w:t>28</w:t>
                  </w:r>
                  <w:r>
                    <w:rPr>
                      <w:rFonts w:hint="eastAsia" w:ascii="宋体" w:hAnsi="宋体" w:eastAsia="宋体" w:cs="宋体"/>
                      <w:color w:val="auto"/>
                      <w:spacing w:val="0"/>
                      <w:sz w:val="21"/>
                      <w:szCs w:val="21"/>
                      <w:highlight w:val="none"/>
                      <w:lang w:val="en-US" w:eastAsia="zh-CN"/>
                    </w:rPr>
                    <w:t>.</w:t>
                  </w:r>
                  <w:r>
                    <w:rPr>
                      <w:rFonts w:hint="default" w:ascii="Times New Roman" w:hAnsi="Times New Roman" w:cs="Times New Roman"/>
                      <w:color w:val="auto"/>
                      <w:spacing w:val="0"/>
                      <w:sz w:val="21"/>
                      <w:szCs w:val="21"/>
                      <w:highlight w:val="none"/>
                      <w:lang w:val="en-US" w:eastAsia="zh-CN"/>
                    </w:rPr>
                    <w:t>693</w:t>
                  </w:r>
                  <w:r>
                    <w:rPr>
                      <w:rFonts w:hint="default" w:ascii="Times New Roman" w:hAnsi="Times New Roman" w:eastAsia="宋体" w:cs="Times New Roman"/>
                      <w:bCs w:val="0"/>
                      <w:color w:val="auto"/>
                      <w:spacing w:val="0"/>
                      <w:kern w:val="2"/>
                      <w:sz w:val="21"/>
                      <w:szCs w:val="21"/>
                      <w:highlight w:val="none"/>
                      <w:lang w:val="en-US" w:eastAsia="zh-CN" w:bidi="ar-SA"/>
                    </w:rPr>
                    <w:t>m</w:t>
                  </w:r>
                  <w:r>
                    <w:rPr>
                      <w:rFonts w:hint="default" w:ascii="Times New Roman" w:hAnsi="Times New Roman" w:eastAsia="宋体" w:cs="Times New Roman"/>
                      <w:bCs w:val="0"/>
                      <w:color w:val="auto"/>
                      <w:spacing w:val="0"/>
                      <w:kern w:val="2"/>
                      <w:sz w:val="21"/>
                      <w:szCs w:val="21"/>
                      <w:highlight w:val="none"/>
                      <w:vertAlign w:val="superscript"/>
                      <w:lang w:val="en-US" w:eastAsia="zh-CN" w:bidi="ar-SA"/>
                    </w:rPr>
                    <w:t>3</w:t>
                  </w:r>
                  <w:r>
                    <w:rPr>
                      <w:rFonts w:hint="default" w:ascii="Times New Roman" w:hAnsi="Times New Roman" w:eastAsia="宋体" w:cs="Times New Roman"/>
                      <w:bCs w:val="0"/>
                      <w:color w:val="auto"/>
                      <w:spacing w:val="0"/>
                      <w:kern w:val="2"/>
                      <w:sz w:val="21"/>
                      <w:szCs w:val="21"/>
                      <w:highlight w:val="none"/>
                      <w:lang w:val="en-US" w:eastAsia="zh-CN" w:bidi="ar-SA"/>
                    </w:rPr>
                    <w:t>/d，</w:t>
                  </w:r>
                  <w:r>
                    <w:rPr>
                      <w:rFonts w:hint="eastAsia" w:ascii="Times New Roman" w:hAnsi="Times New Roman" w:cs="Times New Roman"/>
                      <w:bCs w:val="0"/>
                      <w:color w:val="auto"/>
                      <w:spacing w:val="0"/>
                      <w:kern w:val="2"/>
                      <w:sz w:val="21"/>
                      <w:szCs w:val="21"/>
                      <w:highlight w:val="none"/>
                      <w:lang w:val="en-US" w:eastAsia="zh-CN" w:bidi="ar-SA"/>
                    </w:rPr>
                    <w:t>占</w:t>
                  </w:r>
                  <w:r>
                    <w:rPr>
                      <w:rFonts w:hint="default" w:ascii="Times New Roman" w:hAnsi="Times New Roman" w:eastAsia="宋体" w:cs="Times New Roman"/>
                      <w:bCs w:val="0"/>
                      <w:color w:val="auto"/>
                      <w:spacing w:val="0"/>
                      <w:kern w:val="2"/>
                      <w:sz w:val="21"/>
                      <w:szCs w:val="21"/>
                      <w:highlight w:val="none"/>
                      <w:lang w:val="en-US" w:eastAsia="zh-CN" w:bidi="ar-SA"/>
                    </w:rPr>
                    <w:t>污水处理厂一期工程处理规模的</w:t>
                  </w:r>
                  <w:r>
                    <w:rPr>
                      <w:rFonts w:hint="default" w:ascii="Times New Roman" w:hAnsi="Times New Roman" w:cs="Times New Roman"/>
                      <w:bCs w:val="0"/>
                      <w:color w:val="auto"/>
                      <w:spacing w:val="0"/>
                      <w:kern w:val="2"/>
                      <w:sz w:val="21"/>
                      <w:szCs w:val="21"/>
                      <w:highlight w:val="none"/>
                      <w:lang w:val="en-US" w:eastAsia="zh-CN" w:bidi="ar-SA"/>
                    </w:rPr>
                    <w:t>0</w:t>
                  </w:r>
                  <w:r>
                    <w:rPr>
                      <w:rFonts w:hint="eastAsia" w:ascii="宋体" w:hAnsi="宋体" w:eastAsia="宋体" w:cs="宋体"/>
                      <w:bCs w:val="0"/>
                      <w:color w:val="auto"/>
                      <w:spacing w:val="0"/>
                      <w:kern w:val="2"/>
                      <w:sz w:val="21"/>
                      <w:szCs w:val="21"/>
                      <w:highlight w:val="none"/>
                      <w:lang w:val="en-US" w:eastAsia="zh-CN" w:bidi="ar-SA"/>
                    </w:rPr>
                    <w:t>.</w:t>
                  </w:r>
                  <w:r>
                    <w:rPr>
                      <w:rFonts w:hint="default" w:ascii="Times New Roman" w:hAnsi="Times New Roman" w:cs="Times New Roman"/>
                      <w:bCs w:val="0"/>
                      <w:color w:val="auto"/>
                      <w:spacing w:val="0"/>
                      <w:kern w:val="2"/>
                      <w:sz w:val="21"/>
                      <w:szCs w:val="21"/>
                      <w:highlight w:val="none"/>
                      <w:lang w:val="en-US" w:eastAsia="zh-CN" w:bidi="ar-SA"/>
                    </w:rPr>
                    <w:t>36</w:t>
                  </w:r>
                  <w:r>
                    <w:rPr>
                      <w:rFonts w:hint="default" w:ascii="Times New Roman" w:hAnsi="Times New Roman" w:eastAsia="宋体" w:cs="Times New Roman"/>
                      <w:bCs w:val="0"/>
                      <w:color w:val="auto"/>
                      <w:spacing w:val="0"/>
                      <w:kern w:val="2"/>
                      <w:sz w:val="21"/>
                      <w:szCs w:val="21"/>
                      <w:highlight w:val="none"/>
                      <w:lang w:val="en-US" w:eastAsia="zh-CN" w:bidi="ar-SA"/>
                    </w:rPr>
                    <w:t>%，本工程的排水水质满足园区污水处理厂进水指标，目前园区污水处理厂一期工程已投产运行，本工程依托园区污水处理厂处理生产废水和生活污水合理可行。</w:t>
                  </w:r>
                </w:p>
              </w:tc>
              <w:tc>
                <w:tcPr>
                  <w:tcW w:w="689" w:type="dxa"/>
                  <w:noWrap w:val="0"/>
                  <w:vAlign w:val="center"/>
                </w:tcPr>
                <w:p w14:paraId="079C41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val="0"/>
                      <w:color w:val="auto"/>
                      <w:spacing w:val="0"/>
                      <w:kern w:val="2"/>
                      <w:sz w:val="21"/>
                      <w:szCs w:val="21"/>
                      <w:highlight w:val="none"/>
                      <w:lang w:val="en-US" w:eastAsia="zh-CN" w:bidi="ar-SA"/>
                    </w:rPr>
                  </w:pPr>
                  <w:r>
                    <w:rPr>
                      <w:rFonts w:hint="default" w:ascii="Times New Roman" w:hAnsi="Times New Roman" w:eastAsia="宋体" w:cs="Times New Roman"/>
                      <w:bCs w:val="0"/>
                      <w:color w:val="auto"/>
                      <w:spacing w:val="0"/>
                      <w:kern w:val="2"/>
                      <w:sz w:val="21"/>
                      <w:szCs w:val="21"/>
                      <w:highlight w:val="none"/>
                      <w:lang w:val="en-US" w:eastAsia="zh-CN" w:bidi="ar-SA"/>
                    </w:rPr>
                    <w:t>依托</w:t>
                  </w:r>
                </w:p>
              </w:tc>
            </w:tr>
            <w:tr w14:paraId="74D84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7" w:type="dxa"/>
                  <w:vMerge w:val="continue"/>
                  <w:noWrap w:val="0"/>
                  <w:vAlign w:val="center"/>
                </w:tcPr>
                <w:p w14:paraId="03B8A3E3">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p>
              </w:tc>
              <w:tc>
                <w:tcPr>
                  <w:tcW w:w="1327" w:type="dxa"/>
                  <w:noWrap w:val="0"/>
                  <w:vAlign w:val="center"/>
                </w:tcPr>
                <w:p w14:paraId="0A877CE1">
                  <w:pPr>
                    <w:pStyle w:val="70"/>
                    <w:spacing w:line="240" w:lineRule="auto"/>
                    <w:jc w:val="center"/>
                    <w:rPr>
                      <w:rFonts w:hint="default" w:ascii="Times New Roman" w:hAnsi="Times New Roman" w:cs="Times New Roman"/>
                      <w:snapToGrid w:val="0"/>
                      <w:color w:val="auto"/>
                      <w:spacing w:val="0"/>
                      <w:sz w:val="21"/>
                      <w:szCs w:val="21"/>
                      <w:highlight w:val="none"/>
                      <w:lang w:val="en-US" w:eastAsia="zh-CN"/>
                    </w:rPr>
                  </w:pPr>
                  <w:r>
                    <w:rPr>
                      <w:rFonts w:hint="default" w:ascii="Times New Roman" w:hAnsi="Times New Roman" w:cs="Times New Roman"/>
                      <w:color w:val="auto"/>
                      <w:highlight w:val="none"/>
                      <w:lang w:val="en-US" w:eastAsia="zh-CN"/>
                    </w:rPr>
                    <w:t>燃料库、</w:t>
                  </w:r>
                  <w:r>
                    <w:rPr>
                      <w:rFonts w:hint="eastAsia" w:cs="Times New Roman"/>
                      <w:snapToGrid w:val="0"/>
                      <w:color w:val="auto"/>
                      <w:spacing w:val="0"/>
                      <w:sz w:val="21"/>
                      <w:szCs w:val="21"/>
                      <w:highlight w:val="none"/>
                      <w:lang w:val="en-US" w:eastAsia="zh-CN"/>
                    </w:rPr>
                    <w:t>灰渣库</w:t>
                  </w:r>
                </w:p>
              </w:tc>
              <w:tc>
                <w:tcPr>
                  <w:tcW w:w="4498" w:type="dxa"/>
                  <w:noWrap w:val="0"/>
                  <w:vAlign w:val="center"/>
                </w:tcPr>
                <w:p w14:paraId="04FCA4B2">
                  <w:pPr>
                    <w:spacing w:line="240" w:lineRule="auto"/>
                    <w:ind w:firstLine="420" w:firstLineChars="200"/>
                    <w:jc w:val="center"/>
                    <w:rPr>
                      <w:rFonts w:hint="default" w:ascii="Times New Roman" w:hAnsi="Times New Roman" w:eastAsia="宋体" w:cs="Times New Roman"/>
                      <w:bCs w:val="0"/>
                      <w:color w:val="auto"/>
                      <w:spacing w:val="0"/>
                      <w:kern w:val="2"/>
                      <w:sz w:val="21"/>
                      <w:szCs w:val="21"/>
                      <w:highlight w:val="none"/>
                      <w:lang w:val="en-US" w:eastAsia="zh-CN" w:bidi="ar-SA"/>
                    </w:rPr>
                  </w:pPr>
                  <w:r>
                    <w:rPr>
                      <w:rFonts w:hint="eastAsia" w:ascii="Times New Roman" w:hAnsi="Times New Roman" w:cs="Times New Roman"/>
                      <w:bCs w:val="0"/>
                      <w:color w:val="auto"/>
                      <w:spacing w:val="0"/>
                      <w:kern w:val="2"/>
                      <w:sz w:val="21"/>
                      <w:szCs w:val="21"/>
                      <w:highlight w:val="none"/>
                      <w:lang w:val="en-US" w:eastAsia="zh-CN" w:bidi="ar-SA"/>
                    </w:rPr>
                    <w:t>本项目产生灰渣与布袋除尘集尘依托在建工程的灰渣库，灰渣库位于在建工程204仓库内，204仓库建筑面积722.5m</w:t>
                  </w:r>
                  <w:r>
                    <w:rPr>
                      <w:rFonts w:hint="eastAsia" w:ascii="Times New Roman" w:hAnsi="Times New Roman" w:cs="Times New Roman"/>
                      <w:bCs w:val="0"/>
                      <w:color w:val="auto"/>
                      <w:spacing w:val="0"/>
                      <w:kern w:val="2"/>
                      <w:sz w:val="21"/>
                      <w:szCs w:val="21"/>
                      <w:highlight w:val="none"/>
                      <w:vertAlign w:val="superscript"/>
                      <w:lang w:val="en-US" w:eastAsia="zh-CN" w:bidi="ar-SA"/>
                    </w:rPr>
                    <w:t>2</w:t>
                  </w:r>
                  <w:r>
                    <w:rPr>
                      <w:rFonts w:hint="eastAsia" w:ascii="Times New Roman" w:hAnsi="Times New Roman" w:cs="Times New Roman"/>
                      <w:bCs w:val="0"/>
                      <w:color w:val="auto"/>
                      <w:spacing w:val="0"/>
                      <w:kern w:val="2"/>
                      <w:sz w:val="21"/>
                      <w:szCs w:val="21"/>
                      <w:highlight w:val="none"/>
                      <w:lang w:val="en-US" w:eastAsia="zh-CN" w:bidi="ar-SA"/>
                    </w:rPr>
                    <w:t>，主要用于存放生物质燃料以及锅炉灰渣，</w:t>
                  </w:r>
                  <w:r>
                    <w:rPr>
                      <w:rFonts w:hint="default" w:ascii="Times New Roman" w:hAnsi="Times New Roman" w:cs="Times New Roman"/>
                      <w:color w:val="auto"/>
                      <w:sz w:val="21"/>
                      <w:szCs w:val="21"/>
                      <w:highlight w:val="none"/>
                      <w:lang w:val="en-US" w:eastAsia="zh-CN"/>
                    </w:rPr>
                    <w:t>最大储存量为650t燃料及80t灰渣；本项目燃料量为</w:t>
                  </w:r>
                  <w:r>
                    <w:rPr>
                      <w:rFonts w:hint="eastAsia" w:ascii="Times New Roman" w:hAnsi="Times New Roman" w:cs="Times New Roman"/>
                      <w:color w:val="auto"/>
                      <w:sz w:val="21"/>
                      <w:szCs w:val="21"/>
                      <w:highlight w:val="none"/>
                      <w:lang w:val="en-US" w:eastAsia="zh-CN"/>
                    </w:rPr>
                    <w:t>3113.568</w:t>
                  </w:r>
                  <w:r>
                    <w:rPr>
                      <w:rFonts w:hint="default" w:ascii="Times New Roman" w:hAnsi="Times New Roman" w:cs="Times New Roman"/>
                      <w:color w:val="auto"/>
                      <w:sz w:val="21"/>
                      <w:szCs w:val="21"/>
                      <w:highlight w:val="none"/>
                      <w:lang w:val="en-US" w:eastAsia="zh-CN"/>
                    </w:rPr>
                    <w:t>t/a，在建工程燃料量为7128t/a，建成后全厂燃料量为</w:t>
                  </w:r>
                  <w:r>
                    <w:rPr>
                      <w:rFonts w:hint="eastAsia" w:ascii="Times New Roman" w:hAnsi="Times New Roman" w:cs="Times New Roman"/>
                      <w:color w:val="auto"/>
                      <w:sz w:val="21"/>
                      <w:szCs w:val="21"/>
                      <w:highlight w:val="none"/>
                      <w:lang w:val="en-US" w:eastAsia="zh-CN"/>
                    </w:rPr>
                    <w:t>10735.776</w:t>
                  </w:r>
                  <w:r>
                    <w:rPr>
                      <w:rFonts w:hint="default" w:ascii="Times New Roman" w:hAnsi="Times New Roman" w:cs="Times New Roman"/>
                      <w:color w:val="auto"/>
                      <w:sz w:val="21"/>
                      <w:szCs w:val="21"/>
                      <w:highlight w:val="none"/>
                      <w:lang w:val="en-US" w:eastAsia="zh-CN"/>
                    </w:rPr>
                    <w:t>t/a，燃料库可满足</w:t>
                  </w:r>
                  <w:r>
                    <w:rPr>
                      <w:rFonts w:hint="eastAsia" w:ascii="Times New Roman" w:hAnsi="Times New Roman" w:cs="Times New Roman"/>
                      <w:color w:val="auto"/>
                      <w:sz w:val="21"/>
                      <w:szCs w:val="21"/>
                      <w:highlight w:val="none"/>
                      <w:lang w:val="en-US" w:eastAsia="zh-CN"/>
                    </w:rPr>
                    <w:t>16</w:t>
                  </w:r>
                  <w:r>
                    <w:rPr>
                      <w:rFonts w:hint="default" w:ascii="Times New Roman" w:hAnsi="Times New Roman" w:cs="Times New Roman"/>
                      <w:color w:val="auto"/>
                      <w:sz w:val="21"/>
                      <w:szCs w:val="21"/>
                      <w:highlight w:val="none"/>
                      <w:lang w:val="en-US" w:eastAsia="zh-CN"/>
                    </w:rPr>
                    <w:t>d燃料用量；本项目建成后锅炉灰渣产生量为</w:t>
                  </w:r>
                  <w:r>
                    <w:rPr>
                      <w:rFonts w:hint="eastAsia" w:ascii="Times New Roman" w:hAnsi="Times New Roman" w:cs="Times New Roman"/>
                      <w:color w:val="auto"/>
                      <w:sz w:val="21"/>
                      <w:szCs w:val="21"/>
                      <w:highlight w:val="none"/>
                      <w:lang w:val="en-US" w:eastAsia="zh-CN"/>
                    </w:rPr>
                    <w:t>509.98</w:t>
                  </w:r>
                  <w:r>
                    <w:rPr>
                      <w:rFonts w:hint="default" w:ascii="Times New Roman" w:hAnsi="Times New Roman" w:cs="Times New Roman"/>
                      <w:color w:val="auto"/>
                      <w:sz w:val="21"/>
                      <w:szCs w:val="21"/>
                      <w:highlight w:val="none"/>
                      <w:lang w:val="en-US" w:eastAsia="zh-CN"/>
                    </w:rPr>
                    <w:t>t/a，在建工程灰渣产生量为886.5t/a，建成后全厂灰渣量为</w:t>
                  </w:r>
                  <w:r>
                    <w:rPr>
                      <w:rFonts w:hint="eastAsia" w:ascii="Times New Roman" w:hAnsi="Times New Roman" w:cs="Times New Roman"/>
                      <w:color w:val="auto"/>
                      <w:sz w:val="21"/>
                      <w:szCs w:val="21"/>
                      <w:highlight w:val="none"/>
                      <w:lang w:val="en-US" w:eastAsia="zh-CN"/>
                    </w:rPr>
                    <w:t>1396.48</w:t>
                  </w:r>
                  <w:r>
                    <w:rPr>
                      <w:rFonts w:hint="default" w:ascii="Times New Roman" w:hAnsi="Times New Roman" w:cs="Times New Roman"/>
                      <w:color w:val="auto"/>
                      <w:sz w:val="21"/>
                      <w:szCs w:val="21"/>
                      <w:highlight w:val="none"/>
                      <w:lang w:val="en-US" w:eastAsia="zh-CN"/>
                    </w:rPr>
                    <w:t>t/a。本项目灰渣库满足</w:t>
                  </w:r>
                  <w:r>
                    <w:rPr>
                      <w:rFonts w:hint="eastAsia" w:ascii="Times New Roman" w:hAnsi="Times New Roman" w:cs="Times New Roman"/>
                      <w:color w:val="auto"/>
                      <w:sz w:val="21"/>
                      <w:szCs w:val="21"/>
                      <w:highlight w:val="none"/>
                      <w:lang w:val="en-US" w:eastAsia="zh-CN"/>
                    </w:rPr>
                    <w:t>18</w:t>
                  </w:r>
                  <w:r>
                    <w:rPr>
                      <w:rFonts w:hint="default" w:ascii="Times New Roman" w:hAnsi="Times New Roman" w:cs="Times New Roman"/>
                      <w:color w:val="auto"/>
                      <w:sz w:val="21"/>
                      <w:szCs w:val="21"/>
                      <w:highlight w:val="none"/>
                      <w:lang w:val="en-US" w:eastAsia="zh-CN"/>
                    </w:rPr>
                    <w:t>d的储存量。</w:t>
                  </w:r>
                  <w:r>
                    <w:rPr>
                      <w:rFonts w:hint="eastAsia" w:ascii="Times New Roman" w:hAnsi="Times New Roman" w:cs="Times New Roman"/>
                      <w:color w:val="auto"/>
                      <w:sz w:val="21"/>
                      <w:szCs w:val="21"/>
                      <w:highlight w:val="none"/>
                      <w:lang w:val="en-US" w:eastAsia="zh-CN"/>
                    </w:rPr>
                    <w:t>燃料库、灰渣库采取简单防渗措施，防渗技术要求为一般地面硬化。</w:t>
                  </w:r>
                </w:p>
              </w:tc>
              <w:tc>
                <w:tcPr>
                  <w:tcW w:w="689" w:type="dxa"/>
                  <w:noWrap w:val="0"/>
                  <w:vAlign w:val="center"/>
                </w:tcPr>
                <w:p w14:paraId="342F2D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val="0"/>
                      <w:color w:val="auto"/>
                      <w:spacing w:val="0"/>
                      <w:kern w:val="2"/>
                      <w:sz w:val="21"/>
                      <w:szCs w:val="21"/>
                      <w:highlight w:val="none"/>
                      <w:lang w:val="en-US" w:eastAsia="zh-CN" w:bidi="ar-SA"/>
                    </w:rPr>
                  </w:pPr>
                  <w:r>
                    <w:rPr>
                      <w:rFonts w:hint="eastAsia" w:ascii="Times New Roman" w:hAnsi="Times New Roman" w:cs="Times New Roman"/>
                      <w:bCs w:val="0"/>
                      <w:color w:val="auto"/>
                      <w:spacing w:val="0"/>
                      <w:kern w:val="2"/>
                      <w:sz w:val="21"/>
                      <w:szCs w:val="21"/>
                      <w:highlight w:val="none"/>
                      <w:lang w:val="en-US" w:eastAsia="zh-CN" w:bidi="ar-SA"/>
                    </w:rPr>
                    <w:t>依托</w:t>
                  </w:r>
                </w:p>
              </w:tc>
            </w:tr>
            <w:tr w14:paraId="3AABCA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7" w:type="dxa"/>
                  <w:vMerge w:val="continue"/>
                  <w:noWrap w:val="0"/>
                  <w:vAlign w:val="center"/>
                </w:tcPr>
                <w:p w14:paraId="0CD43EC6">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p>
              </w:tc>
              <w:tc>
                <w:tcPr>
                  <w:tcW w:w="1327" w:type="dxa"/>
                  <w:noWrap w:val="0"/>
                  <w:vAlign w:val="center"/>
                </w:tcPr>
                <w:p w14:paraId="11B5A15F">
                  <w:pPr>
                    <w:pStyle w:val="70"/>
                    <w:spacing w:line="240" w:lineRule="auto"/>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危废贮存库</w:t>
                  </w:r>
                </w:p>
              </w:tc>
              <w:tc>
                <w:tcPr>
                  <w:tcW w:w="4498" w:type="dxa"/>
                  <w:noWrap w:val="0"/>
                  <w:vAlign w:val="center"/>
                </w:tcPr>
                <w:p w14:paraId="0A41F073">
                  <w:pPr>
                    <w:spacing w:line="240" w:lineRule="auto"/>
                    <w:ind w:firstLine="420" w:firstLineChars="200"/>
                    <w:jc w:val="center"/>
                    <w:rPr>
                      <w:rFonts w:hint="default" w:ascii="Times New Roman" w:hAnsi="Times New Roman" w:cs="Times New Roman"/>
                      <w:bCs w:val="0"/>
                      <w:color w:val="auto"/>
                      <w:spacing w:val="0"/>
                      <w:kern w:val="2"/>
                      <w:sz w:val="21"/>
                      <w:szCs w:val="21"/>
                      <w:highlight w:val="none"/>
                      <w:lang w:val="en-US" w:eastAsia="zh-CN" w:bidi="ar-SA"/>
                    </w:rPr>
                  </w:pPr>
                  <w:r>
                    <w:rPr>
                      <w:rFonts w:hint="eastAsia" w:ascii="Times New Roman" w:hAnsi="Times New Roman" w:cs="Times New Roman"/>
                      <w:bCs w:val="0"/>
                      <w:color w:val="auto"/>
                      <w:spacing w:val="0"/>
                      <w:kern w:val="2"/>
                      <w:sz w:val="21"/>
                      <w:szCs w:val="21"/>
                      <w:highlight w:val="none"/>
                      <w:lang w:val="en-US" w:eastAsia="zh-CN" w:bidi="ar-SA"/>
                    </w:rPr>
                    <w:t>本项目产生危险废物依托在建工程的危废贮存库，危废贮存库建筑面积430m</w:t>
                  </w:r>
                  <w:r>
                    <w:rPr>
                      <w:rFonts w:hint="eastAsia" w:ascii="Times New Roman" w:hAnsi="Times New Roman" w:cs="Times New Roman"/>
                      <w:bCs w:val="0"/>
                      <w:color w:val="auto"/>
                      <w:spacing w:val="0"/>
                      <w:kern w:val="2"/>
                      <w:sz w:val="21"/>
                      <w:szCs w:val="21"/>
                      <w:highlight w:val="none"/>
                      <w:vertAlign w:val="superscript"/>
                      <w:lang w:val="en-US" w:eastAsia="zh-CN" w:bidi="ar-SA"/>
                    </w:rPr>
                    <w:t>2</w:t>
                  </w:r>
                  <w:r>
                    <w:rPr>
                      <w:rFonts w:hint="eastAsia" w:ascii="Times New Roman" w:hAnsi="Times New Roman" w:cs="Times New Roman"/>
                      <w:bCs w:val="0"/>
                      <w:color w:val="auto"/>
                      <w:spacing w:val="0"/>
                      <w:kern w:val="2"/>
                      <w:sz w:val="21"/>
                      <w:szCs w:val="21"/>
                      <w:highlight w:val="none"/>
                      <w:lang w:val="en-US" w:eastAsia="zh-CN" w:bidi="ar-SA"/>
                    </w:rPr>
                    <w:t>，可贮存500t危险废物，本项目建成后，全厂危险废物产生量为17354.1594t/a。最大贮存周期为34d。在建工程危险废物的转运周期为20d，本项目危险废物产生量较小，不会缩短全厂危险废物的转运周期，因此依托在建工程危废贮存库可行。在建工程危废贮存库可满足全厂危险废物的贮存要求。该危废贮存库需满足“四防”（防风、防雨、防晒、防渗漏）要求</w:t>
                  </w:r>
                </w:p>
              </w:tc>
              <w:tc>
                <w:tcPr>
                  <w:tcW w:w="689" w:type="dxa"/>
                  <w:noWrap w:val="0"/>
                  <w:vAlign w:val="center"/>
                </w:tcPr>
                <w:p w14:paraId="70704CE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val="0"/>
                      <w:color w:val="auto"/>
                      <w:spacing w:val="0"/>
                      <w:kern w:val="2"/>
                      <w:sz w:val="21"/>
                      <w:szCs w:val="21"/>
                      <w:highlight w:val="none"/>
                      <w:lang w:val="en-US" w:eastAsia="zh-CN" w:bidi="ar-SA"/>
                    </w:rPr>
                  </w:pPr>
                  <w:r>
                    <w:rPr>
                      <w:rFonts w:hint="eastAsia" w:ascii="Times New Roman" w:hAnsi="Times New Roman" w:cs="Times New Roman"/>
                      <w:bCs w:val="0"/>
                      <w:color w:val="auto"/>
                      <w:spacing w:val="0"/>
                      <w:kern w:val="2"/>
                      <w:sz w:val="21"/>
                      <w:szCs w:val="21"/>
                      <w:highlight w:val="none"/>
                      <w:lang w:val="en-US" w:eastAsia="zh-CN" w:bidi="ar-SA"/>
                    </w:rPr>
                    <w:t>依托</w:t>
                  </w:r>
                </w:p>
              </w:tc>
            </w:tr>
            <w:tr w14:paraId="5012C0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7" w:type="dxa"/>
                  <w:vMerge w:val="continue"/>
                  <w:noWrap w:val="0"/>
                  <w:vAlign w:val="center"/>
                </w:tcPr>
                <w:p w14:paraId="19E8BAD8">
                  <w:pPr>
                    <w:pStyle w:val="70"/>
                    <w:spacing w:line="240" w:lineRule="auto"/>
                    <w:jc w:val="center"/>
                    <w:rPr>
                      <w:rFonts w:hint="default" w:ascii="Times New Roman" w:hAnsi="Times New Roman" w:eastAsia="宋体" w:cs="Times New Roman"/>
                      <w:snapToGrid w:val="0"/>
                      <w:color w:val="auto"/>
                      <w:spacing w:val="0"/>
                      <w:sz w:val="21"/>
                      <w:szCs w:val="21"/>
                      <w:highlight w:val="none"/>
                      <w:lang w:val="en-US" w:eastAsia="zh-CN"/>
                    </w:rPr>
                  </w:pPr>
                </w:p>
              </w:tc>
              <w:tc>
                <w:tcPr>
                  <w:tcW w:w="1327" w:type="dxa"/>
                  <w:noWrap w:val="0"/>
                  <w:vAlign w:val="center"/>
                </w:tcPr>
                <w:p w14:paraId="56808CC1">
                  <w:pPr>
                    <w:pStyle w:val="70"/>
                    <w:spacing w:line="240" w:lineRule="auto"/>
                    <w:jc w:val="center"/>
                    <w:rPr>
                      <w:rFonts w:hint="default" w:cs="Times New Roman"/>
                      <w:color w:val="auto"/>
                      <w:highlight w:val="none"/>
                      <w:lang w:val="en-US" w:eastAsia="zh-CN"/>
                    </w:rPr>
                  </w:pPr>
                  <w:r>
                    <w:rPr>
                      <w:rFonts w:hint="eastAsia" w:cs="Times New Roman"/>
                      <w:color w:val="auto"/>
                      <w:highlight w:val="none"/>
                      <w:lang w:val="en-US" w:eastAsia="zh-CN"/>
                    </w:rPr>
                    <w:t>污水处理站</w:t>
                  </w:r>
                </w:p>
              </w:tc>
              <w:tc>
                <w:tcPr>
                  <w:tcW w:w="4498" w:type="dxa"/>
                  <w:noWrap w:val="0"/>
                  <w:vAlign w:val="center"/>
                </w:tcPr>
                <w:p w14:paraId="0B34B5E7">
                  <w:pPr>
                    <w:spacing w:line="240" w:lineRule="auto"/>
                    <w:ind w:firstLine="420" w:firstLineChars="200"/>
                    <w:jc w:val="center"/>
                    <w:rPr>
                      <w:rFonts w:hint="default" w:ascii="Times New Roman" w:hAnsi="Times New Roman" w:cs="Times New Roman"/>
                      <w:bCs w:val="0"/>
                      <w:color w:val="auto"/>
                      <w:spacing w:val="0"/>
                      <w:kern w:val="2"/>
                      <w:sz w:val="21"/>
                      <w:szCs w:val="21"/>
                      <w:highlight w:val="none"/>
                      <w:lang w:val="en-US" w:eastAsia="zh-CN" w:bidi="ar-SA"/>
                    </w:rPr>
                  </w:pPr>
                  <w:r>
                    <w:rPr>
                      <w:rFonts w:hint="eastAsia" w:ascii="Times New Roman" w:hAnsi="Times New Roman" w:cs="Times New Roman"/>
                      <w:bCs w:val="0"/>
                      <w:color w:val="auto"/>
                      <w:spacing w:val="0"/>
                      <w:kern w:val="2"/>
                      <w:sz w:val="21"/>
                      <w:szCs w:val="21"/>
                      <w:highlight w:val="none"/>
                      <w:lang w:val="en-US" w:eastAsia="zh-CN" w:bidi="ar-SA"/>
                    </w:rPr>
                    <w:t>本项目离子交换树脂再生废水依托在建工程污水处理站的预处理工艺处理，在建工程设置了一套多效蒸发除盐系统，处理能力300m</w:t>
                  </w:r>
                  <w:r>
                    <w:rPr>
                      <w:rFonts w:hint="eastAsia" w:ascii="Times New Roman" w:hAnsi="Times New Roman" w:cs="Times New Roman"/>
                      <w:bCs w:val="0"/>
                      <w:color w:val="auto"/>
                      <w:spacing w:val="0"/>
                      <w:kern w:val="2"/>
                      <w:sz w:val="21"/>
                      <w:szCs w:val="21"/>
                      <w:highlight w:val="none"/>
                      <w:vertAlign w:val="superscript"/>
                      <w:lang w:val="en-US" w:eastAsia="zh-CN" w:bidi="ar-SA"/>
                    </w:rPr>
                    <w:t>3</w:t>
                  </w:r>
                  <w:r>
                    <w:rPr>
                      <w:rFonts w:hint="eastAsia" w:ascii="Times New Roman" w:hAnsi="Times New Roman" w:cs="Times New Roman"/>
                      <w:bCs w:val="0"/>
                      <w:color w:val="auto"/>
                      <w:spacing w:val="0"/>
                      <w:kern w:val="2"/>
                      <w:sz w:val="21"/>
                      <w:szCs w:val="21"/>
                      <w:highlight w:val="none"/>
                      <w:lang w:val="en-US" w:eastAsia="zh-CN" w:bidi="ar-SA"/>
                    </w:rPr>
                    <w:t>/d，在建工程废水产生量为140m</w:t>
                  </w:r>
                  <w:r>
                    <w:rPr>
                      <w:rFonts w:hint="eastAsia" w:ascii="Times New Roman" w:hAnsi="Times New Roman" w:cs="Times New Roman"/>
                      <w:bCs w:val="0"/>
                      <w:color w:val="auto"/>
                      <w:spacing w:val="0"/>
                      <w:kern w:val="2"/>
                      <w:sz w:val="21"/>
                      <w:szCs w:val="21"/>
                      <w:highlight w:val="none"/>
                      <w:vertAlign w:val="superscript"/>
                      <w:lang w:val="en-US" w:eastAsia="zh-CN" w:bidi="ar-SA"/>
                    </w:rPr>
                    <w:t>3</w:t>
                  </w:r>
                  <w:r>
                    <w:rPr>
                      <w:rFonts w:hint="eastAsia" w:ascii="Times New Roman" w:hAnsi="Times New Roman" w:cs="Times New Roman"/>
                      <w:bCs w:val="0"/>
                      <w:color w:val="auto"/>
                      <w:spacing w:val="0"/>
                      <w:kern w:val="2"/>
                      <w:sz w:val="21"/>
                      <w:szCs w:val="21"/>
                      <w:highlight w:val="none"/>
                      <w:lang w:val="en-US" w:eastAsia="zh-CN" w:bidi="ar-SA"/>
                    </w:rPr>
                    <w:t>/d，本项目为5.0625m</w:t>
                  </w:r>
                  <w:r>
                    <w:rPr>
                      <w:rFonts w:hint="eastAsia" w:ascii="Times New Roman" w:hAnsi="Times New Roman" w:cs="Times New Roman"/>
                      <w:bCs w:val="0"/>
                      <w:color w:val="auto"/>
                      <w:spacing w:val="0"/>
                      <w:kern w:val="2"/>
                      <w:sz w:val="21"/>
                      <w:szCs w:val="21"/>
                      <w:highlight w:val="none"/>
                      <w:vertAlign w:val="superscript"/>
                      <w:lang w:val="en-US" w:eastAsia="zh-CN" w:bidi="ar-SA"/>
                    </w:rPr>
                    <w:t>3</w:t>
                  </w:r>
                  <w:r>
                    <w:rPr>
                      <w:rFonts w:hint="eastAsia" w:ascii="Times New Roman" w:hAnsi="Times New Roman" w:cs="Times New Roman"/>
                      <w:bCs w:val="0"/>
                      <w:color w:val="auto"/>
                      <w:spacing w:val="0"/>
                      <w:kern w:val="2"/>
                      <w:sz w:val="21"/>
                      <w:szCs w:val="21"/>
                      <w:highlight w:val="none"/>
                      <w:lang w:val="en-US" w:eastAsia="zh-CN" w:bidi="ar-SA"/>
                    </w:rPr>
                    <w:t>/d，建成后全厂需预处理量为145.0625m</w:t>
                  </w:r>
                  <w:r>
                    <w:rPr>
                      <w:rFonts w:hint="eastAsia" w:ascii="Times New Roman" w:hAnsi="Times New Roman" w:cs="Times New Roman"/>
                      <w:bCs w:val="0"/>
                      <w:color w:val="auto"/>
                      <w:spacing w:val="0"/>
                      <w:kern w:val="2"/>
                      <w:sz w:val="21"/>
                      <w:szCs w:val="21"/>
                      <w:highlight w:val="none"/>
                      <w:vertAlign w:val="superscript"/>
                      <w:lang w:val="en-US" w:eastAsia="zh-CN" w:bidi="ar-SA"/>
                    </w:rPr>
                    <w:t>3</w:t>
                  </w:r>
                  <w:r>
                    <w:rPr>
                      <w:rFonts w:hint="eastAsia" w:ascii="Times New Roman" w:hAnsi="Times New Roman" w:cs="Times New Roman"/>
                      <w:bCs w:val="0"/>
                      <w:color w:val="auto"/>
                      <w:spacing w:val="0"/>
                      <w:kern w:val="2"/>
                      <w:sz w:val="21"/>
                      <w:szCs w:val="21"/>
                      <w:highlight w:val="none"/>
                      <w:lang w:val="en-US" w:eastAsia="zh-CN" w:bidi="ar-SA"/>
                    </w:rPr>
                    <w:t>/d，不会超出在建污水处理站处理能力，本项目产生的再生废水主要污染物为TDS，蒸发除盐系统可有效处理离子交换树脂再生废水，因此依托可行。</w:t>
                  </w:r>
                </w:p>
              </w:tc>
              <w:tc>
                <w:tcPr>
                  <w:tcW w:w="689" w:type="dxa"/>
                  <w:noWrap w:val="0"/>
                  <w:vAlign w:val="center"/>
                </w:tcPr>
                <w:p w14:paraId="07D7FA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val="0"/>
                      <w:color w:val="auto"/>
                      <w:spacing w:val="0"/>
                      <w:kern w:val="2"/>
                      <w:sz w:val="21"/>
                      <w:szCs w:val="21"/>
                      <w:highlight w:val="none"/>
                      <w:lang w:val="en-US" w:eastAsia="zh-CN" w:bidi="ar-SA"/>
                    </w:rPr>
                  </w:pPr>
                  <w:r>
                    <w:rPr>
                      <w:rFonts w:hint="eastAsia" w:ascii="Times New Roman" w:hAnsi="Times New Roman" w:cs="Times New Roman"/>
                      <w:bCs w:val="0"/>
                      <w:color w:val="auto"/>
                      <w:spacing w:val="0"/>
                      <w:kern w:val="2"/>
                      <w:sz w:val="21"/>
                      <w:szCs w:val="21"/>
                      <w:highlight w:val="none"/>
                      <w:lang w:val="en-US" w:eastAsia="zh-CN" w:bidi="ar-SA"/>
                    </w:rPr>
                    <w:t>依托</w:t>
                  </w:r>
                </w:p>
              </w:tc>
            </w:tr>
          </w:tbl>
          <w:p w14:paraId="63F2F771">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3.</w:t>
            </w:r>
            <w:r>
              <w:rPr>
                <w:rFonts w:hint="eastAsia" w:ascii="宋体" w:hAnsi="宋体" w:eastAsia="宋体" w:cs="宋体"/>
                <w:b/>
                <w:bCs w:val="0"/>
                <w:color w:val="auto"/>
                <w:spacing w:val="0"/>
                <w:sz w:val="24"/>
                <w:szCs w:val="24"/>
                <w:highlight w:val="none"/>
                <w:lang w:val="en-US" w:eastAsia="zh-CN"/>
              </w:rPr>
              <w:t>主要生产设备</w:t>
            </w:r>
          </w:p>
          <w:p w14:paraId="200A6757">
            <w:pP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本项目</w:t>
            </w:r>
            <w:r>
              <w:rPr>
                <w:rFonts w:hint="eastAsia" w:ascii="宋体" w:hAnsi="宋体" w:eastAsia="宋体" w:cs="宋体"/>
                <w:color w:val="auto"/>
                <w:spacing w:val="0"/>
                <w:sz w:val="24"/>
                <w:szCs w:val="24"/>
                <w:highlight w:val="none"/>
                <w:lang w:val="en-US" w:eastAsia="zh-CN"/>
              </w:rPr>
              <w:t>主要</w:t>
            </w:r>
            <w:r>
              <w:rPr>
                <w:rFonts w:hint="eastAsia" w:ascii="宋体" w:hAnsi="宋体" w:eastAsia="宋体" w:cs="宋体"/>
                <w:b w:val="0"/>
                <w:bCs w:val="0"/>
                <w:color w:val="auto"/>
                <w:spacing w:val="0"/>
                <w:sz w:val="24"/>
                <w:szCs w:val="24"/>
                <w:highlight w:val="none"/>
              </w:rPr>
              <w:t>设备</w:t>
            </w:r>
            <w:r>
              <w:rPr>
                <w:rFonts w:hint="eastAsia" w:ascii="宋体" w:hAnsi="宋体" w:eastAsia="宋体" w:cs="宋体"/>
                <w:color w:val="auto"/>
                <w:spacing w:val="0"/>
                <w:sz w:val="24"/>
                <w:szCs w:val="24"/>
                <w:highlight w:val="none"/>
              </w:rPr>
              <w:t>如下表</w:t>
            </w:r>
            <w:r>
              <w:rPr>
                <w:rFonts w:hint="default" w:ascii="Times New Roman" w:hAnsi="Times New Roman" w:eastAsia="宋体" w:cs="Times New Roman"/>
                <w:color w:val="auto"/>
                <w:spacing w:val="0"/>
                <w:sz w:val="24"/>
                <w:szCs w:val="24"/>
                <w:highlight w:val="none"/>
                <w:lang w:val="en-US" w:eastAsia="zh-CN"/>
              </w:rPr>
              <w:t>2-2</w:t>
            </w:r>
            <w:r>
              <w:rPr>
                <w:rFonts w:hint="eastAsia" w:ascii="宋体" w:hAnsi="宋体" w:eastAsia="宋体" w:cs="宋体"/>
                <w:color w:val="auto"/>
                <w:spacing w:val="0"/>
                <w:sz w:val="24"/>
                <w:szCs w:val="24"/>
                <w:highlight w:val="none"/>
              </w:rPr>
              <w:t>所示：</w:t>
            </w:r>
          </w:p>
          <w:p w14:paraId="4D7B3859">
            <w:pPr>
              <w:spacing w:line="240" w:lineRule="auto"/>
              <w:ind w:firstLine="422"/>
              <w:jc w:val="center"/>
              <w:rPr>
                <w:rFonts w:hint="eastAsia" w:ascii="宋体" w:hAnsi="宋体" w:eastAsia="宋体" w:cs="宋体"/>
                <w:b/>
                <w:bCs w:val="0"/>
                <w:color w:val="auto"/>
                <w:spacing w:val="0"/>
                <w:kern w:val="2"/>
                <w:sz w:val="21"/>
                <w:szCs w:val="21"/>
                <w:highlight w:val="none"/>
                <w:lang w:val="en-US" w:eastAsia="zh-CN" w:bidi="ar-SA"/>
              </w:rPr>
            </w:pPr>
            <w:r>
              <w:rPr>
                <w:rFonts w:hint="eastAsia" w:ascii="宋体" w:hAnsi="宋体" w:eastAsia="宋体" w:cs="宋体"/>
                <w:b/>
                <w:bCs w:val="0"/>
                <w:color w:val="auto"/>
                <w:spacing w:val="0"/>
                <w:kern w:val="2"/>
                <w:sz w:val="21"/>
                <w:szCs w:val="21"/>
                <w:highlight w:val="none"/>
                <w:lang w:val="en-US" w:eastAsia="zh-CN" w:bidi="ar-SA"/>
              </w:rPr>
              <w:t>表2-2 生产设备一览表</w:t>
            </w:r>
          </w:p>
          <w:tbl>
            <w:tblPr>
              <w:tblStyle w:val="38"/>
              <w:tblW w:w="498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97"/>
              <w:gridCol w:w="2085"/>
              <w:gridCol w:w="1799"/>
              <w:gridCol w:w="1467"/>
            </w:tblGrid>
            <w:tr w14:paraId="3DB872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394" w:type="dxa"/>
                  <w:tcBorders>
                    <w:tl2br w:val="nil"/>
                    <w:tr2bl w:val="nil"/>
                  </w:tcBorders>
                  <w:noWrap w:val="0"/>
                  <w:vAlign w:val="center"/>
                </w:tcPr>
                <w:p w14:paraId="2A4E0F5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宋体" w:hAnsi="宋体" w:eastAsia="宋体" w:cs="宋体"/>
                      <w:bCs/>
                      <w:color w:val="auto"/>
                      <w:spacing w:val="0"/>
                      <w:kern w:val="2"/>
                      <w:sz w:val="21"/>
                      <w:szCs w:val="21"/>
                      <w:highlight w:val="none"/>
                      <w:vertAlign w:val="baseline"/>
                      <w:lang w:val="en-US" w:eastAsia="zh-CN" w:bidi="ar-SA"/>
                    </w:rPr>
                  </w:pPr>
                  <w:r>
                    <w:rPr>
                      <w:rFonts w:hint="eastAsia" w:ascii="宋体" w:hAnsi="宋体" w:eastAsia="宋体" w:cs="宋体"/>
                      <w:color w:val="auto"/>
                      <w:spacing w:val="0"/>
                      <w:sz w:val="21"/>
                      <w:szCs w:val="21"/>
                      <w:highlight w:val="none"/>
                      <w:vertAlign w:val="baseline"/>
                      <w:lang w:val="en-US" w:eastAsia="zh-CN"/>
                    </w:rPr>
                    <w:t>设备名称</w:t>
                  </w:r>
                </w:p>
              </w:tc>
              <w:tc>
                <w:tcPr>
                  <w:tcW w:w="2083" w:type="dxa"/>
                  <w:tcBorders>
                    <w:tl2br w:val="nil"/>
                    <w:tr2bl w:val="nil"/>
                  </w:tcBorders>
                  <w:noWrap w:val="0"/>
                  <w:vAlign w:val="center"/>
                </w:tcPr>
                <w:p w14:paraId="2BE5D164">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宋体" w:hAnsi="宋体" w:eastAsia="宋体" w:cs="宋体"/>
                      <w:bCs/>
                      <w:color w:val="auto"/>
                      <w:spacing w:val="0"/>
                      <w:kern w:val="2"/>
                      <w:sz w:val="21"/>
                      <w:szCs w:val="21"/>
                      <w:highlight w:val="none"/>
                      <w:vertAlign w:val="baseline"/>
                      <w:lang w:val="en-US" w:eastAsia="zh-CN" w:bidi="ar-SA"/>
                    </w:rPr>
                  </w:pPr>
                  <w:r>
                    <w:rPr>
                      <w:rFonts w:hint="eastAsia" w:ascii="宋体" w:hAnsi="宋体" w:eastAsia="宋体" w:cs="宋体"/>
                      <w:color w:val="auto"/>
                      <w:spacing w:val="0"/>
                      <w:sz w:val="21"/>
                      <w:szCs w:val="21"/>
                      <w:highlight w:val="none"/>
                      <w:vertAlign w:val="baseline"/>
                      <w:lang w:val="en-US" w:eastAsia="zh-CN"/>
                    </w:rPr>
                    <w:t>型号</w:t>
                  </w:r>
                </w:p>
              </w:tc>
              <w:tc>
                <w:tcPr>
                  <w:tcW w:w="1797" w:type="dxa"/>
                  <w:tcBorders>
                    <w:tl2br w:val="nil"/>
                    <w:tr2bl w:val="nil"/>
                  </w:tcBorders>
                  <w:noWrap w:val="0"/>
                  <w:vAlign w:val="center"/>
                </w:tcPr>
                <w:p w14:paraId="7CDE5A5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宋体" w:hAnsi="宋体" w:eastAsia="宋体" w:cs="宋体"/>
                      <w:bCs/>
                      <w:color w:val="auto"/>
                      <w:spacing w:val="0"/>
                      <w:kern w:val="2"/>
                      <w:sz w:val="21"/>
                      <w:szCs w:val="21"/>
                      <w:highlight w:val="none"/>
                      <w:vertAlign w:val="baseline"/>
                      <w:lang w:val="en-US" w:eastAsia="zh-CN" w:bidi="ar-SA"/>
                    </w:rPr>
                  </w:pPr>
                  <w:r>
                    <w:rPr>
                      <w:rFonts w:hint="eastAsia" w:ascii="宋体" w:hAnsi="宋体" w:eastAsia="宋体" w:cs="宋体"/>
                      <w:color w:val="auto"/>
                      <w:spacing w:val="0"/>
                      <w:sz w:val="21"/>
                      <w:szCs w:val="21"/>
                      <w:highlight w:val="none"/>
                      <w:vertAlign w:val="baseline"/>
                      <w:lang w:val="en-US" w:eastAsia="zh-CN"/>
                    </w:rPr>
                    <w:t>数量</w:t>
                  </w:r>
                </w:p>
              </w:tc>
              <w:tc>
                <w:tcPr>
                  <w:tcW w:w="1465" w:type="dxa"/>
                  <w:tcBorders>
                    <w:tl2br w:val="nil"/>
                    <w:tr2bl w:val="nil"/>
                  </w:tcBorders>
                  <w:noWrap w:val="0"/>
                  <w:vAlign w:val="center"/>
                </w:tcPr>
                <w:p w14:paraId="7AA85A9C">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宋体" w:hAnsi="宋体" w:eastAsia="宋体" w:cs="宋体"/>
                      <w:bCs/>
                      <w:color w:val="auto"/>
                      <w:spacing w:val="0"/>
                      <w:kern w:val="2"/>
                      <w:sz w:val="21"/>
                      <w:szCs w:val="21"/>
                      <w:highlight w:val="none"/>
                      <w:vertAlign w:val="baseline"/>
                      <w:lang w:val="en-US" w:eastAsia="zh-CN" w:bidi="ar-SA"/>
                    </w:rPr>
                  </w:pPr>
                  <w:r>
                    <w:rPr>
                      <w:rFonts w:hint="eastAsia" w:ascii="宋体" w:hAnsi="宋体" w:eastAsia="宋体" w:cs="宋体"/>
                      <w:color w:val="auto"/>
                      <w:spacing w:val="0"/>
                      <w:sz w:val="21"/>
                      <w:szCs w:val="21"/>
                      <w:highlight w:val="none"/>
                      <w:vertAlign w:val="baseline"/>
                      <w:lang w:val="en-US" w:eastAsia="zh-CN"/>
                    </w:rPr>
                    <w:t>位置</w:t>
                  </w:r>
                </w:p>
              </w:tc>
            </w:tr>
            <w:tr w14:paraId="3D5CA5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394" w:type="dxa"/>
                  <w:tcBorders>
                    <w:tl2br w:val="nil"/>
                    <w:tr2bl w:val="nil"/>
                  </w:tcBorders>
                  <w:noWrap w:val="0"/>
                  <w:vAlign w:val="center"/>
                </w:tcPr>
                <w:p w14:paraId="656DFDAB">
                  <w:pPr>
                    <w:pStyle w:val="128"/>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color w:val="auto"/>
                      <w:spacing w:val="0"/>
                      <w:sz w:val="21"/>
                      <w:szCs w:val="21"/>
                      <w:highlight w:val="none"/>
                      <w:vertAlign w:val="baseline"/>
                      <w:lang w:val="en-US" w:eastAsia="zh-CN"/>
                    </w:rPr>
                  </w:pPr>
                  <w:r>
                    <w:rPr>
                      <w:rFonts w:hint="eastAsia"/>
                      <w:color w:val="auto"/>
                      <w:szCs w:val="21"/>
                      <w:highlight w:val="none"/>
                      <w:lang w:val="en-US" w:eastAsia="zh-CN"/>
                    </w:rPr>
                    <w:t>生物质锅炉</w:t>
                  </w:r>
                </w:p>
              </w:tc>
              <w:tc>
                <w:tcPr>
                  <w:tcW w:w="2083" w:type="dxa"/>
                  <w:tcBorders>
                    <w:tl2br w:val="nil"/>
                    <w:tr2bl w:val="nil"/>
                  </w:tcBorders>
                  <w:noWrap w:val="0"/>
                  <w:vAlign w:val="center"/>
                </w:tcPr>
                <w:p w14:paraId="05956E5F">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DZL6-1</w:t>
                  </w:r>
                  <w:r>
                    <w:rPr>
                      <w:rFonts w:hint="eastAsia" w:ascii="宋体" w:hAnsi="宋体" w:eastAsia="宋体" w:cs="宋体"/>
                      <w:color w:val="auto"/>
                      <w:spacing w:val="0"/>
                      <w:sz w:val="21"/>
                      <w:szCs w:val="21"/>
                      <w:highlight w:val="none"/>
                      <w:vertAlign w:val="baseline"/>
                      <w:lang w:val="en-US" w:eastAsia="zh-CN"/>
                    </w:rPr>
                    <w:t>.</w:t>
                  </w:r>
                  <w:r>
                    <w:rPr>
                      <w:rFonts w:hint="default" w:ascii="Times New Roman" w:hAnsi="Times New Roman" w:cs="Times New Roman"/>
                      <w:color w:val="auto"/>
                      <w:spacing w:val="0"/>
                      <w:sz w:val="21"/>
                      <w:szCs w:val="21"/>
                      <w:highlight w:val="none"/>
                      <w:vertAlign w:val="baseline"/>
                      <w:lang w:val="en-US" w:eastAsia="zh-CN"/>
                    </w:rPr>
                    <w:t>25-SCⅢ</w:t>
                  </w:r>
                </w:p>
              </w:tc>
              <w:tc>
                <w:tcPr>
                  <w:tcW w:w="1797" w:type="dxa"/>
                  <w:tcBorders>
                    <w:tl2br w:val="nil"/>
                    <w:tr2bl w:val="nil"/>
                  </w:tcBorders>
                  <w:noWrap w:val="0"/>
                  <w:vAlign w:val="center"/>
                </w:tcPr>
                <w:p w14:paraId="6AEAAA9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1</w:t>
                  </w:r>
                </w:p>
              </w:tc>
              <w:tc>
                <w:tcPr>
                  <w:tcW w:w="1465" w:type="dxa"/>
                  <w:tcBorders>
                    <w:tl2br w:val="nil"/>
                    <w:tr2bl w:val="nil"/>
                  </w:tcBorders>
                  <w:noWrap w:val="0"/>
                  <w:vAlign w:val="center"/>
                </w:tcPr>
                <w:p w14:paraId="1D322823">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ascii="宋体" w:hAnsi="宋体" w:eastAsia="宋体"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新建锅炉房</w:t>
                  </w:r>
                </w:p>
              </w:tc>
            </w:tr>
            <w:tr w14:paraId="2D64D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394" w:type="dxa"/>
                  <w:tcBorders>
                    <w:tl2br w:val="nil"/>
                    <w:tr2bl w:val="nil"/>
                  </w:tcBorders>
                  <w:noWrap w:val="0"/>
                  <w:vAlign w:val="center"/>
                </w:tcPr>
                <w:p w14:paraId="0C03CBD4">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color w:val="auto"/>
                      <w:spacing w:val="0"/>
                      <w:sz w:val="21"/>
                      <w:szCs w:val="21"/>
                      <w:highlight w:val="none"/>
                      <w:lang w:val="en-US" w:eastAsia="zh-CN" w:bidi="zh-CN"/>
                    </w:rPr>
                  </w:pPr>
                  <w:r>
                    <w:rPr>
                      <w:rFonts w:hint="eastAsia" w:ascii="Times New Roman" w:hAnsi="Times New Roman" w:eastAsia="宋体" w:cs="Times New Roman"/>
                      <w:color w:val="auto"/>
                      <w:kern w:val="0"/>
                      <w:sz w:val="21"/>
                      <w:szCs w:val="21"/>
                      <w:highlight w:val="none"/>
                      <w:lang w:val="en-US" w:eastAsia="zh-CN" w:bidi="ar-SA"/>
                    </w:rPr>
                    <w:t>低氮燃烧器</w:t>
                  </w:r>
                </w:p>
              </w:tc>
              <w:tc>
                <w:tcPr>
                  <w:tcW w:w="2083" w:type="dxa"/>
                  <w:tcBorders>
                    <w:tl2br w:val="nil"/>
                    <w:tr2bl w:val="nil"/>
                  </w:tcBorders>
                  <w:noWrap w:val="0"/>
                  <w:vAlign w:val="center"/>
                </w:tcPr>
                <w:p w14:paraId="7D6785A9">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snapToGrid w:val="0"/>
                      <w:color w:val="auto"/>
                      <w:spacing w:val="0"/>
                      <w:kern w:val="2"/>
                      <w:sz w:val="21"/>
                      <w:szCs w:val="21"/>
                      <w:highlight w:val="none"/>
                      <w:lang w:val="en-US" w:eastAsia="zh-CN" w:bidi="ar-SA"/>
                    </w:rPr>
                  </w:pPr>
                  <w:r>
                    <w:rPr>
                      <w:rFonts w:hint="default" w:ascii="Times New Roman" w:hAnsi="Times New Roman" w:cs="Times New Roman"/>
                      <w:snapToGrid w:val="0"/>
                      <w:color w:val="auto"/>
                      <w:spacing w:val="0"/>
                      <w:kern w:val="2"/>
                      <w:sz w:val="21"/>
                      <w:szCs w:val="21"/>
                      <w:highlight w:val="none"/>
                      <w:lang w:val="en-US" w:eastAsia="zh-CN" w:bidi="ar-SA"/>
                    </w:rPr>
                    <w:t>/</w:t>
                  </w:r>
                </w:p>
              </w:tc>
              <w:tc>
                <w:tcPr>
                  <w:tcW w:w="1797" w:type="dxa"/>
                  <w:tcBorders>
                    <w:tl2br w:val="nil"/>
                    <w:tr2bl w:val="nil"/>
                  </w:tcBorders>
                  <w:noWrap w:val="0"/>
                  <w:vAlign w:val="center"/>
                </w:tcPr>
                <w:p w14:paraId="45B2BBAF">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1</w:t>
                  </w:r>
                </w:p>
              </w:tc>
              <w:tc>
                <w:tcPr>
                  <w:tcW w:w="1465" w:type="dxa"/>
                  <w:tcBorders>
                    <w:tl2br w:val="nil"/>
                    <w:tr2bl w:val="nil"/>
                  </w:tcBorders>
                  <w:noWrap w:val="0"/>
                  <w:vAlign w:val="center"/>
                </w:tcPr>
                <w:p w14:paraId="00AAB00B">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宋体" w:hAnsi="宋体" w:eastAsia="宋体" w:cs="宋体"/>
                      <w:bCs/>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新建锅炉房</w:t>
                  </w:r>
                </w:p>
              </w:tc>
            </w:tr>
            <w:tr w14:paraId="2D5BF6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394" w:type="dxa"/>
                  <w:tcBorders>
                    <w:tl2br w:val="nil"/>
                    <w:tr2bl w:val="nil"/>
                  </w:tcBorders>
                  <w:noWrap w:val="0"/>
                  <w:vAlign w:val="center"/>
                </w:tcPr>
                <w:p w14:paraId="3F7C832C">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color w:val="auto"/>
                      <w:spacing w:val="0"/>
                      <w:sz w:val="21"/>
                      <w:szCs w:val="21"/>
                      <w:highlight w:val="none"/>
                      <w:lang w:val="en-US" w:eastAsia="zh-CN" w:bidi="zh-CN"/>
                    </w:rPr>
                  </w:pPr>
                  <w:r>
                    <w:rPr>
                      <w:rFonts w:hint="eastAsia" w:ascii="Times New Roman" w:hAnsi="Times New Roman" w:eastAsia="宋体" w:cs="Times New Roman"/>
                      <w:color w:val="auto"/>
                      <w:kern w:val="0"/>
                      <w:sz w:val="21"/>
                      <w:szCs w:val="21"/>
                      <w:highlight w:val="none"/>
                      <w:lang w:val="en-US" w:eastAsia="zh-CN" w:bidi="ar-SA"/>
                    </w:rPr>
                    <w:t>软化水处理装置</w:t>
                  </w:r>
                </w:p>
              </w:tc>
              <w:tc>
                <w:tcPr>
                  <w:tcW w:w="2083" w:type="dxa"/>
                  <w:tcBorders>
                    <w:tl2br w:val="nil"/>
                    <w:tr2bl w:val="nil"/>
                  </w:tcBorders>
                  <w:noWrap w:val="0"/>
                  <w:vAlign w:val="center"/>
                </w:tcPr>
                <w:p w14:paraId="5A290A79">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snapToGrid w:val="0"/>
                      <w:color w:val="auto"/>
                      <w:spacing w:val="0"/>
                      <w:kern w:val="2"/>
                      <w:sz w:val="21"/>
                      <w:szCs w:val="21"/>
                      <w:highlight w:val="none"/>
                      <w:lang w:val="en-US" w:eastAsia="zh-CN" w:bidi="ar-SA"/>
                    </w:rPr>
                  </w:pPr>
                  <w:r>
                    <w:rPr>
                      <w:rFonts w:hint="default" w:ascii="Times New Roman" w:hAnsi="Times New Roman" w:cs="Times New Roman"/>
                      <w:snapToGrid w:val="0"/>
                      <w:color w:val="auto"/>
                      <w:spacing w:val="0"/>
                      <w:kern w:val="2"/>
                      <w:sz w:val="21"/>
                      <w:szCs w:val="21"/>
                      <w:highlight w:val="none"/>
                      <w:lang w:val="en-US" w:eastAsia="zh-CN" w:bidi="ar-SA"/>
                    </w:rPr>
                    <w:t>8t/h</w:t>
                  </w:r>
                </w:p>
              </w:tc>
              <w:tc>
                <w:tcPr>
                  <w:tcW w:w="1797" w:type="dxa"/>
                  <w:tcBorders>
                    <w:tl2br w:val="nil"/>
                    <w:tr2bl w:val="nil"/>
                  </w:tcBorders>
                  <w:noWrap w:val="0"/>
                  <w:vAlign w:val="center"/>
                </w:tcPr>
                <w:p w14:paraId="2FC05065">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1</w:t>
                  </w:r>
                </w:p>
              </w:tc>
              <w:tc>
                <w:tcPr>
                  <w:tcW w:w="1465" w:type="dxa"/>
                  <w:tcBorders>
                    <w:tl2br w:val="nil"/>
                    <w:tr2bl w:val="nil"/>
                  </w:tcBorders>
                  <w:noWrap w:val="0"/>
                  <w:vAlign w:val="center"/>
                </w:tcPr>
                <w:p w14:paraId="11FE379D">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ascii="宋体" w:hAnsi="宋体" w:eastAsia="宋体" w:cs="宋体"/>
                      <w:bCs/>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新建锅炉房</w:t>
                  </w:r>
                </w:p>
              </w:tc>
            </w:tr>
            <w:tr w14:paraId="5F3FD2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exact"/>
                <w:jc w:val="center"/>
              </w:trPr>
              <w:tc>
                <w:tcPr>
                  <w:tcW w:w="2394" w:type="dxa"/>
                  <w:tcBorders>
                    <w:tl2br w:val="nil"/>
                    <w:tr2bl w:val="nil"/>
                  </w:tcBorders>
                  <w:noWrap w:val="0"/>
                  <w:vAlign w:val="center"/>
                </w:tcPr>
                <w:p w14:paraId="7EC2F753">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旋风除尘器+布袋除尘器</w:t>
                  </w:r>
                </w:p>
              </w:tc>
              <w:tc>
                <w:tcPr>
                  <w:tcW w:w="2083" w:type="dxa"/>
                  <w:tcBorders>
                    <w:tl2br w:val="nil"/>
                    <w:tr2bl w:val="nil"/>
                  </w:tcBorders>
                  <w:noWrap w:val="0"/>
                  <w:vAlign w:val="center"/>
                </w:tcPr>
                <w:p w14:paraId="61F7B6F6">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napToGrid w:val="0"/>
                      <w:color w:val="auto"/>
                      <w:spacing w:val="0"/>
                      <w:kern w:val="2"/>
                      <w:sz w:val="21"/>
                      <w:szCs w:val="21"/>
                      <w:highlight w:val="none"/>
                      <w:lang w:val="en-US" w:eastAsia="zh-CN" w:bidi="ar-SA"/>
                    </w:rPr>
                  </w:pPr>
                  <w:r>
                    <w:rPr>
                      <w:rFonts w:hint="default" w:ascii="Times New Roman" w:hAnsi="Times New Roman" w:cs="Times New Roman"/>
                      <w:snapToGrid w:val="0"/>
                      <w:color w:val="auto"/>
                      <w:spacing w:val="0"/>
                      <w:kern w:val="2"/>
                      <w:sz w:val="21"/>
                      <w:szCs w:val="21"/>
                      <w:highlight w:val="none"/>
                      <w:lang w:val="en-US" w:eastAsia="zh-CN" w:bidi="ar-SA"/>
                    </w:rPr>
                    <w:t>/</w:t>
                  </w:r>
                </w:p>
              </w:tc>
              <w:tc>
                <w:tcPr>
                  <w:tcW w:w="1797" w:type="dxa"/>
                  <w:tcBorders>
                    <w:tl2br w:val="nil"/>
                    <w:tr2bl w:val="nil"/>
                  </w:tcBorders>
                  <w:noWrap w:val="0"/>
                  <w:vAlign w:val="center"/>
                </w:tcPr>
                <w:p w14:paraId="1154B031">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1</w:t>
                  </w:r>
                </w:p>
              </w:tc>
              <w:tc>
                <w:tcPr>
                  <w:tcW w:w="1465" w:type="dxa"/>
                  <w:tcBorders>
                    <w:tl2br w:val="nil"/>
                    <w:tr2bl w:val="nil"/>
                  </w:tcBorders>
                  <w:noWrap w:val="0"/>
                  <w:vAlign w:val="center"/>
                </w:tcPr>
                <w:p w14:paraId="171EE1B7">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新建锅炉房</w:t>
                  </w:r>
                </w:p>
              </w:tc>
            </w:tr>
            <w:tr w14:paraId="37AA29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394" w:type="dxa"/>
                  <w:tcBorders>
                    <w:tl2br w:val="nil"/>
                    <w:tr2bl w:val="nil"/>
                  </w:tcBorders>
                  <w:noWrap w:val="0"/>
                  <w:vAlign w:val="center"/>
                </w:tcPr>
                <w:p w14:paraId="34A71472">
                  <w:pPr>
                    <w:pStyle w:val="13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排气筒</w:t>
                  </w:r>
                </w:p>
              </w:tc>
              <w:tc>
                <w:tcPr>
                  <w:tcW w:w="2083" w:type="dxa"/>
                  <w:tcBorders>
                    <w:tl2br w:val="nil"/>
                    <w:tr2bl w:val="nil"/>
                  </w:tcBorders>
                  <w:noWrap w:val="0"/>
                  <w:vAlign w:val="center"/>
                </w:tcPr>
                <w:p w14:paraId="0EDC958B">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snapToGrid w:val="0"/>
                      <w:color w:val="auto"/>
                      <w:spacing w:val="0"/>
                      <w:kern w:val="2"/>
                      <w:sz w:val="21"/>
                      <w:szCs w:val="21"/>
                      <w:highlight w:val="none"/>
                      <w:lang w:val="en-US" w:eastAsia="zh-CN" w:bidi="ar-SA"/>
                    </w:rPr>
                  </w:pPr>
                  <w:r>
                    <w:rPr>
                      <w:rFonts w:hint="default" w:ascii="Times New Roman" w:hAnsi="Times New Roman" w:cs="Times New Roman"/>
                      <w:snapToGrid w:val="0"/>
                      <w:color w:val="auto"/>
                      <w:spacing w:val="0"/>
                      <w:kern w:val="2"/>
                      <w:sz w:val="21"/>
                      <w:szCs w:val="21"/>
                      <w:highlight w:val="none"/>
                      <w:lang w:val="en-US" w:eastAsia="zh-CN" w:bidi="ar-SA"/>
                    </w:rPr>
                    <w:t>35m</w:t>
                  </w:r>
                </w:p>
              </w:tc>
              <w:tc>
                <w:tcPr>
                  <w:tcW w:w="1797" w:type="dxa"/>
                  <w:tcBorders>
                    <w:tl2br w:val="nil"/>
                    <w:tr2bl w:val="nil"/>
                  </w:tcBorders>
                  <w:noWrap w:val="0"/>
                  <w:vAlign w:val="center"/>
                </w:tcPr>
                <w:p w14:paraId="60962087">
                  <w:pPr>
                    <w:pStyle w:val="93"/>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1</w:t>
                  </w:r>
                </w:p>
              </w:tc>
              <w:tc>
                <w:tcPr>
                  <w:tcW w:w="1465" w:type="dxa"/>
                  <w:tcBorders>
                    <w:tl2br w:val="nil"/>
                    <w:tr2bl w:val="nil"/>
                  </w:tcBorders>
                  <w:noWrap w:val="0"/>
                  <w:vAlign w:val="center"/>
                </w:tcPr>
                <w:p w14:paraId="34446F98">
                  <w:pPr>
                    <w:keepNext w:val="0"/>
                    <w:keepLines w:val="0"/>
                    <w:pageBreakBefore w:val="0"/>
                    <w:widowControl w:val="0"/>
                    <w:kinsoku/>
                    <w:wordWrap/>
                    <w:overflowPunct/>
                    <w:topLinePunct w:val="0"/>
                    <w:autoSpaceDE/>
                    <w:autoSpaceDN/>
                    <w:bidi w:val="0"/>
                    <w:adjustRightInd w:val="0"/>
                    <w:snapToGrid w:val="0"/>
                    <w:spacing w:beforeAutospacing="0" w:afterAutospacing="0" w:line="240" w:lineRule="auto"/>
                    <w:ind w:firstLine="0" w:firstLineChars="0"/>
                    <w:jc w:val="center"/>
                    <w:textAlignment w:val="auto"/>
                    <w:rPr>
                      <w:rFonts w:hint="eastAsia"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新建锅炉房</w:t>
                  </w:r>
                </w:p>
              </w:tc>
            </w:tr>
          </w:tbl>
          <w:p w14:paraId="0F9E9CFB">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4.</w:t>
            </w:r>
            <w:r>
              <w:rPr>
                <w:rFonts w:hint="eastAsia" w:ascii="宋体" w:hAnsi="宋体" w:eastAsia="宋体" w:cs="宋体"/>
                <w:b/>
                <w:bCs w:val="0"/>
                <w:color w:val="auto"/>
                <w:spacing w:val="0"/>
                <w:sz w:val="24"/>
                <w:szCs w:val="24"/>
                <w:highlight w:val="none"/>
                <w:lang w:val="en-US" w:eastAsia="zh-CN"/>
              </w:rPr>
              <w:t>本项目主要原辅材料消耗如下表2-3</w:t>
            </w:r>
          </w:p>
          <w:p w14:paraId="2DCC7F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val="0"/>
                <w:bCs w:val="0"/>
                <w:color w:val="auto"/>
                <w:spacing w:val="0"/>
                <w:sz w:val="24"/>
                <w:szCs w:val="24"/>
                <w:highlight w:val="none"/>
              </w:rPr>
            </w:pPr>
            <w:r>
              <w:rPr>
                <w:rFonts w:hint="eastAsia" w:ascii="宋体" w:hAnsi="宋体" w:eastAsia="宋体" w:cs="宋体"/>
                <w:b/>
                <w:bCs w:val="0"/>
                <w:color w:val="auto"/>
                <w:spacing w:val="0"/>
                <w:kern w:val="2"/>
                <w:sz w:val="21"/>
                <w:szCs w:val="21"/>
                <w:highlight w:val="none"/>
                <w:lang w:val="en-US" w:eastAsia="zh-CN" w:bidi="ar-SA"/>
              </w:rPr>
              <w:t>表2-</w:t>
            </w:r>
            <w:r>
              <w:rPr>
                <w:rFonts w:hint="eastAsia" w:cs="宋体"/>
                <w:b/>
                <w:bCs w:val="0"/>
                <w:color w:val="auto"/>
                <w:spacing w:val="0"/>
                <w:kern w:val="2"/>
                <w:sz w:val="21"/>
                <w:szCs w:val="21"/>
                <w:highlight w:val="none"/>
                <w:lang w:val="en-US" w:eastAsia="zh-CN" w:bidi="ar-SA"/>
              </w:rPr>
              <w:t>3</w:t>
            </w:r>
            <w:r>
              <w:rPr>
                <w:rFonts w:hint="eastAsia" w:ascii="宋体" w:hAnsi="宋体" w:eastAsia="宋体" w:cs="宋体"/>
                <w:b/>
                <w:bCs w:val="0"/>
                <w:color w:val="auto"/>
                <w:spacing w:val="0"/>
                <w:kern w:val="2"/>
                <w:sz w:val="21"/>
                <w:szCs w:val="21"/>
                <w:highlight w:val="none"/>
                <w:lang w:val="en-US" w:eastAsia="zh-CN" w:bidi="ar-SA"/>
              </w:rPr>
              <w:t xml:space="preserve"> 原辅材料消耗一览表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1"/>
              <w:gridCol w:w="1486"/>
              <w:gridCol w:w="810"/>
              <w:gridCol w:w="1287"/>
              <w:gridCol w:w="1417"/>
              <w:gridCol w:w="1433"/>
              <w:gridCol w:w="697"/>
            </w:tblGrid>
            <w:tr w14:paraId="2E2D1E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41" w:type="dxa"/>
                  <w:noWrap w:val="0"/>
                  <w:vAlign w:val="center"/>
                </w:tcPr>
                <w:p w14:paraId="7C981608">
                  <w:pPr>
                    <w:pStyle w:val="93"/>
                    <w:numPr>
                      <w:ilvl w:val="0"/>
                      <w:numId w:val="0"/>
                    </w:numPr>
                    <w:spacing w:line="240" w:lineRule="auto"/>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序号</w:t>
                  </w:r>
                </w:p>
              </w:tc>
              <w:tc>
                <w:tcPr>
                  <w:tcW w:w="1486" w:type="dxa"/>
                  <w:noWrap w:val="0"/>
                  <w:vAlign w:val="center"/>
                </w:tcPr>
                <w:p w14:paraId="4B2D198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bCs/>
                      <w:color w:val="auto"/>
                      <w:spacing w:val="0"/>
                      <w:kern w:val="2"/>
                      <w:sz w:val="21"/>
                      <w:szCs w:val="21"/>
                      <w:highlight w:val="none"/>
                      <w:vertAlign w:val="baseline"/>
                      <w:lang w:val="en-US" w:eastAsia="zh-CN" w:bidi="ar-SA"/>
                    </w:rPr>
                  </w:pPr>
                  <w:r>
                    <w:rPr>
                      <w:rFonts w:hint="eastAsia" w:ascii="宋体" w:hAnsi="宋体" w:eastAsia="宋体" w:cs="宋体"/>
                      <w:bCs/>
                      <w:color w:val="auto"/>
                      <w:spacing w:val="0"/>
                      <w:kern w:val="2"/>
                      <w:sz w:val="21"/>
                      <w:szCs w:val="21"/>
                      <w:highlight w:val="none"/>
                      <w:vertAlign w:val="baseline"/>
                      <w:lang w:val="en-US" w:eastAsia="zh-CN" w:bidi="ar-SA"/>
                    </w:rPr>
                    <w:t>名称</w:t>
                  </w:r>
                </w:p>
              </w:tc>
              <w:tc>
                <w:tcPr>
                  <w:tcW w:w="810" w:type="dxa"/>
                  <w:noWrap w:val="0"/>
                  <w:vAlign w:val="center"/>
                </w:tcPr>
                <w:p w14:paraId="2A386070">
                  <w:pPr>
                    <w:pStyle w:val="93"/>
                    <w:keepNext w:val="0"/>
                    <w:keepLines w:val="0"/>
                    <w:pageBreakBefore w:val="0"/>
                    <w:numPr>
                      <w:ilvl w:val="0"/>
                      <w:numId w:val="0"/>
                    </w:numPr>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kern w:val="2"/>
                      <w:sz w:val="21"/>
                      <w:szCs w:val="21"/>
                      <w:highlight w:val="none"/>
                      <w:vertAlign w:val="baseline"/>
                      <w:lang w:val="en-US" w:eastAsia="zh-CN" w:bidi="ar-SA"/>
                    </w:rPr>
                  </w:pPr>
                  <w:r>
                    <w:rPr>
                      <w:rFonts w:hint="eastAsia" w:ascii="宋体" w:hAnsi="宋体" w:eastAsia="宋体" w:cs="宋体"/>
                      <w:bCs/>
                      <w:color w:val="auto"/>
                      <w:spacing w:val="0"/>
                      <w:kern w:val="2"/>
                      <w:sz w:val="21"/>
                      <w:szCs w:val="21"/>
                      <w:highlight w:val="none"/>
                      <w:vertAlign w:val="baseline"/>
                      <w:lang w:val="en-US" w:eastAsia="zh-CN" w:bidi="ar-SA"/>
                    </w:rPr>
                    <w:t>性状</w:t>
                  </w:r>
                </w:p>
              </w:tc>
              <w:tc>
                <w:tcPr>
                  <w:tcW w:w="1287" w:type="dxa"/>
                  <w:noWrap w:val="0"/>
                  <w:vAlign w:val="center"/>
                </w:tcPr>
                <w:p w14:paraId="0D7BDC5F">
                  <w:pPr>
                    <w:pStyle w:val="93"/>
                    <w:keepNext w:val="0"/>
                    <w:keepLines w:val="0"/>
                    <w:pageBreakBefore w:val="0"/>
                    <w:numPr>
                      <w:ilvl w:val="0"/>
                      <w:numId w:val="0"/>
                    </w:numPr>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bCs/>
                      <w:color w:val="auto"/>
                      <w:spacing w:val="0"/>
                      <w:kern w:val="2"/>
                      <w:sz w:val="21"/>
                      <w:szCs w:val="21"/>
                      <w:highlight w:val="none"/>
                      <w:vertAlign w:val="baseline"/>
                      <w:lang w:val="en-US" w:eastAsia="zh-CN" w:bidi="ar-SA"/>
                    </w:rPr>
                  </w:pPr>
                  <w:r>
                    <w:rPr>
                      <w:rFonts w:hint="eastAsia" w:cs="宋体"/>
                      <w:bCs/>
                      <w:color w:val="auto"/>
                      <w:spacing w:val="0"/>
                      <w:kern w:val="2"/>
                      <w:sz w:val="21"/>
                      <w:szCs w:val="21"/>
                      <w:highlight w:val="none"/>
                      <w:vertAlign w:val="baseline"/>
                      <w:lang w:val="en-US" w:eastAsia="zh-CN" w:bidi="ar-SA"/>
                    </w:rPr>
                    <w:t>在建工程消耗量</w:t>
                  </w:r>
                </w:p>
              </w:tc>
              <w:tc>
                <w:tcPr>
                  <w:tcW w:w="1417" w:type="dxa"/>
                  <w:noWrap w:val="0"/>
                  <w:vAlign w:val="center"/>
                </w:tcPr>
                <w:p w14:paraId="4DDC4A80">
                  <w:pPr>
                    <w:pStyle w:val="93"/>
                    <w:keepNext w:val="0"/>
                    <w:keepLines w:val="0"/>
                    <w:pageBreakBefore w:val="0"/>
                    <w:numPr>
                      <w:ilvl w:val="0"/>
                      <w:numId w:val="0"/>
                    </w:numPr>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kern w:val="2"/>
                      <w:sz w:val="21"/>
                      <w:szCs w:val="21"/>
                      <w:highlight w:val="none"/>
                      <w:vertAlign w:val="baseline"/>
                      <w:lang w:val="en-US" w:eastAsia="zh-CN" w:bidi="ar-SA"/>
                    </w:rPr>
                  </w:pPr>
                  <w:r>
                    <w:rPr>
                      <w:rFonts w:hint="eastAsia" w:cs="宋体"/>
                      <w:bCs/>
                      <w:color w:val="auto"/>
                      <w:spacing w:val="0"/>
                      <w:kern w:val="2"/>
                      <w:sz w:val="21"/>
                      <w:szCs w:val="21"/>
                      <w:highlight w:val="none"/>
                      <w:vertAlign w:val="baseline"/>
                      <w:lang w:val="en-US" w:eastAsia="zh-CN" w:bidi="ar-SA"/>
                    </w:rPr>
                    <w:t>本工程</w:t>
                  </w:r>
                  <w:r>
                    <w:rPr>
                      <w:rFonts w:hint="eastAsia" w:ascii="宋体" w:hAnsi="宋体" w:eastAsia="宋体" w:cs="宋体"/>
                      <w:bCs/>
                      <w:color w:val="auto"/>
                      <w:spacing w:val="0"/>
                      <w:kern w:val="2"/>
                      <w:sz w:val="21"/>
                      <w:szCs w:val="21"/>
                      <w:highlight w:val="none"/>
                      <w:vertAlign w:val="baseline"/>
                      <w:lang w:val="en-US" w:eastAsia="zh-CN" w:bidi="ar-SA"/>
                    </w:rPr>
                    <w:t>消耗量</w:t>
                  </w:r>
                </w:p>
              </w:tc>
              <w:tc>
                <w:tcPr>
                  <w:tcW w:w="1433" w:type="dxa"/>
                  <w:noWrap w:val="0"/>
                  <w:vAlign w:val="center"/>
                </w:tcPr>
                <w:p w14:paraId="0D220171">
                  <w:pPr>
                    <w:pStyle w:val="93"/>
                    <w:numPr>
                      <w:ilvl w:val="0"/>
                      <w:numId w:val="0"/>
                    </w:numPr>
                    <w:spacing w:line="240" w:lineRule="auto"/>
                    <w:jc w:val="center"/>
                    <w:rPr>
                      <w:rFonts w:hint="default" w:ascii="宋体" w:hAnsi="宋体" w:eastAsia="宋体"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建成后全厂消耗量</w:t>
                  </w:r>
                </w:p>
              </w:tc>
              <w:tc>
                <w:tcPr>
                  <w:tcW w:w="697" w:type="dxa"/>
                  <w:noWrap w:val="0"/>
                  <w:vAlign w:val="center"/>
                </w:tcPr>
                <w:p w14:paraId="40E1F1B3">
                  <w:pPr>
                    <w:pStyle w:val="93"/>
                    <w:numPr>
                      <w:ilvl w:val="0"/>
                      <w:numId w:val="0"/>
                    </w:numPr>
                    <w:spacing w:line="240" w:lineRule="auto"/>
                    <w:ind w:left="0" w:lef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来源</w:t>
                  </w:r>
                </w:p>
              </w:tc>
            </w:tr>
            <w:tr w14:paraId="0D6BBA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noWrap w:val="0"/>
                  <w:vAlign w:val="center"/>
                </w:tcPr>
                <w:p w14:paraId="33EFF7A2">
                  <w:pPr>
                    <w:pStyle w:val="93"/>
                    <w:numPr>
                      <w:ilvl w:val="0"/>
                      <w:numId w:val="0"/>
                    </w:numPr>
                    <w:spacing w:line="240" w:lineRule="auto"/>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1</w:t>
                  </w:r>
                </w:p>
              </w:tc>
              <w:tc>
                <w:tcPr>
                  <w:tcW w:w="1486" w:type="dxa"/>
                  <w:noWrap w:val="0"/>
                  <w:vAlign w:val="center"/>
                </w:tcPr>
                <w:p w14:paraId="1DC16DFC">
                  <w:pPr>
                    <w:pStyle w:val="93"/>
                    <w:numPr>
                      <w:ilvl w:val="0"/>
                      <w:numId w:val="0"/>
                    </w:numPr>
                    <w:spacing w:line="240" w:lineRule="auto"/>
                    <w:ind w:left="0" w:leftChars="0" w:firstLine="0" w:firstLineChars="0"/>
                    <w:jc w:val="center"/>
                    <w:rPr>
                      <w:rFonts w:hint="default" w:ascii="宋体" w:hAnsi="宋体" w:eastAsia="宋体" w:cs="宋体"/>
                      <w:bCs/>
                      <w:color w:val="auto"/>
                      <w:spacing w:val="0"/>
                      <w:kern w:val="2"/>
                      <w:sz w:val="21"/>
                      <w:szCs w:val="21"/>
                      <w:highlight w:val="none"/>
                      <w:vertAlign w:val="baseline"/>
                      <w:lang w:val="en-US" w:eastAsia="zh-CN" w:bidi="ar-SA"/>
                    </w:rPr>
                  </w:pPr>
                  <w:r>
                    <w:rPr>
                      <w:rFonts w:hint="eastAsia" w:cs="宋体"/>
                      <w:bCs/>
                      <w:color w:val="auto"/>
                      <w:spacing w:val="0"/>
                      <w:kern w:val="2"/>
                      <w:sz w:val="21"/>
                      <w:szCs w:val="21"/>
                      <w:highlight w:val="none"/>
                      <w:vertAlign w:val="baseline"/>
                      <w:lang w:val="en-US" w:eastAsia="zh-CN" w:bidi="ar-SA"/>
                    </w:rPr>
                    <w:t>生物质燃料</w:t>
                  </w:r>
                </w:p>
              </w:tc>
              <w:tc>
                <w:tcPr>
                  <w:tcW w:w="810" w:type="dxa"/>
                  <w:noWrap w:val="0"/>
                  <w:vAlign w:val="center"/>
                </w:tcPr>
                <w:p w14:paraId="4EC824E2">
                  <w:pPr>
                    <w:pStyle w:val="93"/>
                    <w:numPr>
                      <w:ilvl w:val="0"/>
                      <w:numId w:val="0"/>
                    </w:numPr>
                    <w:spacing w:line="240" w:lineRule="auto"/>
                    <w:ind w:left="0" w:leftChars="0" w:firstLine="0" w:firstLineChars="0"/>
                    <w:jc w:val="center"/>
                    <w:rPr>
                      <w:rFonts w:hint="default" w:ascii="宋体" w:hAnsi="宋体" w:eastAsia="宋体" w:cs="宋体"/>
                      <w:bCs/>
                      <w:color w:val="auto"/>
                      <w:spacing w:val="0"/>
                      <w:kern w:val="2"/>
                      <w:sz w:val="21"/>
                      <w:szCs w:val="21"/>
                      <w:highlight w:val="none"/>
                      <w:vertAlign w:val="baseline"/>
                      <w:lang w:val="en-US" w:eastAsia="zh-CN" w:bidi="ar-SA"/>
                    </w:rPr>
                  </w:pPr>
                  <w:r>
                    <w:rPr>
                      <w:rFonts w:hint="eastAsia" w:cs="宋体"/>
                      <w:bCs/>
                      <w:color w:val="auto"/>
                      <w:spacing w:val="0"/>
                      <w:kern w:val="2"/>
                      <w:sz w:val="21"/>
                      <w:szCs w:val="21"/>
                      <w:highlight w:val="none"/>
                      <w:vertAlign w:val="baseline"/>
                      <w:lang w:val="en-US" w:eastAsia="zh-CN" w:bidi="ar-SA"/>
                    </w:rPr>
                    <w:t>固态</w:t>
                  </w:r>
                </w:p>
              </w:tc>
              <w:tc>
                <w:tcPr>
                  <w:tcW w:w="1287" w:type="dxa"/>
                  <w:noWrap w:val="0"/>
                  <w:vAlign w:val="center"/>
                </w:tcPr>
                <w:p w14:paraId="344FC819">
                  <w:pPr>
                    <w:pStyle w:val="93"/>
                    <w:numPr>
                      <w:ilvl w:val="0"/>
                      <w:numId w:val="0"/>
                    </w:numPr>
                    <w:spacing w:line="240" w:lineRule="auto"/>
                    <w:ind w:left="0" w:leftChars="0" w:firstLine="0" w:firstLineChars="0"/>
                    <w:jc w:val="center"/>
                    <w:rPr>
                      <w:rFonts w:hint="default" w:cs="宋体"/>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7128</w:t>
                  </w:r>
                  <w:r>
                    <w:rPr>
                      <w:rFonts w:hint="eastAsia" w:cs="宋体"/>
                      <w:bCs/>
                      <w:color w:val="auto"/>
                      <w:spacing w:val="0"/>
                      <w:kern w:val="2"/>
                      <w:sz w:val="21"/>
                      <w:szCs w:val="21"/>
                      <w:highlight w:val="none"/>
                      <w:vertAlign w:val="baseline"/>
                      <w:lang w:val="en-US" w:eastAsia="zh-CN" w:bidi="ar-SA"/>
                    </w:rPr>
                    <w:t>吨/年</w:t>
                  </w:r>
                </w:p>
              </w:tc>
              <w:tc>
                <w:tcPr>
                  <w:tcW w:w="1417" w:type="dxa"/>
                  <w:noWrap w:val="0"/>
                  <w:vAlign w:val="center"/>
                </w:tcPr>
                <w:p w14:paraId="6D9E7D1F">
                  <w:pPr>
                    <w:pStyle w:val="93"/>
                    <w:numPr>
                      <w:ilvl w:val="0"/>
                      <w:numId w:val="0"/>
                    </w:numPr>
                    <w:spacing w:line="240" w:lineRule="auto"/>
                    <w:ind w:left="0" w:leftChars="0" w:firstLine="0" w:firstLineChars="0"/>
                    <w:jc w:val="center"/>
                    <w:rPr>
                      <w:rFonts w:hint="eastAsia" w:ascii="宋体" w:hAnsi="宋体" w:eastAsia="宋体" w:cs="宋体"/>
                      <w:bCs/>
                      <w:color w:val="auto"/>
                      <w:spacing w:val="0"/>
                      <w:kern w:val="2"/>
                      <w:sz w:val="21"/>
                      <w:szCs w:val="21"/>
                      <w:highlight w:val="none"/>
                      <w:vertAlign w:val="baseline"/>
                      <w:lang w:val="en-US" w:eastAsia="zh-CN" w:bidi="ar-SA"/>
                    </w:rPr>
                  </w:pPr>
                  <w:r>
                    <w:rPr>
                      <w:rFonts w:hint="eastAsia" w:ascii="Times New Roman" w:hAnsi="Times New Roman" w:cs="Times New Roman"/>
                      <w:bCs/>
                      <w:color w:val="auto"/>
                      <w:spacing w:val="0"/>
                      <w:kern w:val="2"/>
                      <w:sz w:val="21"/>
                      <w:szCs w:val="21"/>
                      <w:highlight w:val="none"/>
                      <w:vertAlign w:val="baseline"/>
                      <w:lang w:val="en-US" w:eastAsia="zh-CN" w:bidi="ar-SA"/>
                    </w:rPr>
                    <w:t>3113.568</w:t>
                  </w:r>
                  <w:r>
                    <w:rPr>
                      <w:rFonts w:hint="eastAsia" w:cs="宋体"/>
                      <w:bCs/>
                      <w:color w:val="auto"/>
                      <w:spacing w:val="0"/>
                      <w:kern w:val="2"/>
                      <w:sz w:val="21"/>
                      <w:szCs w:val="21"/>
                      <w:highlight w:val="none"/>
                      <w:vertAlign w:val="baseline"/>
                      <w:lang w:val="en-US" w:eastAsia="zh-CN" w:bidi="ar-SA"/>
                    </w:rPr>
                    <w:t>吨/年</w:t>
                  </w:r>
                </w:p>
              </w:tc>
              <w:tc>
                <w:tcPr>
                  <w:tcW w:w="1433" w:type="dxa"/>
                  <w:noWrap w:val="0"/>
                  <w:vAlign w:val="center"/>
                </w:tcPr>
                <w:p w14:paraId="7D0FD4F9">
                  <w:pPr>
                    <w:pStyle w:val="93"/>
                    <w:numPr>
                      <w:ilvl w:val="0"/>
                      <w:numId w:val="0"/>
                    </w:numPr>
                    <w:spacing w:line="240" w:lineRule="auto"/>
                    <w:ind w:left="0" w:leftChars="0" w:firstLine="0" w:firstLineChars="0"/>
                    <w:jc w:val="center"/>
                    <w:rPr>
                      <w:rFonts w:hint="default" w:ascii="宋体" w:hAnsi="宋体" w:eastAsia="宋体" w:cs="宋体"/>
                      <w:bCs/>
                      <w:color w:val="auto"/>
                      <w:spacing w:val="0"/>
                      <w:kern w:val="2"/>
                      <w:sz w:val="21"/>
                      <w:szCs w:val="21"/>
                      <w:highlight w:val="none"/>
                      <w:vertAlign w:val="baseline"/>
                      <w:lang w:val="en-US" w:eastAsia="zh-CN" w:bidi="ar-SA"/>
                    </w:rPr>
                  </w:pPr>
                  <w:r>
                    <w:rPr>
                      <w:rFonts w:hint="eastAsia" w:ascii="Times New Roman" w:hAnsi="Times New Roman" w:cs="Times New Roman"/>
                      <w:bCs/>
                      <w:color w:val="auto"/>
                      <w:spacing w:val="0"/>
                      <w:kern w:val="2"/>
                      <w:sz w:val="21"/>
                      <w:szCs w:val="21"/>
                      <w:highlight w:val="none"/>
                      <w:vertAlign w:val="baseline"/>
                      <w:lang w:val="en-US" w:eastAsia="zh-CN" w:bidi="ar-SA"/>
                    </w:rPr>
                    <w:t>10241.568</w:t>
                  </w:r>
                  <w:r>
                    <w:rPr>
                      <w:rFonts w:hint="eastAsia" w:cs="宋体"/>
                      <w:bCs/>
                      <w:color w:val="auto"/>
                      <w:spacing w:val="0"/>
                      <w:kern w:val="2"/>
                      <w:sz w:val="21"/>
                      <w:szCs w:val="21"/>
                      <w:highlight w:val="none"/>
                      <w:vertAlign w:val="baseline"/>
                      <w:lang w:val="en-US" w:eastAsia="zh-CN" w:bidi="ar-SA"/>
                    </w:rPr>
                    <w:t>吨年</w:t>
                  </w:r>
                </w:p>
              </w:tc>
              <w:tc>
                <w:tcPr>
                  <w:tcW w:w="697" w:type="dxa"/>
                  <w:noWrap w:val="0"/>
                  <w:vAlign w:val="center"/>
                </w:tcPr>
                <w:p w14:paraId="7310A226">
                  <w:pPr>
                    <w:pStyle w:val="93"/>
                    <w:numPr>
                      <w:ilvl w:val="0"/>
                      <w:numId w:val="0"/>
                    </w:numPr>
                    <w:spacing w:line="240" w:lineRule="auto"/>
                    <w:ind w:left="0" w:leftChars="0" w:firstLine="0" w:firstLineChars="0"/>
                    <w:jc w:val="center"/>
                    <w:rPr>
                      <w:rFonts w:hint="eastAsia" w:ascii="宋体" w:hAnsi="宋体" w:eastAsia="宋体" w:cs="宋体"/>
                      <w:bCs/>
                      <w:color w:val="auto"/>
                      <w:spacing w:val="0"/>
                      <w:kern w:val="2"/>
                      <w:sz w:val="21"/>
                      <w:szCs w:val="21"/>
                      <w:highlight w:val="none"/>
                      <w:vertAlign w:val="baseline"/>
                      <w:lang w:val="en-US" w:eastAsia="zh-CN" w:bidi="ar-SA"/>
                    </w:rPr>
                  </w:pPr>
                  <w:r>
                    <w:rPr>
                      <w:rFonts w:hint="eastAsia" w:ascii="宋体" w:hAnsi="宋体" w:eastAsia="宋体" w:cs="宋体"/>
                      <w:bCs/>
                      <w:color w:val="auto"/>
                      <w:spacing w:val="0"/>
                      <w:kern w:val="2"/>
                      <w:sz w:val="21"/>
                      <w:szCs w:val="21"/>
                      <w:highlight w:val="none"/>
                      <w:vertAlign w:val="baseline"/>
                      <w:lang w:val="en-US" w:eastAsia="zh-CN" w:bidi="ar-SA"/>
                    </w:rPr>
                    <w:t>外购</w:t>
                  </w:r>
                </w:p>
              </w:tc>
            </w:tr>
            <w:tr w14:paraId="2919D6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noWrap w:val="0"/>
                  <w:vAlign w:val="center"/>
                </w:tcPr>
                <w:p w14:paraId="537ED3CF">
                  <w:pPr>
                    <w:pStyle w:val="93"/>
                    <w:numPr>
                      <w:ilvl w:val="0"/>
                      <w:numId w:val="0"/>
                    </w:numPr>
                    <w:spacing w:line="240" w:lineRule="auto"/>
                    <w:jc w:val="center"/>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cs="Times New Roman"/>
                      <w:color w:val="auto"/>
                      <w:spacing w:val="0"/>
                      <w:sz w:val="21"/>
                      <w:szCs w:val="21"/>
                      <w:highlight w:val="none"/>
                      <w:vertAlign w:val="baseline"/>
                      <w:lang w:val="en-US" w:eastAsia="zh-CN"/>
                    </w:rPr>
                    <w:t>2</w:t>
                  </w:r>
                </w:p>
              </w:tc>
              <w:tc>
                <w:tcPr>
                  <w:tcW w:w="1486" w:type="dxa"/>
                  <w:noWrap w:val="0"/>
                  <w:vAlign w:val="center"/>
                </w:tcPr>
                <w:p w14:paraId="0545924A">
                  <w:pPr>
                    <w:pStyle w:val="93"/>
                    <w:numPr>
                      <w:ilvl w:val="0"/>
                      <w:numId w:val="0"/>
                    </w:numPr>
                    <w:spacing w:line="240" w:lineRule="auto"/>
                    <w:ind w:left="0" w:leftChars="0" w:firstLine="0" w:firstLineChars="0"/>
                    <w:jc w:val="center"/>
                    <w:rPr>
                      <w:rFonts w:hint="eastAsia" w:ascii="宋体" w:hAnsi="宋体" w:eastAsia="宋体" w:cs="宋体"/>
                      <w:bCs/>
                      <w:color w:val="auto"/>
                      <w:spacing w:val="0"/>
                      <w:kern w:val="2"/>
                      <w:sz w:val="21"/>
                      <w:szCs w:val="21"/>
                      <w:highlight w:val="none"/>
                      <w:vertAlign w:val="baseline"/>
                      <w:lang w:val="en-US" w:eastAsia="zh-CN" w:bidi="ar-SA"/>
                    </w:rPr>
                  </w:pPr>
                  <w:r>
                    <w:rPr>
                      <w:rFonts w:hint="eastAsia" w:ascii="宋体" w:hAnsi="宋体" w:eastAsia="宋体" w:cs="宋体"/>
                      <w:bCs/>
                      <w:color w:val="auto"/>
                      <w:spacing w:val="0"/>
                      <w:kern w:val="2"/>
                      <w:sz w:val="21"/>
                      <w:szCs w:val="21"/>
                      <w:highlight w:val="none"/>
                      <w:vertAlign w:val="baseline"/>
                      <w:lang w:val="en-US" w:eastAsia="zh-CN" w:bidi="ar-SA"/>
                    </w:rPr>
                    <w:t>离子交换树脂</w:t>
                  </w:r>
                </w:p>
              </w:tc>
              <w:tc>
                <w:tcPr>
                  <w:tcW w:w="810" w:type="dxa"/>
                  <w:noWrap w:val="0"/>
                  <w:vAlign w:val="center"/>
                </w:tcPr>
                <w:p w14:paraId="3BA80C90">
                  <w:pPr>
                    <w:pStyle w:val="93"/>
                    <w:numPr>
                      <w:ilvl w:val="0"/>
                      <w:numId w:val="0"/>
                    </w:numPr>
                    <w:spacing w:line="240" w:lineRule="auto"/>
                    <w:ind w:left="0" w:leftChars="0" w:firstLine="0" w:firstLineChars="0"/>
                    <w:jc w:val="center"/>
                    <w:rPr>
                      <w:rFonts w:hint="eastAsia" w:ascii="宋体" w:hAnsi="宋体" w:eastAsia="宋体" w:cs="宋体"/>
                      <w:bCs/>
                      <w:color w:val="auto"/>
                      <w:spacing w:val="0"/>
                      <w:kern w:val="2"/>
                      <w:sz w:val="21"/>
                      <w:szCs w:val="21"/>
                      <w:highlight w:val="none"/>
                      <w:vertAlign w:val="baseline"/>
                      <w:lang w:val="en-US" w:eastAsia="zh-CN" w:bidi="ar-SA"/>
                    </w:rPr>
                  </w:pPr>
                  <w:r>
                    <w:rPr>
                      <w:rFonts w:hint="eastAsia" w:cs="宋体"/>
                      <w:bCs/>
                      <w:color w:val="auto"/>
                      <w:spacing w:val="0"/>
                      <w:kern w:val="2"/>
                      <w:sz w:val="21"/>
                      <w:szCs w:val="21"/>
                      <w:highlight w:val="none"/>
                      <w:vertAlign w:val="baseline"/>
                      <w:lang w:val="en-US" w:eastAsia="zh-CN" w:bidi="ar-SA"/>
                    </w:rPr>
                    <w:t>固态</w:t>
                  </w:r>
                </w:p>
              </w:tc>
              <w:tc>
                <w:tcPr>
                  <w:tcW w:w="1287" w:type="dxa"/>
                  <w:noWrap w:val="0"/>
                  <w:vAlign w:val="center"/>
                </w:tcPr>
                <w:p w14:paraId="06F1665B">
                  <w:pPr>
                    <w:pStyle w:val="93"/>
                    <w:numPr>
                      <w:ilvl w:val="0"/>
                      <w:numId w:val="0"/>
                    </w:numPr>
                    <w:spacing w:line="240" w:lineRule="auto"/>
                    <w:ind w:left="0" w:leftChars="0" w:firstLine="0" w:firstLineChars="0"/>
                    <w:jc w:val="center"/>
                    <w:rPr>
                      <w:rFonts w:hint="default" w:cs="宋体"/>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0</w:t>
                  </w:r>
                </w:p>
              </w:tc>
              <w:tc>
                <w:tcPr>
                  <w:tcW w:w="1417" w:type="dxa"/>
                  <w:noWrap w:val="0"/>
                  <w:vAlign w:val="center"/>
                </w:tcPr>
                <w:p w14:paraId="37A2FC77">
                  <w:pPr>
                    <w:pStyle w:val="93"/>
                    <w:numPr>
                      <w:ilvl w:val="0"/>
                      <w:numId w:val="0"/>
                    </w:numPr>
                    <w:spacing w:line="240" w:lineRule="auto"/>
                    <w:ind w:left="0" w:leftChars="0" w:firstLine="0" w:firstLineChars="0"/>
                    <w:jc w:val="center"/>
                    <w:rPr>
                      <w:rFonts w:hint="default" w:ascii="宋体" w:hAnsi="宋体" w:eastAsia="宋体" w:cs="宋体"/>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0</w:t>
                  </w:r>
                  <w:r>
                    <w:rPr>
                      <w:rFonts w:hint="eastAsia" w:cs="宋体"/>
                      <w:bCs/>
                      <w:color w:val="auto"/>
                      <w:spacing w:val="0"/>
                      <w:kern w:val="2"/>
                      <w:sz w:val="21"/>
                      <w:szCs w:val="21"/>
                      <w:highlight w:val="none"/>
                      <w:vertAlign w:val="baseline"/>
                      <w:lang w:val="en-US" w:eastAsia="zh-CN" w:bidi="ar-SA"/>
                    </w:rPr>
                    <w:t>.</w:t>
                  </w:r>
                  <w:r>
                    <w:rPr>
                      <w:rFonts w:hint="default" w:ascii="Times New Roman" w:hAnsi="Times New Roman" w:cs="Times New Roman"/>
                      <w:bCs/>
                      <w:color w:val="auto"/>
                      <w:spacing w:val="0"/>
                      <w:kern w:val="2"/>
                      <w:sz w:val="21"/>
                      <w:szCs w:val="21"/>
                      <w:highlight w:val="none"/>
                      <w:vertAlign w:val="baseline"/>
                      <w:lang w:val="en-US" w:eastAsia="zh-CN" w:bidi="ar-SA"/>
                    </w:rPr>
                    <w:t>5</w:t>
                  </w:r>
                  <w:r>
                    <w:rPr>
                      <w:rFonts w:hint="eastAsia" w:cs="宋体"/>
                      <w:bCs/>
                      <w:color w:val="auto"/>
                      <w:spacing w:val="0"/>
                      <w:kern w:val="2"/>
                      <w:sz w:val="21"/>
                      <w:szCs w:val="21"/>
                      <w:highlight w:val="none"/>
                      <w:vertAlign w:val="baseline"/>
                      <w:lang w:val="en-US" w:eastAsia="zh-CN" w:bidi="ar-SA"/>
                    </w:rPr>
                    <w:t>吨/年</w:t>
                  </w:r>
                </w:p>
              </w:tc>
              <w:tc>
                <w:tcPr>
                  <w:tcW w:w="1433" w:type="dxa"/>
                  <w:noWrap w:val="0"/>
                  <w:vAlign w:val="center"/>
                </w:tcPr>
                <w:p w14:paraId="426A8F7C">
                  <w:pPr>
                    <w:pStyle w:val="93"/>
                    <w:numPr>
                      <w:ilvl w:val="0"/>
                      <w:numId w:val="0"/>
                    </w:numPr>
                    <w:spacing w:line="240" w:lineRule="auto"/>
                    <w:ind w:left="0" w:leftChars="0" w:firstLine="0" w:firstLineChars="0"/>
                    <w:jc w:val="center"/>
                    <w:rPr>
                      <w:rFonts w:hint="default" w:ascii="宋体" w:hAnsi="宋体" w:eastAsia="宋体" w:cs="宋体"/>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0</w:t>
                  </w:r>
                  <w:r>
                    <w:rPr>
                      <w:rFonts w:hint="eastAsia" w:cs="宋体"/>
                      <w:bCs/>
                      <w:color w:val="auto"/>
                      <w:spacing w:val="0"/>
                      <w:kern w:val="2"/>
                      <w:sz w:val="21"/>
                      <w:szCs w:val="21"/>
                      <w:highlight w:val="none"/>
                      <w:vertAlign w:val="baseline"/>
                      <w:lang w:val="en-US" w:eastAsia="zh-CN" w:bidi="ar-SA"/>
                    </w:rPr>
                    <w:t>.</w:t>
                  </w:r>
                  <w:r>
                    <w:rPr>
                      <w:rFonts w:hint="default" w:ascii="Times New Roman" w:hAnsi="Times New Roman" w:cs="Times New Roman"/>
                      <w:bCs/>
                      <w:color w:val="auto"/>
                      <w:spacing w:val="0"/>
                      <w:kern w:val="2"/>
                      <w:sz w:val="21"/>
                      <w:szCs w:val="21"/>
                      <w:highlight w:val="none"/>
                      <w:vertAlign w:val="baseline"/>
                      <w:lang w:val="en-US" w:eastAsia="zh-CN" w:bidi="ar-SA"/>
                    </w:rPr>
                    <w:t>5</w:t>
                  </w:r>
                  <w:r>
                    <w:rPr>
                      <w:rFonts w:hint="eastAsia" w:cs="宋体"/>
                      <w:bCs/>
                      <w:color w:val="auto"/>
                      <w:spacing w:val="0"/>
                      <w:kern w:val="2"/>
                      <w:sz w:val="21"/>
                      <w:szCs w:val="21"/>
                      <w:highlight w:val="none"/>
                      <w:vertAlign w:val="baseline"/>
                      <w:lang w:val="en-US" w:eastAsia="zh-CN" w:bidi="ar-SA"/>
                    </w:rPr>
                    <w:t>吨/年</w:t>
                  </w:r>
                </w:p>
              </w:tc>
              <w:tc>
                <w:tcPr>
                  <w:tcW w:w="697" w:type="dxa"/>
                  <w:noWrap w:val="0"/>
                  <w:vAlign w:val="center"/>
                </w:tcPr>
                <w:p w14:paraId="4A425355">
                  <w:pPr>
                    <w:pStyle w:val="93"/>
                    <w:numPr>
                      <w:ilvl w:val="0"/>
                      <w:numId w:val="0"/>
                    </w:numPr>
                    <w:spacing w:line="240" w:lineRule="auto"/>
                    <w:ind w:left="0" w:leftChars="0" w:firstLine="0" w:firstLineChars="0"/>
                    <w:jc w:val="center"/>
                    <w:rPr>
                      <w:rFonts w:hint="eastAsia" w:ascii="宋体" w:hAnsi="宋体" w:eastAsia="宋体" w:cs="宋体"/>
                      <w:bCs/>
                      <w:color w:val="auto"/>
                      <w:spacing w:val="0"/>
                      <w:kern w:val="2"/>
                      <w:sz w:val="21"/>
                      <w:szCs w:val="21"/>
                      <w:highlight w:val="none"/>
                      <w:vertAlign w:val="baseline"/>
                      <w:lang w:val="en-US" w:eastAsia="zh-CN" w:bidi="ar-SA"/>
                    </w:rPr>
                  </w:pPr>
                  <w:r>
                    <w:rPr>
                      <w:rFonts w:hint="eastAsia" w:ascii="宋体" w:hAnsi="宋体" w:eastAsia="宋体" w:cs="宋体"/>
                      <w:bCs/>
                      <w:color w:val="auto"/>
                      <w:spacing w:val="0"/>
                      <w:kern w:val="2"/>
                      <w:sz w:val="21"/>
                      <w:szCs w:val="21"/>
                      <w:highlight w:val="none"/>
                      <w:vertAlign w:val="baseline"/>
                      <w:lang w:val="en-US" w:eastAsia="zh-CN" w:bidi="ar-SA"/>
                    </w:rPr>
                    <w:t>外购</w:t>
                  </w:r>
                </w:p>
              </w:tc>
            </w:tr>
            <w:tr w14:paraId="5839F7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noWrap w:val="0"/>
                  <w:vAlign w:val="center"/>
                </w:tcPr>
                <w:p w14:paraId="70BFD6FF">
                  <w:pPr>
                    <w:pStyle w:val="93"/>
                    <w:numPr>
                      <w:ilvl w:val="0"/>
                      <w:numId w:val="0"/>
                    </w:numPr>
                    <w:spacing w:line="240" w:lineRule="auto"/>
                    <w:jc w:val="center"/>
                    <w:rPr>
                      <w:rFonts w:hint="default"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3</w:t>
                  </w:r>
                </w:p>
              </w:tc>
              <w:tc>
                <w:tcPr>
                  <w:tcW w:w="1486" w:type="dxa"/>
                  <w:noWrap w:val="0"/>
                  <w:vAlign w:val="center"/>
                </w:tcPr>
                <w:p w14:paraId="71DC5434">
                  <w:pPr>
                    <w:pStyle w:val="93"/>
                    <w:numPr>
                      <w:ilvl w:val="0"/>
                      <w:numId w:val="0"/>
                    </w:numPr>
                    <w:spacing w:line="240" w:lineRule="auto"/>
                    <w:ind w:left="0" w:leftChars="0" w:firstLine="0" w:firstLineChars="0"/>
                    <w:jc w:val="center"/>
                    <w:rPr>
                      <w:rFonts w:hint="default" w:ascii="宋体" w:hAnsi="宋体" w:eastAsia="宋体" w:cs="宋体"/>
                      <w:bCs/>
                      <w:color w:val="auto"/>
                      <w:spacing w:val="0"/>
                      <w:kern w:val="2"/>
                      <w:sz w:val="21"/>
                      <w:szCs w:val="21"/>
                      <w:highlight w:val="none"/>
                      <w:vertAlign w:val="baseline"/>
                      <w:lang w:val="en-US" w:eastAsia="zh-CN" w:bidi="ar-SA"/>
                    </w:rPr>
                  </w:pPr>
                  <w:r>
                    <w:rPr>
                      <w:rFonts w:hint="eastAsia" w:cs="宋体"/>
                      <w:bCs/>
                      <w:color w:val="auto"/>
                      <w:spacing w:val="0"/>
                      <w:kern w:val="2"/>
                      <w:sz w:val="21"/>
                      <w:szCs w:val="21"/>
                      <w:highlight w:val="none"/>
                      <w:vertAlign w:val="baseline"/>
                      <w:lang w:val="en-US" w:eastAsia="zh-CN" w:bidi="ar-SA"/>
                    </w:rPr>
                    <w:t>新鲜水</w:t>
                  </w:r>
                </w:p>
              </w:tc>
              <w:tc>
                <w:tcPr>
                  <w:tcW w:w="810" w:type="dxa"/>
                  <w:noWrap w:val="0"/>
                  <w:vAlign w:val="center"/>
                </w:tcPr>
                <w:p w14:paraId="307BFA59">
                  <w:pPr>
                    <w:pStyle w:val="93"/>
                    <w:numPr>
                      <w:ilvl w:val="0"/>
                      <w:numId w:val="0"/>
                    </w:numPr>
                    <w:spacing w:line="240" w:lineRule="auto"/>
                    <w:ind w:left="0" w:leftChars="0" w:firstLine="0" w:firstLineChars="0"/>
                    <w:jc w:val="center"/>
                    <w:rPr>
                      <w:rFonts w:hint="default" w:cs="宋体"/>
                      <w:bCs/>
                      <w:color w:val="auto"/>
                      <w:spacing w:val="0"/>
                      <w:kern w:val="2"/>
                      <w:sz w:val="21"/>
                      <w:szCs w:val="21"/>
                      <w:highlight w:val="none"/>
                      <w:vertAlign w:val="baseline"/>
                      <w:lang w:val="en-US" w:eastAsia="zh-CN" w:bidi="ar-SA"/>
                    </w:rPr>
                  </w:pPr>
                  <w:r>
                    <w:rPr>
                      <w:rFonts w:hint="eastAsia" w:cs="宋体"/>
                      <w:bCs/>
                      <w:color w:val="auto"/>
                      <w:spacing w:val="0"/>
                      <w:kern w:val="2"/>
                      <w:sz w:val="21"/>
                      <w:szCs w:val="21"/>
                      <w:highlight w:val="none"/>
                      <w:vertAlign w:val="baseline"/>
                      <w:lang w:val="en-US" w:eastAsia="zh-CN" w:bidi="ar-SA"/>
                    </w:rPr>
                    <w:t>液态</w:t>
                  </w:r>
                </w:p>
              </w:tc>
              <w:tc>
                <w:tcPr>
                  <w:tcW w:w="1287" w:type="dxa"/>
                  <w:noWrap w:val="0"/>
                  <w:vAlign w:val="center"/>
                </w:tcPr>
                <w:p w14:paraId="41F715BB">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47842.17</w:t>
                  </w:r>
                  <w:r>
                    <w:rPr>
                      <w:rFonts w:hint="eastAsia" w:ascii="Times New Roman" w:hAnsi="Times New Roman" w:cs="Times New Roman"/>
                      <w:bCs/>
                      <w:color w:val="auto"/>
                      <w:spacing w:val="0"/>
                      <w:kern w:val="2"/>
                      <w:sz w:val="21"/>
                      <w:szCs w:val="21"/>
                      <w:highlight w:val="none"/>
                      <w:vertAlign w:val="baseline"/>
                      <w:lang w:val="en-US" w:eastAsia="zh-CN" w:bidi="ar-SA"/>
                    </w:rPr>
                    <w:t>吨/年</w:t>
                  </w:r>
                </w:p>
              </w:tc>
              <w:tc>
                <w:tcPr>
                  <w:tcW w:w="1417" w:type="dxa"/>
                  <w:noWrap w:val="0"/>
                  <w:vAlign w:val="center"/>
                </w:tcPr>
                <w:p w14:paraId="26E22B83">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eastAsia" w:ascii="Times New Roman" w:hAnsi="Times New Roman" w:cs="Times New Roman"/>
                      <w:bCs/>
                      <w:color w:val="auto"/>
                      <w:spacing w:val="0"/>
                      <w:sz w:val="21"/>
                      <w:szCs w:val="21"/>
                      <w:highlight w:val="none"/>
                      <w:lang w:val="en-US" w:eastAsia="zh-CN"/>
                    </w:rPr>
                    <w:t>21587.16</w:t>
                  </w:r>
                  <w:r>
                    <w:rPr>
                      <w:rFonts w:hint="eastAsia" w:ascii="Times New Roman" w:hAnsi="Times New Roman" w:eastAsia="宋体" w:cs="Times New Roman"/>
                      <w:bCs/>
                      <w:color w:val="auto"/>
                      <w:spacing w:val="0"/>
                      <w:sz w:val="21"/>
                      <w:szCs w:val="21"/>
                      <w:highlight w:val="none"/>
                      <w:lang w:val="en-US" w:eastAsia="zh-CN"/>
                    </w:rPr>
                    <w:t>吨/年</w:t>
                  </w:r>
                </w:p>
              </w:tc>
              <w:tc>
                <w:tcPr>
                  <w:tcW w:w="1433" w:type="dxa"/>
                  <w:noWrap w:val="0"/>
                  <w:vAlign w:val="center"/>
                </w:tcPr>
                <w:p w14:paraId="05F09ADA">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eastAsia" w:ascii="Times New Roman" w:hAnsi="Times New Roman" w:cs="Times New Roman"/>
                      <w:bCs/>
                      <w:color w:val="auto"/>
                      <w:spacing w:val="0"/>
                      <w:kern w:val="2"/>
                      <w:sz w:val="21"/>
                      <w:szCs w:val="21"/>
                      <w:highlight w:val="none"/>
                      <w:vertAlign w:val="baseline"/>
                      <w:lang w:val="en-US" w:eastAsia="zh-CN" w:bidi="ar-SA"/>
                    </w:rPr>
                    <w:t>69429.33吨/年</w:t>
                  </w:r>
                </w:p>
              </w:tc>
              <w:tc>
                <w:tcPr>
                  <w:tcW w:w="697" w:type="dxa"/>
                  <w:noWrap w:val="0"/>
                  <w:vAlign w:val="center"/>
                </w:tcPr>
                <w:p w14:paraId="7BFE1772">
                  <w:pPr>
                    <w:pStyle w:val="93"/>
                    <w:numPr>
                      <w:ilvl w:val="0"/>
                      <w:numId w:val="0"/>
                    </w:numPr>
                    <w:spacing w:line="240" w:lineRule="auto"/>
                    <w:ind w:left="0" w:leftChars="0" w:firstLine="0" w:firstLineChars="0"/>
                    <w:jc w:val="center"/>
                    <w:rPr>
                      <w:rFonts w:hint="default" w:ascii="宋体" w:hAnsi="宋体" w:eastAsia="宋体" w:cs="宋体"/>
                      <w:bCs/>
                      <w:color w:val="auto"/>
                      <w:spacing w:val="0"/>
                      <w:kern w:val="2"/>
                      <w:sz w:val="21"/>
                      <w:szCs w:val="21"/>
                      <w:highlight w:val="none"/>
                      <w:vertAlign w:val="baseline"/>
                      <w:lang w:val="en-US" w:eastAsia="zh-CN" w:bidi="ar-SA"/>
                    </w:rPr>
                  </w:pPr>
                  <w:r>
                    <w:rPr>
                      <w:rFonts w:hint="eastAsia" w:cs="宋体"/>
                      <w:bCs/>
                      <w:color w:val="auto"/>
                      <w:spacing w:val="0"/>
                      <w:kern w:val="2"/>
                      <w:sz w:val="21"/>
                      <w:szCs w:val="21"/>
                      <w:highlight w:val="none"/>
                      <w:vertAlign w:val="baseline"/>
                      <w:lang w:val="en-US" w:eastAsia="zh-CN" w:bidi="ar-SA"/>
                    </w:rPr>
                    <w:t>供水管网</w:t>
                  </w:r>
                </w:p>
              </w:tc>
            </w:tr>
            <w:tr w14:paraId="6452C5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noWrap w:val="0"/>
                  <w:vAlign w:val="center"/>
                </w:tcPr>
                <w:p w14:paraId="17874AD0">
                  <w:pPr>
                    <w:pStyle w:val="93"/>
                    <w:numPr>
                      <w:ilvl w:val="0"/>
                      <w:numId w:val="0"/>
                    </w:numPr>
                    <w:spacing w:line="240" w:lineRule="auto"/>
                    <w:jc w:val="center"/>
                    <w:rPr>
                      <w:rFonts w:hint="default" w:ascii="Times New Roman" w:hAnsi="Times New Roman" w:cs="Times New Roman"/>
                      <w:color w:val="auto"/>
                      <w:spacing w:val="0"/>
                      <w:sz w:val="21"/>
                      <w:szCs w:val="21"/>
                      <w:highlight w:val="none"/>
                      <w:vertAlign w:val="baseline"/>
                      <w:lang w:val="en-US" w:eastAsia="zh-CN"/>
                    </w:rPr>
                  </w:pPr>
                  <w:r>
                    <w:rPr>
                      <w:rFonts w:hint="eastAsia" w:ascii="Times New Roman" w:hAnsi="Times New Roman" w:cs="Times New Roman"/>
                      <w:color w:val="auto"/>
                      <w:spacing w:val="0"/>
                      <w:sz w:val="21"/>
                      <w:szCs w:val="21"/>
                      <w:highlight w:val="none"/>
                      <w:vertAlign w:val="baseline"/>
                      <w:lang w:val="en-US" w:eastAsia="zh-CN"/>
                    </w:rPr>
                    <w:t>4</w:t>
                  </w:r>
                </w:p>
              </w:tc>
              <w:tc>
                <w:tcPr>
                  <w:tcW w:w="1486" w:type="dxa"/>
                  <w:noWrap w:val="0"/>
                  <w:vAlign w:val="center"/>
                </w:tcPr>
                <w:p w14:paraId="5B595472">
                  <w:pPr>
                    <w:pStyle w:val="93"/>
                    <w:numPr>
                      <w:ilvl w:val="0"/>
                      <w:numId w:val="0"/>
                    </w:numPr>
                    <w:spacing w:line="240" w:lineRule="auto"/>
                    <w:ind w:left="0" w:leftChars="0" w:firstLine="0" w:firstLineChars="0"/>
                    <w:jc w:val="center"/>
                    <w:rPr>
                      <w:rFonts w:hint="default" w:cs="宋体"/>
                      <w:bCs/>
                      <w:color w:val="auto"/>
                      <w:spacing w:val="0"/>
                      <w:kern w:val="2"/>
                      <w:sz w:val="21"/>
                      <w:szCs w:val="21"/>
                      <w:highlight w:val="none"/>
                      <w:vertAlign w:val="baseline"/>
                      <w:lang w:val="en-US" w:eastAsia="zh-CN" w:bidi="ar-SA"/>
                    </w:rPr>
                  </w:pPr>
                  <w:r>
                    <w:rPr>
                      <w:rFonts w:hint="eastAsia" w:cs="宋体"/>
                      <w:bCs/>
                      <w:color w:val="auto"/>
                      <w:spacing w:val="0"/>
                      <w:kern w:val="2"/>
                      <w:sz w:val="21"/>
                      <w:szCs w:val="21"/>
                      <w:highlight w:val="none"/>
                      <w:vertAlign w:val="baseline"/>
                      <w:lang w:val="en-US" w:eastAsia="zh-CN" w:bidi="ar-SA"/>
                    </w:rPr>
                    <w:t>电能</w:t>
                  </w:r>
                </w:p>
              </w:tc>
              <w:tc>
                <w:tcPr>
                  <w:tcW w:w="810" w:type="dxa"/>
                  <w:noWrap w:val="0"/>
                  <w:vAlign w:val="center"/>
                </w:tcPr>
                <w:p w14:paraId="08F8C49E">
                  <w:pPr>
                    <w:pStyle w:val="93"/>
                    <w:numPr>
                      <w:ilvl w:val="0"/>
                      <w:numId w:val="0"/>
                    </w:numPr>
                    <w:spacing w:line="240" w:lineRule="auto"/>
                    <w:ind w:left="0" w:leftChars="0" w:firstLine="0" w:firstLineChars="0"/>
                    <w:jc w:val="center"/>
                    <w:rPr>
                      <w:rFonts w:hint="default" w:cs="宋体"/>
                      <w:bCs/>
                      <w:color w:val="auto"/>
                      <w:spacing w:val="0"/>
                      <w:kern w:val="2"/>
                      <w:sz w:val="21"/>
                      <w:szCs w:val="21"/>
                      <w:highlight w:val="none"/>
                      <w:vertAlign w:val="baseline"/>
                      <w:lang w:val="en-US" w:eastAsia="zh-CN" w:bidi="ar-SA"/>
                    </w:rPr>
                  </w:pPr>
                  <w:r>
                    <w:rPr>
                      <w:rFonts w:hint="eastAsia" w:cs="宋体"/>
                      <w:bCs/>
                      <w:color w:val="auto"/>
                      <w:spacing w:val="0"/>
                      <w:kern w:val="2"/>
                      <w:sz w:val="21"/>
                      <w:szCs w:val="21"/>
                      <w:highlight w:val="none"/>
                      <w:vertAlign w:val="baseline"/>
                      <w:lang w:val="en-US" w:eastAsia="zh-CN" w:bidi="ar-SA"/>
                    </w:rPr>
                    <w:t>/</w:t>
                  </w:r>
                </w:p>
              </w:tc>
              <w:tc>
                <w:tcPr>
                  <w:tcW w:w="1287" w:type="dxa"/>
                  <w:noWrap w:val="0"/>
                  <w:vAlign w:val="center"/>
                </w:tcPr>
                <w:p w14:paraId="36AE923C">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default" w:ascii="Times New Roman" w:hAnsi="Times New Roman" w:cs="Times New Roman"/>
                      <w:bCs/>
                      <w:color w:val="auto"/>
                      <w:spacing w:val="0"/>
                      <w:kern w:val="2"/>
                      <w:sz w:val="21"/>
                      <w:szCs w:val="21"/>
                      <w:highlight w:val="none"/>
                      <w:vertAlign w:val="baseline"/>
                      <w:lang w:val="en-US" w:eastAsia="zh-CN" w:bidi="ar-SA"/>
                    </w:rPr>
                    <w:t>1185339.6Kwh</w:t>
                  </w:r>
                </w:p>
              </w:tc>
              <w:tc>
                <w:tcPr>
                  <w:tcW w:w="1417" w:type="dxa"/>
                  <w:noWrap w:val="0"/>
                  <w:vAlign w:val="center"/>
                </w:tcPr>
                <w:p w14:paraId="0F6DD22A">
                  <w:pPr>
                    <w:pStyle w:val="93"/>
                    <w:numPr>
                      <w:ilvl w:val="0"/>
                      <w:numId w:val="0"/>
                    </w:numPr>
                    <w:spacing w:line="240" w:lineRule="auto"/>
                    <w:ind w:left="0" w:leftChars="0"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eastAsia" w:ascii="Times New Roman" w:hAnsi="Times New Roman" w:cs="Times New Roman"/>
                      <w:bCs/>
                      <w:color w:val="auto"/>
                      <w:spacing w:val="0"/>
                      <w:sz w:val="21"/>
                      <w:szCs w:val="21"/>
                      <w:highlight w:val="none"/>
                      <w:lang w:val="en-US" w:eastAsia="zh-CN"/>
                    </w:rPr>
                    <w:t>247680</w:t>
                  </w:r>
                  <w:r>
                    <w:rPr>
                      <w:rFonts w:hint="default" w:ascii="Times New Roman" w:hAnsi="Times New Roman" w:eastAsia="宋体" w:cs="Times New Roman"/>
                      <w:bCs/>
                      <w:color w:val="auto"/>
                      <w:spacing w:val="0"/>
                      <w:sz w:val="21"/>
                      <w:szCs w:val="21"/>
                      <w:highlight w:val="none"/>
                      <w:lang w:val="en-US" w:eastAsia="zh-CN"/>
                    </w:rPr>
                    <w:t>kWh</w:t>
                  </w:r>
                </w:p>
              </w:tc>
              <w:tc>
                <w:tcPr>
                  <w:tcW w:w="1433" w:type="dxa"/>
                  <w:noWrap w:val="0"/>
                  <w:vAlign w:val="center"/>
                </w:tcPr>
                <w:p w14:paraId="667CC9FA">
                  <w:pPr>
                    <w:pStyle w:val="93"/>
                    <w:numPr>
                      <w:ilvl w:val="0"/>
                      <w:numId w:val="0"/>
                    </w:numPr>
                    <w:spacing w:line="240" w:lineRule="auto"/>
                    <w:ind w:left="0" w:leftChars="0" w:firstLine="0" w:firstLineChars="0"/>
                    <w:jc w:val="center"/>
                    <w:rPr>
                      <w:rFonts w:hint="default" w:ascii="Times New Roman" w:hAnsi="Times New Roman" w:cs="Times New Roman"/>
                      <w:bCs/>
                      <w:color w:val="auto"/>
                      <w:spacing w:val="0"/>
                      <w:kern w:val="2"/>
                      <w:sz w:val="21"/>
                      <w:szCs w:val="21"/>
                      <w:highlight w:val="none"/>
                      <w:vertAlign w:val="baseline"/>
                      <w:lang w:val="en-US" w:eastAsia="zh-CN" w:bidi="ar-SA"/>
                    </w:rPr>
                  </w:pPr>
                  <w:r>
                    <w:rPr>
                      <w:rFonts w:hint="eastAsia" w:ascii="Times New Roman" w:hAnsi="Times New Roman" w:cs="Times New Roman"/>
                      <w:bCs/>
                      <w:color w:val="auto"/>
                      <w:spacing w:val="0"/>
                      <w:kern w:val="2"/>
                      <w:sz w:val="21"/>
                      <w:szCs w:val="21"/>
                      <w:highlight w:val="none"/>
                      <w:vertAlign w:val="baseline"/>
                      <w:lang w:val="en-US" w:eastAsia="zh-CN" w:bidi="ar-SA"/>
                    </w:rPr>
                    <w:t>1406019.6</w:t>
                  </w:r>
                  <w:r>
                    <w:rPr>
                      <w:rFonts w:hint="default" w:ascii="Times New Roman" w:hAnsi="Times New Roman" w:eastAsia="宋体" w:cs="Times New Roman"/>
                      <w:bCs/>
                      <w:color w:val="auto"/>
                      <w:spacing w:val="0"/>
                      <w:sz w:val="21"/>
                      <w:szCs w:val="21"/>
                      <w:highlight w:val="none"/>
                      <w:lang w:val="en-US" w:eastAsia="zh-CN"/>
                    </w:rPr>
                    <w:t>kWh</w:t>
                  </w:r>
                </w:p>
              </w:tc>
              <w:tc>
                <w:tcPr>
                  <w:tcW w:w="697" w:type="dxa"/>
                  <w:noWrap w:val="0"/>
                  <w:vAlign w:val="center"/>
                </w:tcPr>
                <w:p w14:paraId="4F07648D">
                  <w:pPr>
                    <w:pStyle w:val="93"/>
                    <w:numPr>
                      <w:ilvl w:val="0"/>
                      <w:numId w:val="0"/>
                    </w:numPr>
                    <w:spacing w:line="240" w:lineRule="auto"/>
                    <w:ind w:left="0" w:leftChars="0" w:firstLine="0" w:firstLineChars="0"/>
                    <w:jc w:val="center"/>
                    <w:rPr>
                      <w:rFonts w:hint="default" w:cs="宋体"/>
                      <w:bCs/>
                      <w:color w:val="auto"/>
                      <w:spacing w:val="0"/>
                      <w:kern w:val="2"/>
                      <w:sz w:val="21"/>
                      <w:szCs w:val="21"/>
                      <w:highlight w:val="none"/>
                      <w:vertAlign w:val="baseline"/>
                      <w:lang w:val="en-US" w:eastAsia="zh-CN" w:bidi="ar-SA"/>
                    </w:rPr>
                  </w:pPr>
                  <w:r>
                    <w:rPr>
                      <w:rFonts w:hint="eastAsia" w:cs="宋体"/>
                      <w:bCs/>
                      <w:color w:val="auto"/>
                      <w:spacing w:val="0"/>
                      <w:kern w:val="2"/>
                      <w:sz w:val="21"/>
                      <w:szCs w:val="21"/>
                      <w:highlight w:val="none"/>
                      <w:vertAlign w:val="baseline"/>
                      <w:lang w:val="en-US" w:eastAsia="zh-CN" w:bidi="ar-SA"/>
                    </w:rPr>
                    <w:t>供电管网</w:t>
                  </w:r>
                </w:p>
              </w:tc>
            </w:tr>
          </w:tbl>
          <w:p w14:paraId="7C918EE6">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5.燃料</w:t>
            </w:r>
            <w:r>
              <w:rPr>
                <w:rFonts w:hint="eastAsia" w:ascii="宋体" w:hAnsi="宋体" w:eastAsia="宋体" w:cs="宋体"/>
                <w:b/>
                <w:bCs w:val="0"/>
                <w:color w:val="auto"/>
                <w:spacing w:val="0"/>
                <w:sz w:val="24"/>
                <w:szCs w:val="24"/>
                <w:highlight w:val="none"/>
                <w:lang w:val="en-US" w:eastAsia="zh-CN"/>
              </w:rPr>
              <w:t>消耗</w:t>
            </w:r>
          </w:p>
          <w:p w14:paraId="39CD1CC1">
            <w:pPr>
              <w:spacing w:line="360" w:lineRule="auto"/>
              <w:contextualSpacing/>
              <w:jc w:val="left"/>
              <w:rPr>
                <w:rFonts w:hint="eastAsia" w:cs="宋体"/>
                <w:bCs/>
                <w:color w:val="auto"/>
                <w:spacing w:val="0"/>
                <w:sz w:val="24"/>
                <w:szCs w:val="24"/>
                <w:highlight w:val="none"/>
                <w:lang w:val="en-US" w:eastAsia="zh-CN"/>
              </w:rPr>
            </w:pPr>
            <w:r>
              <w:rPr>
                <w:rFonts w:hint="eastAsia" w:ascii="宋体" w:hAnsi="宋体" w:eastAsia="宋体" w:cs="宋体"/>
                <w:bCs/>
                <w:color w:val="auto"/>
                <w:spacing w:val="0"/>
                <w:sz w:val="24"/>
                <w:szCs w:val="24"/>
                <w:highlight w:val="none"/>
                <w:lang w:val="en-US" w:eastAsia="zh-CN"/>
              </w:rPr>
              <w:t>锅炉</w:t>
            </w:r>
            <w:r>
              <w:rPr>
                <w:rFonts w:hint="eastAsia" w:cs="宋体"/>
                <w:bCs/>
                <w:color w:val="auto"/>
                <w:spacing w:val="0"/>
                <w:sz w:val="24"/>
                <w:szCs w:val="24"/>
                <w:highlight w:val="none"/>
                <w:lang w:val="en-US" w:eastAsia="zh-CN"/>
              </w:rPr>
              <w:t>燃料消耗</w:t>
            </w:r>
            <w:r>
              <w:rPr>
                <w:rFonts w:hint="eastAsia" w:ascii="宋体" w:hAnsi="宋体" w:eastAsia="宋体" w:cs="宋体"/>
                <w:bCs/>
                <w:color w:val="auto"/>
                <w:spacing w:val="0"/>
                <w:sz w:val="24"/>
                <w:szCs w:val="24"/>
                <w:highlight w:val="none"/>
                <w:lang w:val="en-US" w:eastAsia="zh-CN"/>
              </w:rPr>
              <w:t>计算方法：总热功率/热效率/燃料发热量＝燃料消耗量，</w:t>
            </w:r>
            <w:r>
              <w:rPr>
                <w:rFonts w:hint="default" w:ascii="Times New Roman" w:hAnsi="Times New Roman" w:cs="Times New Roman"/>
                <w:bCs/>
                <w:color w:val="auto"/>
                <w:spacing w:val="0"/>
                <w:sz w:val="24"/>
                <w:szCs w:val="24"/>
                <w:highlight w:val="none"/>
                <w:lang w:val="en-US" w:eastAsia="zh-CN"/>
              </w:rPr>
              <w:t>6t/h</w:t>
            </w:r>
            <w:r>
              <w:rPr>
                <w:rFonts w:hint="eastAsia" w:ascii="宋体" w:hAnsi="宋体" w:eastAsia="宋体" w:cs="宋体"/>
                <w:bCs/>
                <w:color w:val="auto"/>
                <w:spacing w:val="0"/>
                <w:sz w:val="24"/>
                <w:szCs w:val="24"/>
                <w:highlight w:val="none"/>
                <w:lang w:val="en-US" w:eastAsia="zh-CN"/>
              </w:rPr>
              <w:t>锅炉总热功率为</w:t>
            </w:r>
            <w:r>
              <w:rPr>
                <w:rFonts w:hint="default" w:ascii="Times New Roman" w:hAnsi="Times New Roman" w:cs="Times New Roman"/>
                <w:bCs/>
                <w:color w:val="auto"/>
                <w:spacing w:val="0"/>
                <w:sz w:val="24"/>
                <w:szCs w:val="24"/>
                <w:highlight w:val="none"/>
                <w:lang w:val="en-US" w:eastAsia="zh-CN"/>
              </w:rPr>
              <w:t>3</w:t>
            </w:r>
            <w:r>
              <w:rPr>
                <w:rFonts w:hint="default" w:ascii="Times New Roman" w:hAnsi="Times New Roman" w:eastAsia="宋体" w:cs="Times New Roman"/>
                <w:bCs/>
                <w:color w:val="auto"/>
                <w:spacing w:val="0"/>
                <w:sz w:val="24"/>
                <w:szCs w:val="24"/>
                <w:highlight w:val="none"/>
                <w:lang w:val="en-US" w:eastAsia="zh-CN"/>
              </w:rPr>
              <w:t>6</w:t>
            </w:r>
            <w:r>
              <w:rPr>
                <w:rFonts w:hint="default" w:ascii="Times New Roman" w:hAnsi="Times New Roman" w:cs="Times New Roman"/>
                <w:bCs/>
                <w:color w:val="auto"/>
                <w:spacing w:val="0"/>
                <w:sz w:val="24"/>
                <w:szCs w:val="24"/>
                <w:highlight w:val="none"/>
                <w:lang w:val="en-US" w:eastAsia="zh-CN"/>
              </w:rPr>
              <w:t>0</w:t>
            </w:r>
            <w:r>
              <w:rPr>
                <w:rFonts w:hint="eastAsia" w:ascii="宋体" w:hAnsi="宋体" w:eastAsia="宋体" w:cs="宋体"/>
                <w:bCs/>
                <w:color w:val="auto"/>
                <w:spacing w:val="0"/>
                <w:sz w:val="24"/>
                <w:szCs w:val="24"/>
                <w:highlight w:val="none"/>
                <w:lang w:val="en-US" w:eastAsia="zh-CN"/>
              </w:rPr>
              <w:t>万大卡，根据</w:t>
            </w:r>
            <w:r>
              <w:rPr>
                <w:rFonts w:hint="eastAsia" w:cs="宋体"/>
                <w:bCs/>
                <w:color w:val="auto"/>
                <w:spacing w:val="0"/>
                <w:sz w:val="24"/>
                <w:szCs w:val="24"/>
                <w:highlight w:val="none"/>
                <w:lang w:val="en-US" w:eastAsia="zh-CN"/>
              </w:rPr>
              <w:t>建设单位提供的生物质成型颗粒</w:t>
            </w:r>
            <w:r>
              <w:rPr>
                <w:rFonts w:hint="eastAsia" w:ascii="宋体" w:hAnsi="宋体" w:eastAsia="宋体" w:cs="宋体"/>
                <w:bCs/>
                <w:color w:val="auto"/>
                <w:spacing w:val="0"/>
                <w:sz w:val="24"/>
                <w:szCs w:val="24"/>
                <w:highlight w:val="none"/>
                <w:lang w:val="en-US" w:eastAsia="zh-CN"/>
              </w:rPr>
              <w:t>，收到基低位发热量为16.77</w:t>
            </w:r>
            <w:r>
              <w:rPr>
                <w:rFonts w:hint="default" w:ascii="Times New Roman" w:hAnsi="Times New Roman" w:eastAsia="宋体" w:cs="Times New Roman"/>
                <w:bCs/>
                <w:color w:val="auto"/>
                <w:spacing w:val="0"/>
                <w:sz w:val="24"/>
                <w:szCs w:val="24"/>
                <w:highlight w:val="none"/>
                <w:lang w:val="en-US" w:eastAsia="zh-CN"/>
              </w:rPr>
              <w:t>MJ</w:t>
            </w:r>
            <w:r>
              <w:rPr>
                <w:rFonts w:hint="eastAsia" w:ascii="宋体" w:hAnsi="宋体" w:eastAsia="宋体" w:cs="宋体"/>
                <w:bCs/>
                <w:color w:val="auto"/>
                <w:spacing w:val="0"/>
                <w:sz w:val="24"/>
                <w:szCs w:val="24"/>
                <w:highlight w:val="none"/>
                <w:lang w:val="en-US" w:eastAsia="zh-CN"/>
              </w:rPr>
              <w:t>/</w:t>
            </w:r>
            <w:r>
              <w:rPr>
                <w:rFonts w:hint="default" w:ascii="Times New Roman" w:hAnsi="Times New Roman" w:cs="Times New Roman"/>
                <w:bCs/>
                <w:color w:val="auto"/>
                <w:sz w:val="21"/>
                <w:szCs w:val="21"/>
                <w:highlight w:val="none"/>
              </w:rPr>
              <w:t>kg</w:t>
            </w:r>
            <w:r>
              <w:rPr>
                <w:rFonts w:hint="eastAsia" w:ascii="宋体" w:hAnsi="宋体" w:eastAsia="宋体" w:cs="宋体"/>
                <w:bCs/>
                <w:color w:val="auto"/>
                <w:spacing w:val="0"/>
                <w:sz w:val="24"/>
                <w:szCs w:val="24"/>
                <w:highlight w:val="none"/>
                <w:lang w:val="en-US" w:eastAsia="zh-CN"/>
              </w:rPr>
              <w:t>（</w:t>
            </w:r>
            <w:r>
              <w:rPr>
                <w:rFonts w:hint="default" w:ascii="Times New Roman" w:hAnsi="Times New Roman" w:eastAsia="宋体" w:cs="Times New Roman"/>
                <w:bCs/>
                <w:color w:val="auto"/>
                <w:spacing w:val="0"/>
                <w:sz w:val="24"/>
                <w:szCs w:val="24"/>
                <w:highlight w:val="none"/>
                <w:lang w:val="en-US" w:eastAsia="zh-CN"/>
              </w:rPr>
              <w:t>1MJ=1000000</w:t>
            </w:r>
            <w:r>
              <w:rPr>
                <w:rFonts w:hint="eastAsia" w:ascii="宋体" w:hAnsi="宋体" w:eastAsia="宋体" w:cs="宋体"/>
                <w:bCs/>
                <w:color w:val="auto"/>
                <w:spacing w:val="0"/>
                <w:sz w:val="24"/>
                <w:szCs w:val="24"/>
                <w:highlight w:val="none"/>
                <w:lang w:val="en-US" w:eastAsia="zh-CN"/>
              </w:rPr>
              <w:t>焦耳=</w:t>
            </w:r>
            <w:r>
              <w:rPr>
                <w:rFonts w:hint="default" w:ascii="Times New Roman" w:hAnsi="Times New Roman" w:eastAsia="宋体" w:cs="Times New Roman"/>
                <w:bCs/>
                <w:color w:val="auto"/>
                <w:spacing w:val="0"/>
                <w:sz w:val="24"/>
                <w:szCs w:val="24"/>
                <w:highlight w:val="none"/>
                <w:lang w:val="en-US" w:eastAsia="zh-CN"/>
              </w:rPr>
              <w:t>239</w:t>
            </w:r>
            <w:r>
              <w:rPr>
                <w:rFonts w:hint="eastAsia" w:ascii="宋体" w:hAnsi="宋体" w:eastAsia="宋体" w:cs="宋体"/>
                <w:bCs/>
                <w:color w:val="auto"/>
                <w:spacing w:val="0"/>
                <w:sz w:val="24"/>
                <w:szCs w:val="24"/>
                <w:highlight w:val="none"/>
                <w:lang w:val="en-US" w:eastAsia="zh-CN"/>
              </w:rPr>
              <w:t>.</w:t>
            </w:r>
            <w:r>
              <w:rPr>
                <w:rFonts w:hint="default" w:ascii="Times New Roman" w:hAnsi="Times New Roman" w:eastAsia="宋体" w:cs="Times New Roman"/>
                <w:bCs/>
                <w:color w:val="auto"/>
                <w:spacing w:val="0"/>
                <w:sz w:val="24"/>
                <w:szCs w:val="24"/>
                <w:highlight w:val="none"/>
                <w:lang w:val="en-US" w:eastAsia="zh-CN"/>
              </w:rPr>
              <w:t>234</w:t>
            </w:r>
            <w:r>
              <w:rPr>
                <w:rFonts w:hint="eastAsia" w:ascii="宋体" w:hAnsi="宋体" w:eastAsia="宋体" w:cs="宋体"/>
                <w:bCs/>
                <w:color w:val="auto"/>
                <w:spacing w:val="0"/>
                <w:sz w:val="24"/>
                <w:szCs w:val="24"/>
                <w:highlight w:val="none"/>
                <w:lang w:val="en-US" w:eastAsia="zh-CN"/>
              </w:rPr>
              <w:t>大卡）即</w:t>
            </w:r>
            <w:r>
              <w:rPr>
                <w:rFonts w:hint="default" w:ascii="Times New Roman" w:hAnsi="Times New Roman" w:eastAsia="宋体" w:cs="Times New Roman"/>
                <w:bCs/>
                <w:color w:val="auto"/>
                <w:spacing w:val="0"/>
                <w:sz w:val="24"/>
                <w:szCs w:val="24"/>
                <w:highlight w:val="none"/>
                <w:lang w:val="en-US" w:eastAsia="zh-CN"/>
              </w:rPr>
              <w:t>4011.95418</w:t>
            </w:r>
            <w:r>
              <w:rPr>
                <w:rFonts w:hint="eastAsia" w:ascii="宋体" w:hAnsi="宋体" w:eastAsia="宋体" w:cs="宋体"/>
                <w:bCs/>
                <w:color w:val="auto"/>
                <w:spacing w:val="0"/>
                <w:sz w:val="24"/>
                <w:szCs w:val="24"/>
                <w:highlight w:val="none"/>
                <w:lang w:val="en-US" w:eastAsia="zh-CN"/>
              </w:rPr>
              <w:t>大卡/</w:t>
            </w:r>
            <w:r>
              <w:rPr>
                <w:rFonts w:hint="default" w:ascii="Times New Roman" w:hAnsi="Times New Roman" w:cs="Times New Roman"/>
                <w:bCs/>
                <w:color w:val="auto"/>
                <w:sz w:val="21"/>
                <w:szCs w:val="21"/>
                <w:highlight w:val="none"/>
              </w:rPr>
              <w:t>kg</w:t>
            </w:r>
            <w:r>
              <w:rPr>
                <w:rFonts w:hint="eastAsia" w:ascii="宋体" w:hAnsi="宋体" w:eastAsia="宋体" w:cs="宋体"/>
                <w:bCs/>
                <w:color w:val="auto"/>
                <w:spacing w:val="0"/>
                <w:sz w:val="24"/>
                <w:szCs w:val="24"/>
                <w:highlight w:val="none"/>
                <w:lang w:val="en-US" w:eastAsia="zh-CN"/>
              </w:rPr>
              <w:t>，</w:t>
            </w:r>
            <w:r>
              <w:rPr>
                <w:rFonts w:hint="eastAsia" w:cs="宋体"/>
                <w:bCs/>
                <w:color w:val="auto"/>
                <w:spacing w:val="0"/>
                <w:sz w:val="24"/>
                <w:szCs w:val="24"/>
                <w:highlight w:val="none"/>
                <w:lang w:val="en-US" w:eastAsia="zh-CN"/>
              </w:rPr>
              <w:t>本项目为6t/h锅炉，根据《生物质锅炉技术规范》（GB/T44906-2024）锅炉热效率为</w:t>
            </w:r>
            <w:r>
              <w:rPr>
                <w:rFonts w:hint="default" w:ascii="Times New Roman" w:hAnsi="Times New Roman" w:cs="Times New Roman"/>
                <w:bCs/>
                <w:color w:val="auto"/>
                <w:spacing w:val="0"/>
                <w:sz w:val="24"/>
                <w:szCs w:val="24"/>
                <w:highlight w:val="none"/>
                <w:lang w:val="en-US" w:eastAsia="zh-CN"/>
              </w:rPr>
              <w:t>8</w:t>
            </w:r>
            <w:r>
              <w:rPr>
                <w:rFonts w:hint="eastAsia" w:ascii="Times New Roman" w:hAnsi="Times New Roman" w:cs="Times New Roman"/>
                <w:bCs/>
                <w:color w:val="auto"/>
                <w:spacing w:val="0"/>
                <w:sz w:val="24"/>
                <w:szCs w:val="24"/>
                <w:highlight w:val="none"/>
                <w:lang w:val="en-US" w:eastAsia="zh-CN"/>
              </w:rPr>
              <w:t>3</w:t>
            </w:r>
            <w:r>
              <w:rPr>
                <w:rFonts w:hint="default" w:ascii="Times New Roman" w:hAnsi="Times New Roman" w:cs="Times New Roman"/>
                <w:bCs/>
                <w:color w:val="auto"/>
                <w:spacing w:val="0"/>
                <w:sz w:val="24"/>
                <w:szCs w:val="24"/>
                <w:highlight w:val="none"/>
                <w:lang w:val="en-US" w:eastAsia="zh-CN"/>
              </w:rPr>
              <w:t>%</w:t>
            </w:r>
            <w:r>
              <w:rPr>
                <w:rFonts w:hint="eastAsia" w:cs="宋体"/>
                <w:bCs/>
                <w:color w:val="auto"/>
                <w:spacing w:val="0"/>
                <w:sz w:val="24"/>
                <w:szCs w:val="24"/>
                <w:highlight w:val="none"/>
                <w:lang w:val="en-US" w:eastAsia="zh-CN"/>
              </w:rPr>
              <w:t>，本则</w:t>
            </w:r>
            <w:r>
              <w:rPr>
                <w:rFonts w:hint="default" w:ascii="Times New Roman" w:hAnsi="Times New Roman" w:cs="Times New Roman"/>
                <w:bCs/>
                <w:color w:val="auto"/>
                <w:spacing w:val="0"/>
                <w:sz w:val="24"/>
                <w:szCs w:val="24"/>
                <w:highlight w:val="none"/>
                <w:lang w:val="en-US" w:eastAsia="zh-CN"/>
              </w:rPr>
              <w:t>1</w:t>
            </w:r>
            <w:r>
              <w:rPr>
                <w:rFonts w:hint="eastAsia" w:cs="宋体"/>
                <w:bCs/>
                <w:color w:val="auto"/>
                <w:spacing w:val="0"/>
                <w:sz w:val="24"/>
                <w:szCs w:val="24"/>
                <w:highlight w:val="none"/>
                <w:lang w:val="en-US" w:eastAsia="zh-CN"/>
              </w:rPr>
              <w:t>台</w:t>
            </w:r>
            <w:r>
              <w:rPr>
                <w:rFonts w:hint="default" w:ascii="Times New Roman" w:hAnsi="Times New Roman" w:cs="Times New Roman"/>
                <w:bCs/>
                <w:color w:val="auto"/>
                <w:spacing w:val="0"/>
                <w:sz w:val="24"/>
                <w:szCs w:val="24"/>
                <w:highlight w:val="none"/>
                <w:lang w:val="en-US" w:eastAsia="zh-CN"/>
              </w:rPr>
              <w:t>6t/h</w:t>
            </w:r>
            <w:r>
              <w:rPr>
                <w:rFonts w:hint="eastAsia" w:ascii="宋体" w:hAnsi="宋体" w:eastAsia="宋体" w:cs="宋体"/>
                <w:bCs/>
                <w:color w:val="auto"/>
                <w:spacing w:val="0"/>
                <w:sz w:val="24"/>
                <w:szCs w:val="24"/>
                <w:highlight w:val="none"/>
                <w:lang w:val="en-US" w:eastAsia="zh-CN"/>
              </w:rPr>
              <w:t>锅炉</w:t>
            </w:r>
            <w:r>
              <w:rPr>
                <w:rFonts w:hint="eastAsia" w:cs="宋体"/>
                <w:bCs/>
                <w:color w:val="auto"/>
                <w:spacing w:val="0"/>
                <w:sz w:val="24"/>
                <w:szCs w:val="24"/>
                <w:highlight w:val="none"/>
                <w:lang w:val="en-US" w:eastAsia="zh-CN"/>
              </w:rPr>
              <w:t>生物质成型</w:t>
            </w:r>
            <w:r>
              <w:rPr>
                <w:rFonts w:hint="eastAsia" w:ascii="宋体" w:hAnsi="宋体" w:eastAsia="宋体" w:cs="宋体"/>
                <w:bCs/>
                <w:color w:val="auto"/>
                <w:spacing w:val="0"/>
                <w:sz w:val="24"/>
                <w:szCs w:val="24"/>
                <w:highlight w:val="none"/>
                <w:lang w:val="en-US" w:eastAsia="zh-CN"/>
              </w:rPr>
              <w:t>燃料消耗量：</w:t>
            </w:r>
            <w:r>
              <w:rPr>
                <w:rFonts w:hint="default" w:ascii="Times New Roman" w:hAnsi="Times New Roman" w:cs="Times New Roman"/>
                <w:bCs/>
                <w:color w:val="auto"/>
                <w:spacing w:val="0"/>
                <w:sz w:val="24"/>
                <w:szCs w:val="24"/>
                <w:highlight w:val="none"/>
                <w:lang w:val="en-US" w:eastAsia="zh-CN"/>
              </w:rPr>
              <w:t>3</w:t>
            </w:r>
            <w:r>
              <w:rPr>
                <w:rFonts w:hint="default" w:ascii="Times New Roman" w:hAnsi="Times New Roman" w:eastAsia="宋体" w:cs="Times New Roman"/>
                <w:bCs/>
                <w:color w:val="auto"/>
                <w:spacing w:val="0"/>
                <w:sz w:val="24"/>
                <w:szCs w:val="24"/>
                <w:highlight w:val="none"/>
                <w:lang w:val="en-US" w:eastAsia="zh-CN"/>
              </w:rPr>
              <w:t>6</w:t>
            </w:r>
            <w:r>
              <w:rPr>
                <w:rFonts w:hint="default" w:ascii="Times New Roman" w:hAnsi="Times New Roman" w:cs="Times New Roman"/>
                <w:bCs/>
                <w:color w:val="auto"/>
                <w:spacing w:val="0"/>
                <w:sz w:val="24"/>
                <w:szCs w:val="24"/>
                <w:highlight w:val="none"/>
                <w:lang w:val="en-US" w:eastAsia="zh-CN"/>
              </w:rPr>
              <w:t>00</w:t>
            </w:r>
            <w:r>
              <w:rPr>
                <w:rFonts w:hint="default" w:ascii="Times New Roman" w:hAnsi="Times New Roman" w:eastAsia="宋体" w:cs="Times New Roman"/>
                <w:bCs/>
                <w:color w:val="auto"/>
                <w:spacing w:val="0"/>
                <w:sz w:val="24"/>
                <w:szCs w:val="24"/>
                <w:highlight w:val="none"/>
                <w:lang w:val="en-US" w:eastAsia="zh-CN"/>
              </w:rPr>
              <w:t>000/</w:t>
            </w:r>
            <w:r>
              <w:rPr>
                <w:rFonts w:hint="default" w:ascii="Times New Roman" w:hAnsi="Times New Roman" w:cs="Times New Roman"/>
                <w:bCs/>
                <w:color w:val="auto"/>
                <w:spacing w:val="0"/>
                <w:sz w:val="24"/>
                <w:szCs w:val="24"/>
                <w:highlight w:val="none"/>
                <w:lang w:val="en-US" w:eastAsia="zh-CN"/>
              </w:rPr>
              <w:t>8</w:t>
            </w:r>
            <w:r>
              <w:rPr>
                <w:rFonts w:hint="eastAsia" w:ascii="Times New Roman" w:hAnsi="Times New Roman" w:cs="Times New Roman"/>
                <w:bCs/>
                <w:color w:val="auto"/>
                <w:spacing w:val="0"/>
                <w:sz w:val="24"/>
                <w:szCs w:val="24"/>
                <w:highlight w:val="none"/>
                <w:lang w:val="en-US" w:eastAsia="zh-CN"/>
              </w:rPr>
              <w:t>3</w:t>
            </w:r>
            <w:r>
              <w:rPr>
                <w:rFonts w:hint="default" w:ascii="Times New Roman" w:hAnsi="Times New Roman" w:cs="Times New Roman"/>
                <w:bCs/>
                <w:color w:val="auto"/>
                <w:spacing w:val="0"/>
                <w:sz w:val="24"/>
                <w:szCs w:val="24"/>
                <w:highlight w:val="none"/>
                <w:lang w:val="en-US" w:eastAsia="zh-CN"/>
              </w:rPr>
              <w:t>%/</w:t>
            </w:r>
            <w:r>
              <w:rPr>
                <w:rFonts w:hint="default" w:ascii="Times New Roman" w:hAnsi="Times New Roman" w:eastAsia="宋体" w:cs="Times New Roman"/>
                <w:bCs/>
                <w:color w:val="auto"/>
                <w:spacing w:val="0"/>
                <w:sz w:val="24"/>
                <w:szCs w:val="24"/>
                <w:highlight w:val="none"/>
                <w:lang w:val="en-US" w:eastAsia="zh-CN"/>
              </w:rPr>
              <w:t>4011.95418/1000</w:t>
            </w:r>
            <w:r>
              <w:rPr>
                <w:rFonts w:hint="eastAsia" w:ascii="宋体" w:hAnsi="宋体" w:eastAsia="宋体" w:cs="宋体"/>
                <w:bCs/>
                <w:color w:val="auto"/>
                <w:spacing w:val="0"/>
                <w:sz w:val="24"/>
                <w:szCs w:val="24"/>
                <w:highlight w:val="none"/>
                <w:lang w:val="en-US" w:eastAsia="zh-CN"/>
              </w:rPr>
              <w:t>=</w:t>
            </w:r>
            <w:r>
              <w:rPr>
                <w:rFonts w:hint="default" w:ascii="Times New Roman" w:hAnsi="Times New Roman" w:cs="Times New Roman"/>
                <w:bCs/>
                <w:color w:val="auto"/>
                <w:spacing w:val="0"/>
                <w:sz w:val="24"/>
                <w:szCs w:val="24"/>
                <w:highlight w:val="none"/>
                <w:lang w:val="en-US" w:eastAsia="zh-CN"/>
              </w:rPr>
              <w:t>1.0811t</w:t>
            </w:r>
            <w:r>
              <w:rPr>
                <w:rFonts w:hint="default" w:ascii="Times New Roman" w:hAnsi="Times New Roman" w:eastAsia="宋体" w:cs="Times New Roman"/>
                <w:bCs/>
                <w:color w:val="auto"/>
                <w:spacing w:val="0"/>
                <w:sz w:val="24"/>
                <w:szCs w:val="24"/>
                <w:highlight w:val="none"/>
                <w:lang w:val="en-US" w:eastAsia="zh-CN"/>
              </w:rPr>
              <w:t>/h</w:t>
            </w:r>
            <w:r>
              <w:rPr>
                <w:rFonts w:hint="eastAsia" w:cs="宋体"/>
                <w:bCs/>
                <w:color w:val="auto"/>
                <w:spacing w:val="0"/>
                <w:sz w:val="24"/>
                <w:szCs w:val="24"/>
                <w:highlight w:val="none"/>
                <w:lang w:val="en-US" w:eastAsia="zh-CN"/>
              </w:rPr>
              <w:t>。</w:t>
            </w:r>
          </w:p>
          <w:p w14:paraId="200A7A86">
            <w:pPr>
              <w:spacing w:line="360" w:lineRule="auto"/>
              <w:contextualSpacing/>
              <w:jc w:val="left"/>
              <w:rPr>
                <w:rFonts w:hint="default" w:ascii="宋体" w:hAnsi="宋体" w:eastAsia="宋体" w:cs="宋体"/>
                <w:bCs/>
                <w:color w:val="auto"/>
                <w:spacing w:val="0"/>
                <w:sz w:val="24"/>
                <w:szCs w:val="24"/>
                <w:highlight w:val="none"/>
                <w:lang w:val="en-US" w:eastAsia="zh-CN"/>
              </w:rPr>
            </w:pPr>
            <w:r>
              <w:rPr>
                <w:rFonts w:hint="eastAsia" w:cs="宋体"/>
                <w:bCs/>
                <w:color w:val="auto"/>
                <w:spacing w:val="0"/>
                <w:sz w:val="24"/>
                <w:szCs w:val="24"/>
                <w:highlight w:val="none"/>
                <w:lang w:val="en-US" w:eastAsia="zh-CN"/>
              </w:rPr>
              <w:t>锅炉年运行120d，每日运行</w:t>
            </w:r>
            <w:r>
              <w:rPr>
                <w:rFonts w:hint="default" w:ascii="Times New Roman" w:hAnsi="Times New Roman" w:cs="Times New Roman"/>
                <w:bCs/>
                <w:color w:val="auto"/>
                <w:spacing w:val="0"/>
                <w:sz w:val="24"/>
                <w:szCs w:val="24"/>
                <w:highlight w:val="none"/>
                <w:lang w:val="en-US" w:eastAsia="zh-CN"/>
              </w:rPr>
              <w:t>24h</w:t>
            </w:r>
            <w:r>
              <w:rPr>
                <w:rFonts w:hint="eastAsia" w:cs="宋体"/>
                <w:bCs/>
                <w:color w:val="auto"/>
                <w:spacing w:val="0"/>
                <w:sz w:val="24"/>
                <w:szCs w:val="24"/>
                <w:highlight w:val="none"/>
                <w:lang w:val="en-US" w:eastAsia="zh-CN"/>
              </w:rPr>
              <w:t>，生物质年消耗量为</w:t>
            </w:r>
            <w:r>
              <w:rPr>
                <w:rFonts w:hint="eastAsia" w:ascii="Times New Roman" w:hAnsi="Times New Roman" w:cs="Times New Roman"/>
                <w:bCs/>
                <w:color w:val="auto"/>
                <w:spacing w:val="0"/>
                <w:sz w:val="24"/>
                <w:szCs w:val="24"/>
                <w:highlight w:val="none"/>
                <w:lang w:val="en-US" w:eastAsia="zh-CN"/>
              </w:rPr>
              <w:t>3113.568</w:t>
            </w:r>
            <w:r>
              <w:rPr>
                <w:rFonts w:hint="default" w:ascii="Times New Roman" w:hAnsi="Times New Roman" w:cs="Times New Roman"/>
                <w:bCs/>
                <w:color w:val="auto"/>
                <w:spacing w:val="0"/>
                <w:sz w:val="24"/>
                <w:szCs w:val="24"/>
                <w:highlight w:val="none"/>
                <w:lang w:val="en-US" w:eastAsia="zh-CN"/>
              </w:rPr>
              <w:t>t/a</w:t>
            </w:r>
            <w:r>
              <w:rPr>
                <w:rFonts w:hint="eastAsia" w:cs="宋体"/>
                <w:bCs/>
                <w:color w:val="auto"/>
                <w:spacing w:val="0"/>
                <w:sz w:val="24"/>
                <w:szCs w:val="24"/>
                <w:highlight w:val="none"/>
                <w:lang w:val="en-US" w:eastAsia="zh-CN"/>
              </w:rPr>
              <w:t>。</w:t>
            </w:r>
          </w:p>
          <w:p w14:paraId="7315593E">
            <w:pPr>
              <w:pStyle w:val="13"/>
              <w:keepNext w:val="0"/>
              <w:keepLines w:val="0"/>
              <w:pageBreakBefore w:val="0"/>
              <w:widowControl w:val="0"/>
              <w:kinsoku/>
              <w:wordWrap/>
              <w:overflowPunct/>
              <w:topLinePunct w:val="0"/>
              <w:autoSpaceDE/>
              <w:autoSpaceDN/>
              <w:bidi w:val="0"/>
              <w:adjustRightInd/>
              <w:snapToGrid/>
              <w:spacing w:before="0" w:after="0" w:line="360" w:lineRule="auto"/>
              <w:ind w:right="0"/>
              <w:jc w:val="both"/>
              <w:textAlignment w:val="auto"/>
              <w:rPr>
                <w:rFonts w:hint="default" w:ascii="Times New Roman" w:hAnsi="Times New Roman" w:eastAsia="宋体" w:cs="Times New Roman"/>
                <w:b w:val="0"/>
                <w:bCs w:val="0"/>
                <w:color w:val="auto"/>
                <w:sz w:val="24"/>
                <w:szCs w:val="20"/>
                <w:highlight w:val="none"/>
                <w:lang w:val="en-US" w:eastAsia="zh-CN"/>
              </w:rPr>
            </w:pPr>
            <w:r>
              <w:rPr>
                <w:rFonts w:hint="eastAsia" w:cs="Times New Roman"/>
                <w:b w:val="0"/>
                <w:bCs w:val="0"/>
                <w:color w:val="auto"/>
                <w:sz w:val="24"/>
                <w:szCs w:val="20"/>
                <w:highlight w:val="none"/>
                <w:lang w:val="en-US" w:eastAsia="zh-CN"/>
              </w:rPr>
              <w:t>根据在建工程《黑龙江省鸡西市梨树区燎泰高强度着色粉和中间体项目（一期）环境影响报告书》提供的生物质成型颗粒燃料成分分析表，本项目生物质成型燃料如下：</w:t>
            </w:r>
          </w:p>
          <w:p w14:paraId="4768E057">
            <w:pPr>
              <w:pStyle w:val="13"/>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auto"/>
                <w:sz w:val="21"/>
                <w:szCs w:val="16"/>
                <w:highlight w:val="none"/>
              </w:rPr>
            </w:pPr>
            <w:r>
              <w:rPr>
                <w:rFonts w:hint="eastAsia" w:ascii="Times New Roman" w:hAnsi="Times New Roman" w:eastAsia="宋体" w:cs="Times New Roman"/>
                <w:b/>
                <w:bCs/>
                <w:color w:val="auto"/>
                <w:sz w:val="21"/>
                <w:szCs w:val="16"/>
                <w:highlight w:val="none"/>
                <w:lang w:val="en-US" w:eastAsia="zh-CN"/>
              </w:rPr>
              <w:t>表2-4生物质成型颗粒</w:t>
            </w:r>
            <w:r>
              <w:rPr>
                <w:rFonts w:hint="default" w:ascii="Times New Roman" w:hAnsi="Times New Roman" w:eastAsia="宋体" w:cs="Times New Roman"/>
                <w:b/>
                <w:bCs/>
                <w:color w:val="auto"/>
                <w:sz w:val="21"/>
                <w:szCs w:val="16"/>
                <w:highlight w:val="none"/>
                <w:lang w:eastAsia="zh-CN"/>
              </w:rPr>
              <w:t>燃料</w:t>
            </w:r>
            <w:r>
              <w:rPr>
                <w:rFonts w:hint="default" w:ascii="Times New Roman" w:hAnsi="Times New Roman" w:eastAsia="宋体" w:cs="Times New Roman"/>
                <w:b/>
                <w:bCs/>
                <w:color w:val="auto"/>
                <w:sz w:val="21"/>
                <w:szCs w:val="16"/>
                <w:highlight w:val="none"/>
              </w:rPr>
              <w:t>成分一览表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0"/>
              <w:gridCol w:w="1978"/>
              <w:gridCol w:w="1531"/>
              <w:gridCol w:w="1291"/>
              <w:gridCol w:w="1948"/>
            </w:tblGrid>
            <w:tr w14:paraId="538E5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pct"/>
                  <w:tcBorders>
                    <w:tl2br w:val="nil"/>
                    <w:tr2bl w:val="nil"/>
                  </w:tcBorders>
                  <w:noWrap w:val="0"/>
                  <w:vAlign w:val="center"/>
                </w:tcPr>
                <w:p w14:paraId="636DC7C4">
                  <w:pPr>
                    <w:pStyle w:val="117"/>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项目</w:t>
                  </w:r>
                </w:p>
              </w:tc>
              <w:tc>
                <w:tcPr>
                  <w:tcW w:w="1275" w:type="pct"/>
                  <w:tcBorders>
                    <w:tl2br w:val="nil"/>
                    <w:tr2bl w:val="nil"/>
                  </w:tcBorders>
                  <w:noWrap w:val="0"/>
                  <w:vAlign w:val="center"/>
                </w:tcPr>
                <w:p w14:paraId="22100C65">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项目</w:t>
                  </w:r>
                </w:p>
              </w:tc>
              <w:tc>
                <w:tcPr>
                  <w:tcW w:w="987" w:type="pct"/>
                  <w:tcBorders>
                    <w:tl2br w:val="nil"/>
                    <w:tr2bl w:val="nil"/>
                  </w:tcBorders>
                  <w:noWrap w:val="0"/>
                  <w:vAlign w:val="center"/>
                </w:tcPr>
                <w:p w14:paraId="0C86EF32">
                  <w:pPr>
                    <w:pStyle w:val="117"/>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符号</w:t>
                  </w:r>
                </w:p>
              </w:tc>
              <w:tc>
                <w:tcPr>
                  <w:tcW w:w="832" w:type="pct"/>
                  <w:tcBorders>
                    <w:tl2br w:val="nil"/>
                    <w:tr2bl w:val="nil"/>
                  </w:tcBorders>
                  <w:noWrap w:val="0"/>
                  <w:vAlign w:val="center"/>
                </w:tcPr>
                <w:p w14:paraId="4C99C9B2">
                  <w:pPr>
                    <w:pStyle w:val="117"/>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单位</w:t>
                  </w:r>
                </w:p>
              </w:tc>
              <w:tc>
                <w:tcPr>
                  <w:tcW w:w="1252" w:type="pct"/>
                  <w:tcBorders>
                    <w:tl2br w:val="nil"/>
                    <w:tr2bl w:val="nil"/>
                  </w:tcBorders>
                  <w:noWrap w:val="0"/>
                  <w:vAlign w:val="center"/>
                </w:tcPr>
                <w:p w14:paraId="15031E2E">
                  <w:pPr>
                    <w:pStyle w:val="117"/>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指标值</w:t>
                  </w:r>
                </w:p>
              </w:tc>
            </w:tr>
            <w:tr w14:paraId="097BA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pct"/>
                  <w:tcBorders>
                    <w:tl2br w:val="nil"/>
                    <w:tr2bl w:val="nil"/>
                  </w:tcBorders>
                  <w:noWrap w:val="0"/>
                  <w:vAlign w:val="center"/>
                </w:tcPr>
                <w:p w14:paraId="025DD73E">
                  <w:pPr>
                    <w:pStyle w:val="117"/>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eastAsia" w:ascii="Times New Roman" w:hAnsi="Times New Roman" w:eastAsia="宋体" w:cs="Times New Roman"/>
                      <w:bCs/>
                      <w:color w:val="auto"/>
                      <w:sz w:val="21"/>
                      <w:szCs w:val="21"/>
                      <w:highlight w:val="none"/>
                      <w:lang w:eastAsia="zh-CN"/>
                    </w:rPr>
                  </w:pPr>
                  <w:r>
                    <w:rPr>
                      <w:rFonts w:hint="eastAsia" w:ascii="Times New Roman" w:hAnsi="Times New Roman" w:cs="Times New Roman"/>
                      <w:bCs/>
                      <w:color w:val="auto"/>
                      <w:sz w:val="21"/>
                      <w:szCs w:val="21"/>
                      <w:highlight w:val="none"/>
                      <w:lang w:val="en-US" w:eastAsia="zh-CN"/>
                    </w:rPr>
                    <w:t>1</w:t>
                  </w:r>
                </w:p>
              </w:tc>
              <w:tc>
                <w:tcPr>
                  <w:tcW w:w="1275" w:type="pct"/>
                  <w:tcBorders>
                    <w:tl2br w:val="nil"/>
                    <w:tr2bl w:val="nil"/>
                  </w:tcBorders>
                  <w:noWrap w:val="0"/>
                  <w:vAlign w:val="center"/>
                </w:tcPr>
                <w:p w14:paraId="541725E5">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收到基低位发热量</w:t>
                  </w:r>
                </w:p>
              </w:tc>
              <w:tc>
                <w:tcPr>
                  <w:tcW w:w="987" w:type="pct"/>
                  <w:tcBorders>
                    <w:tl2br w:val="nil"/>
                    <w:tr2bl w:val="nil"/>
                  </w:tcBorders>
                  <w:noWrap w:val="0"/>
                  <w:vAlign w:val="center"/>
                </w:tcPr>
                <w:p w14:paraId="710E6D91">
                  <w:pPr>
                    <w:pStyle w:val="117"/>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Qnet,ar</w:t>
                  </w:r>
                </w:p>
              </w:tc>
              <w:tc>
                <w:tcPr>
                  <w:tcW w:w="832" w:type="pct"/>
                  <w:tcBorders>
                    <w:tl2br w:val="nil"/>
                    <w:tr2bl w:val="nil"/>
                  </w:tcBorders>
                  <w:noWrap w:val="0"/>
                  <w:vAlign w:val="center"/>
                </w:tcPr>
                <w:p w14:paraId="51F94E4E">
                  <w:pPr>
                    <w:pStyle w:val="117"/>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MJ/kg</w:t>
                  </w:r>
                </w:p>
              </w:tc>
              <w:tc>
                <w:tcPr>
                  <w:tcW w:w="1252" w:type="pct"/>
                  <w:tcBorders>
                    <w:tl2br w:val="nil"/>
                    <w:tr2bl w:val="nil"/>
                  </w:tcBorders>
                  <w:noWrap w:val="0"/>
                  <w:vAlign w:val="center"/>
                </w:tcPr>
                <w:p w14:paraId="4AD42AB6">
                  <w:pPr>
                    <w:pStyle w:val="117"/>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16.77</w:t>
                  </w:r>
                </w:p>
              </w:tc>
            </w:tr>
            <w:tr w14:paraId="23B2E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pct"/>
                  <w:tcBorders>
                    <w:tl2br w:val="nil"/>
                    <w:tr2bl w:val="nil"/>
                  </w:tcBorders>
                  <w:noWrap w:val="0"/>
                  <w:vAlign w:val="center"/>
                </w:tcPr>
                <w:p w14:paraId="7B3AB276">
                  <w:pPr>
                    <w:pStyle w:val="117"/>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2</w:t>
                  </w:r>
                </w:p>
              </w:tc>
              <w:tc>
                <w:tcPr>
                  <w:tcW w:w="1275" w:type="pct"/>
                  <w:tcBorders>
                    <w:tl2br w:val="nil"/>
                    <w:tr2bl w:val="nil"/>
                  </w:tcBorders>
                  <w:noWrap w:val="0"/>
                  <w:vAlign w:val="center"/>
                </w:tcPr>
                <w:p w14:paraId="506D9C1E">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收到基高位发热量</w:t>
                  </w:r>
                </w:p>
              </w:tc>
              <w:tc>
                <w:tcPr>
                  <w:tcW w:w="987" w:type="pct"/>
                  <w:tcBorders>
                    <w:tl2br w:val="nil"/>
                    <w:tr2bl w:val="nil"/>
                  </w:tcBorders>
                  <w:noWrap w:val="0"/>
                  <w:vAlign w:val="center"/>
                </w:tcPr>
                <w:p w14:paraId="011EB8F6">
                  <w:pPr>
                    <w:pStyle w:val="117"/>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Qnet,ar</w:t>
                  </w:r>
                </w:p>
              </w:tc>
              <w:tc>
                <w:tcPr>
                  <w:tcW w:w="832" w:type="pct"/>
                  <w:tcBorders>
                    <w:tl2br w:val="nil"/>
                    <w:tr2bl w:val="nil"/>
                  </w:tcBorders>
                  <w:noWrap w:val="0"/>
                  <w:vAlign w:val="center"/>
                </w:tcPr>
                <w:p w14:paraId="62FACC91">
                  <w:pPr>
                    <w:pStyle w:val="117"/>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MJ/kg</w:t>
                  </w:r>
                </w:p>
              </w:tc>
              <w:tc>
                <w:tcPr>
                  <w:tcW w:w="1252" w:type="pct"/>
                  <w:tcBorders>
                    <w:tl2br w:val="nil"/>
                    <w:tr2bl w:val="nil"/>
                  </w:tcBorders>
                  <w:noWrap w:val="0"/>
                  <w:vAlign w:val="center"/>
                </w:tcPr>
                <w:p w14:paraId="6ED7E5CE">
                  <w:pPr>
                    <w:pStyle w:val="117"/>
                    <w:keepNext w:val="0"/>
                    <w:keepLines w:val="0"/>
                    <w:pageBreakBefore w:val="0"/>
                    <w:widowControl w:val="0"/>
                    <w:kinsoku/>
                    <w:wordWrap/>
                    <w:overflowPunct/>
                    <w:topLinePunct w:val="0"/>
                    <w:autoSpaceDE/>
                    <w:autoSpaceDN/>
                    <w:bidi w:val="0"/>
                    <w:adjustRightInd/>
                    <w:snapToGrid/>
                    <w:spacing w:line="3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18.80</w:t>
                  </w:r>
                </w:p>
              </w:tc>
            </w:tr>
            <w:tr w14:paraId="5A45B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pct"/>
                  <w:tcBorders>
                    <w:tl2br w:val="nil"/>
                    <w:tr2bl w:val="nil"/>
                  </w:tcBorders>
                  <w:noWrap w:val="0"/>
                  <w:vAlign w:val="center"/>
                </w:tcPr>
                <w:p w14:paraId="5AC86A86">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eastAsia" w:ascii="Times New Roman" w:hAnsi="Times New Roman" w:eastAsia="宋体" w:cs="Times New Roman"/>
                      <w:b w:val="0"/>
                      <w:bCs w:val="0"/>
                      <w:i w:val="0"/>
                      <w:iCs w:val="0"/>
                      <w:color w:val="auto"/>
                      <w:kern w:val="2"/>
                      <w:sz w:val="21"/>
                      <w:szCs w:val="21"/>
                      <w:highlight w:val="none"/>
                      <w:u w:val="none" w:color="auto"/>
                      <w:lang w:val="en-US" w:eastAsia="zh-CN" w:bidi="ar-SA"/>
                    </w:rPr>
                  </w:pPr>
                  <w:r>
                    <w:rPr>
                      <w:rFonts w:hint="eastAsia" w:ascii="Times New Roman" w:hAnsi="Times New Roman" w:cs="Times New Roman"/>
                      <w:b w:val="0"/>
                      <w:bCs w:val="0"/>
                      <w:i w:val="0"/>
                      <w:iCs w:val="0"/>
                      <w:color w:val="auto"/>
                      <w:sz w:val="21"/>
                      <w:szCs w:val="21"/>
                      <w:highlight w:val="none"/>
                      <w:u w:val="none" w:color="auto"/>
                      <w:lang w:val="en-US" w:eastAsia="zh-CN"/>
                    </w:rPr>
                    <w:t>3</w:t>
                  </w:r>
                </w:p>
              </w:tc>
              <w:tc>
                <w:tcPr>
                  <w:tcW w:w="1275" w:type="pct"/>
                  <w:tcBorders>
                    <w:tl2br w:val="nil"/>
                    <w:tr2bl w:val="nil"/>
                  </w:tcBorders>
                  <w:noWrap w:val="0"/>
                  <w:vAlign w:val="center"/>
                </w:tcPr>
                <w:p w14:paraId="27C2D437">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rPr>
                  </w:pPr>
                  <w:r>
                    <w:rPr>
                      <w:rFonts w:hint="eastAsia" w:ascii="Times New Roman" w:hAnsi="Times New Roman" w:cs="Times New Roman"/>
                      <w:b w:val="0"/>
                      <w:bCs w:val="0"/>
                      <w:i w:val="0"/>
                      <w:iCs w:val="0"/>
                      <w:color w:val="auto"/>
                      <w:sz w:val="21"/>
                      <w:szCs w:val="21"/>
                      <w:highlight w:val="none"/>
                      <w:u w:val="none" w:color="auto"/>
                      <w:lang w:val="en-US" w:eastAsia="zh-CN"/>
                    </w:rPr>
                    <w:t>收到基</w:t>
                  </w:r>
                  <w:r>
                    <w:rPr>
                      <w:rFonts w:hint="default" w:ascii="Times New Roman" w:hAnsi="Times New Roman" w:cs="Times New Roman"/>
                      <w:b w:val="0"/>
                      <w:bCs w:val="0"/>
                      <w:i w:val="0"/>
                      <w:iCs w:val="0"/>
                      <w:color w:val="auto"/>
                      <w:sz w:val="21"/>
                      <w:szCs w:val="21"/>
                      <w:highlight w:val="none"/>
                      <w:u w:val="none" w:color="auto"/>
                    </w:rPr>
                    <w:t>全水分</w:t>
                  </w:r>
                </w:p>
              </w:tc>
              <w:tc>
                <w:tcPr>
                  <w:tcW w:w="987" w:type="pct"/>
                  <w:tcBorders>
                    <w:tl2br w:val="nil"/>
                    <w:tr2bl w:val="nil"/>
                  </w:tcBorders>
                  <w:noWrap w:val="0"/>
                  <w:vAlign w:val="center"/>
                </w:tcPr>
                <w:p w14:paraId="68885267">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default" w:ascii="Times New Roman" w:hAnsi="Times New Roman" w:cs="Times New Roman"/>
                      <w:b w:val="0"/>
                      <w:bCs w:val="0"/>
                      <w:i w:val="0"/>
                      <w:iCs w:val="0"/>
                      <w:color w:val="auto"/>
                      <w:sz w:val="21"/>
                      <w:szCs w:val="21"/>
                      <w:highlight w:val="none"/>
                      <w:u w:val="none" w:color="auto"/>
                    </w:rPr>
                    <w:t>Mar</w:t>
                  </w:r>
                </w:p>
              </w:tc>
              <w:tc>
                <w:tcPr>
                  <w:tcW w:w="832" w:type="pct"/>
                  <w:tcBorders>
                    <w:tl2br w:val="nil"/>
                    <w:tr2bl w:val="nil"/>
                  </w:tcBorders>
                  <w:noWrap w:val="0"/>
                  <w:vAlign w:val="center"/>
                </w:tcPr>
                <w:p w14:paraId="494F3371">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default" w:ascii="Times New Roman" w:hAnsi="Times New Roman" w:cs="Times New Roman"/>
                      <w:b w:val="0"/>
                      <w:bCs w:val="0"/>
                      <w:i w:val="0"/>
                      <w:iCs w:val="0"/>
                      <w:color w:val="auto"/>
                      <w:sz w:val="21"/>
                      <w:szCs w:val="21"/>
                      <w:highlight w:val="none"/>
                      <w:u w:val="none" w:color="auto"/>
                    </w:rPr>
                    <w:t>%</w:t>
                  </w:r>
                </w:p>
              </w:tc>
              <w:tc>
                <w:tcPr>
                  <w:tcW w:w="1252" w:type="pct"/>
                  <w:tcBorders>
                    <w:tl2br w:val="nil"/>
                    <w:tr2bl w:val="nil"/>
                  </w:tcBorders>
                  <w:noWrap w:val="0"/>
                  <w:vAlign w:val="center"/>
                </w:tcPr>
                <w:p w14:paraId="3EEFA325">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default" w:ascii="Times New Roman" w:hAnsi="Times New Roman" w:cs="Times New Roman"/>
                      <w:b w:val="0"/>
                      <w:bCs w:val="0"/>
                      <w:i w:val="0"/>
                      <w:iCs w:val="0"/>
                      <w:color w:val="auto"/>
                      <w:kern w:val="2"/>
                      <w:sz w:val="21"/>
                      <w:szCs w:val="21"/>
                      <w:highlight w:val="none"/>
                      <w:u w:val="none" w:color="auto"/>
                      <w:lang w:val="en-US" w:eastAsia="zh-CN" w:bidi="ar-SA"/>
                    </w:rPr>
                    <w:t>26.7</w:t>
                  </w:r>
                </w:p>
              </w:tc>
            </w:tr>
            <w:tr w14:paraId="4582B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pct"/>
                  <w:tcBorders>
                    <w:tl2br w:val="nil"/>
                    <w:tr2bl w:val="nil"/>
                  </w:tcBorders>
                  <w:noWrap w:val="0"/>
                  <w:vAlign w:val="center"/>
                </w:tcPr>
                <w:p w14:paraId="24C22217">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eastAsia" w:ascii="Times New Roman" w:hAnsi="Times New Roman" w:cs="Times New Roman"/>
                      <w:b w:val="0"/>
                      <w:bCs w:val="0"/>
                      <w:i w:val="0"/>
                      <w:iCs w:val="0"/>
                      <w:color w:val="auto"/>
                      <w:sz w:val="21"/>
                      <w:szCs w:val="21"/>
                      <w:highlight w:val="none"/>
                      <w:u w:val="none" w:color="auto"/>
                      <w:lang w:val="en-US" w:eastAsia="zh-CN"/>
                    </w:rPr>
                    <w:t>4</w:t>
                  </w:r>
                </w:p>
              </w:tc>
              <w:tc>
                <w:tcPr>
                  <w:tcW w:w="1275" w:type="pct"/>
                  <w:tcBorders>
                    <w:tl2br w:val="nil"/>
                    <w:tr2bl w:val="nil"/>
                  </w:tcBorders>
                  <w:noWrap w:val="0"/>
                  <w:vAlign w:val="center"/>
                </w:tcPr>
                <w:p w14:paraId="059801B0">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lang w:eastAsia="zh-CN"/>
                    </w:rPr>
                  </w:pPr>
                  <w:r>
                    <w:rPr>
                      <w:rFonts w:hint="default" w:ascii="Times New Roman" w:hAnsi="Times New Roman" w:cs="Times New Roman"/>
                      <w:b w:val="0"/>
                      <w:bCs w:val="0"/>
                      <w:i w:val="0"/>
                      <w:iCs w:val="0"/>
                      <w:color w:val="auto"/>
                      <w:sz w:val="21"/>
                      <w:szCs w:val="21"/>
                      <w:highlight w:val="none"/>
                      <w:u w:val="none" w:color="auto"/>
                      <w:lang w:eastAsia="zh-CN"/>
                    </w:rPr>
                    <w:t>干燥基水分</w:t>
                  </w:r>
                </w:p>
              </w:tc>
              <w:tc>
                <w:tcPr>
                  <w:tcW w:w="987" w:type="pct"/>
                  <w:tcBorders>
                    <w:tl2br w:val="nil"/>
                    <w:tr2bl w:val="nil"/>
                  </w:tcBorders>
                  <w:noWrap w:val="0"/>
                  <w:vAlign w:val="center"/>
                </w:tcPr>
                <w:p w14:paraId="32292142">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default" w:ascii="Times New Roman" w:hAnsi="Times New Roman" w:cs="Times New Roman"/>
                      <w:b w:val="0"/>
                      <w:bCs w:val="0"/>
                      <w:i w:val="0"/>
                      <w:iCs w:val="0"/>
                      <w:color w:val="auto"/>
                      <w:sz w:val="21"/>
                      <w:szCs w:val="21"/>
                      <w:highlight w:val="none"/>
                      <w:u w:val="none" w:color="auto"/>
                    </w:rPr>
                    <w:t>Mad</w:t>
                  </w:r>
                </w:p>
              </w:tc>
              <w:tc>
                <w:tcPr>
                  <w:tcW w:w="832" w:type="pct"/>
                  <w:tcBorders>
                    <w:tl2br w:val="nil"/>
                    <w:tr2bl w:val="nil"/>
                  </w:tcBorders>
                  <w:noWrap w:val="0"/>
                  <w:vAlign w:val="center"/>
                </w:tcPr>
                <w:p w14:paraId="383C619F">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default" w:ascii="Times New Roman" w:hAnsi="Times New Roman" w:cs="Times New Roman"/>
                      <w:b w:val="0"/>
                      <w:bCs w:val="0"/>
                      <w:i w:val="0"/>
                      <w:iCs w:val="0"/>
                      <w:color w:val="auto"/>
                      <w:sz w:val="21"/>
                      <w:szCs w:val="21"/>
                      <w:highlight w:val="none"/>
                      <w:u w:val="none" w:color="auto"/>
                    </w:rPr>
                    <w:t>%</w:t>
                  </w:r>
                </w:p>
              </w:tc>
              <w:tc>
                <w:tcPr>
                  <w:tcW w:w="1252" w:type="pct"/>
                  <w:tcBorders>
                    <w:tl2br w:val="nil"/>
                    <w:tr2bl w:val="nil"/>
                  </w:tcBorders>
                  <w:noWrap w:val="0"/>
                  <w:vAlign w:val="center"/>
                </w:tcPr>
                <w:p w14:paraId="32F155AE">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default" w:ascii="Times New Roman" w:hAnsi="Times New Roman" w:cs="Times New Roman"/>
                      <w:b w:val="0"/>
                      <w:bCs w:val="0"/>
                      <w:i w:val="0"/>
                      <w:iCs w:val="0"/>
                      <w:color w:val="auto"/>
                      <w:kern w:val="2"/>
                      <w:sz w:val="21"/>
                      <w:szCs w:val="21"/>
                      <w:highlight w:val="none"/>
                      <w:u w:val="none" w:color="auto"/>
                      <w:lang w:val="en-US" w:eastAsia="zh-CN" w:bidi="ar-SA"/>
                    </w:rPr>
                    <w:t>5.24</w:t>
                  </w:r>
                </w:p>
              </w:tc>
            </w:tr>
            <w:tr w14:paraId="798A6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1" w:type="pct"/>
                  <w:tcBorders>
                    <w:tl2br w:val="nil"/>
                    <w:tr2bl w:val="nil"/>
                  </w:tcBorders>
                  <w:noWrap w:val="0"/>
                  <w:vAlign w:val="center"/>
                </w:tcPr>
                <w:p w14:paraId="0A87DF56">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eastAsia" w:ascii="Times New Roman" w:hAnsi="Times New Roman" w:cs="Times New Roman"/>
                      <w:b w:val="0"/>
                      <w:bCs w:val="0"/>
                      <w:i w:val="0"/>
                      <w:iCs w:val="0"/>
                      <w:color w:val="auto"/>
                      <w:sz w:val="21"/>
                      <w:szCs w:val="21"/>
                      <w:highlight w:val="none"/>
                      <w:u w:val="none" w:color="auto"/>
                      <w:lang w:val="en-US" w:eastAsia="zh-CN"/>
                    </w:rPr>
                    <w:t>5</w:t>
                  </w:r>
                </w:p>
              </w:tc>
              <w:tc>
                <w:tcPr>
                  <w:tcW w:w="1275" w:type="pct"/>
                  <w:tcBorders>
                    <w:tl2br w:val="nil"/>
                    <w:tr2bl w:val="nil"/>
                  </w:tcBorders>
                  <w:noWrap w:val="0"/>
                  <w:vAlign w:val="center"/>
                </w:tcPr>
                <w:p w14:paraId="69A04A3B">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lang w:eastAsia="zh-CN"/>
                    </w:rPr>
                  </w:pPr>
                  <w:r>
                    <w:rPr>
                      <w:rFonts w:hint="default" w:ascii="Times New Roman" w:hAnsi="Times New Roman" w:cs="Times New Roman"/>
                      <w:b w:val="0"/>
                      <w:bCs w:val="0"/>
                      <w:i w:val="0"/>
                      <w:iCs w:val="0"/>
                      <w:color w:val="auto"/>
                      <w:sz w:val="21"/>
                      <w:szCs w:val="21"/>
                      <w:highlight w:val="none"/>
                      <w:u w:val="none" w:color="auto"/>
                      <w:lang w:eastAsia="zh-CN"/>
                    </w:rPr>
                    <w:t>干燥基</w:t>
                  </w:r>
                  <w:r>
                    <w:rPr>
                      <w:rFonts w:hint="default" w:ascii="Times New Roman" w:hAnsi="Times New Roman" w:cs="Times New Roman"/>
                      <w:b w:val="0"/>
                      <w:bCs w:val="0"/>
                      <w:i w:val="0"/>
                      <w:iCs w:val="0"/>
                      <w:color w:val="auto"/>
                      <w:sz w:val="21"/>
                      <w:szCs w:val="21"/>
                      <w:highlight w:val="none"/>
                      <w:u w:val="none" w:color="auto"/>
                    </w:rPr>
                    <w:t>灰分</w:t>
                  </w:r>
                </w:p>
              </w:tc>
              <w:tc>
                <w:tcPr>
                  <w:tcW w:w="987" w:type="pct"/>
                  <w:tcBorders>
                    <w:tl2br w:val="nil"/>
                    <w:tr2bl w:val="nil"/>
                  </w:tcBorders>
                  <w:noWrap w:val="0"/>
                  <w:vAlign w:val="center"/>
                </w:tcPr>
                <w:p w14:paraId="5EEAB4E3">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eastAsia="宋体" w:cs="Times New Roman"/>
                      <w:b w:val="0"/>
                      <w:bCs w:val="0"/>
                      <w:i w:val="0"/>
                      <w:iCs w:val="0"/>
                      <w:color w:val="auto"/>
                      <w:kern w:val="2"/>
                      <w:sz w:val="21"/>
                      <w:szCs w:val="21"/>
                      <w:highlight w:val="none"/>
                      <w:u w:val="none" w:color="auto"/>
                      <w:lang w:val="en-US" w:eastAsia="zh-CN" w:bidi="ar-SA"/>
                    </w:rPr>
                  </w:pPr>
                  <w:r>
                    <w:rPr>
                      <w:rFonts w:hint="default" w:ascii="Times New Roman" w:hAnsi="Times New Roman" w:cs="Times New Roman"/>
                      <w:b w:val="0"/>
                      <w:bCs w:val="0"/>
                      <w:i w:val="0"/>
                      <w:iCs w:val="0"/>
                      <w:color w:val="auto"/>
                      <w:sz w:val="21"/>
                      <w:szCs w:val="21"/>
                      <w:highlight w:val="none"/>
                      <w:u w:val="none" w:color="auto"/>
                    </w:rPr>
                    <w:t>Aa</w:t>
                  </w:r>
                  <w:r>
                    <w:rPr>
                      <w:rFonts w:hint="default" w:ascii="Times New Roman" w:hAnsi="Times New Roman" w:cs="Times New Roman"/>
                      <w:b w:val="0"/>
                      <w:bCs w:val="0"/>
                      <w:i w:val="0"/>
                      <w:iCs w:val="0"/>
                      <w:color w:val="auto"/>
                      <w:sz w:val="21"/>
                      <w:szCs w:val="21"/>
                      <w:highlight w:val="none"/>
                      <w:u w:val="none" w:color="auto"/>
                      <w:lang w:val="en-US" w:eastAsia="zh-CN"/>
                    </w:rPr>
                    <w:t>d</w:t>
                  </w:r>
                </w:p>
              </w:tc>
              <w:tc>
                <w:tcPr>
                  <w:tcW w:w="832" w:type="pct"/>
                  <w:tcBorders>
                    <w:tl2br w:val="nil"/>
                    <w:tr2bl w:val="nil"/>
                  </w:tcBorders>
                  <w:noWrap w:val="0"/>
                  <w:vAlign w:val="center"/>
                </w:tcPr>
                <w:p w14:paraId="254834CA">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default" w:ascii="Times New Roman" w:hAnsi="Times New Roman" w:cs="Times New Roman"/>
                      <w:b w:val="0"/>
                      <w:bCs w:val="0"/>
                      <w:i w:val="0"/>
                      <w:iCs w:val="0"/>
                      <w:color w:val="auto"/>
                      <w:sz w:val="21"/>
                      <w:szCs w:val="21"/>
                      <w:highlight w:val="none"/>
                      <w:u w:val="none" w:color="auto"/>
                    </w:rPr>
                    <w:t>%</w:t>
                  </w:r>
                </w:p>
              </w:tc>
              <w:tc>
                <w:tcPr>
                  <w:tcW w:w="1252" w:type="pct"/>
                  <w:tcBorders>
                    <w:tl2br w:val="nil"/>
                    <w:tr2bl w:val="nil"/>
                  </w:tcBorders>
                  <w:noWrap w:val="0"/>
                  <w:vAlign w:val="center"/>
                </w:tcPr>
                <w:p w14:paraId="5D112E84">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eastAsia="宋体" w:cs="Times New Roman"/>
                      <w:b w:val="0"/>
                      <w:bCs w:val="0"/>
                      <w:i w:val="0"/>
                      <w:iCs w:val="0"/>
                      <w:color w:val="auto"/>
                      <w:kern w:val="2"/>
                      <w:sz w:val="21"/>
                      <w:szCs w:val="21"/>
                      <w:highlight w:val="none"/>
                      <w:u w:val="none" w:color="auto"/>
                      <w:lang w:val="en-US" w:eastAsia="zh-CN" w:bidi="ar-SA"/>
                    </w:rPr>
                  </w:pPr>
                  <w:r>
                    <w:rPr>
                      <w:rFonts w:hint="default" w:ascii="Times New Roman" w:hAnsi="Times New Roman" w:eastAsia="宋体" w:cs="Times New Roman"/>
                      <w:b w:val="0"/>
                      <w:bCs w:val="0"/>
                      <w:i w:val="0"/>
                      <w:iCs w:val="0"/>
                      <w:color w:val="auto"/>
                      <w:kern w:val="2"/>
                      <w:sz w:val="21"/>
                      <w:szCs w:val="21"/>
                      <w:highlight w:val="none"/>
                      <w:u w:val="none" w:color="auto"/>
                      <w:lang w:val="en-US" w:eastAsia="zh-CN" w:bidi="ar-SA"/>
                    </w:rPr>
                    <w:t>6.46</w:t>
                  </w:r>
                </w:p>
              </w:tc>
            </w:tr>
            <w:tr w14:paraId="4F52A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pct"/>
                  <w:tcBorders>
                    <w:tl2br w:val="nil"/>
                    <w:tr2bl w:val="nil"/>
                  </w:tcBorders>
                  <w:noWrap w:val="0"/>
                  <w:vAlign w:val="center"/>
                </w:tcPr>
                <w:p w14:paraId="3FE0C375">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eastAsia" w:ascii="Times New Roman" w:hAnsi="Times New Roman" w:cs="Times New Roman"/>
                      <w:b w:val="0"/>
                      <w:bCs w:val="0"/>
                      <w:i w:val="0"/>
                      <w:iCs w:val="0"/>
                      <w:color w:val="auto"/>
                      <w:sz w:val="21"/>
                      <w:szCs w:val="21"/>
                      <w:highlight w:val="none"/>
                      <w:u w:val="none" w:color="auto"/>
                      <w:lang w:val="en-US" w:eastAsia="zh-CN"/>
                    </w:rPr>
                    <w:t>6</w:t>
                  </w:r>
                </w:p>
              </w:tc>
              <w:tc>
                <w:tcPr>
                  <w:tcW w:w="1275" w:type="pct"/>
                  <w:tcBorders>
                    <w:tl2br w:val="nil"/>
                    <w:tr2bl w:val="nil"/>
                  </w:tcBorders>
                  <w:noWrap w:val="0"/>
                  <w:vAlign w:val="center"/>
                </w:tcPr>
                <w:p w14:paraId="2E013CD0">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lang w:eastAsia="zh-CN"/>
                    </w:rPr>
                  </w:pPr>
                  <w:r>
                    <w:rPr>
                      <w:rFonts w:hint="default" w:ascii="Times New Roman" w:hAnsi="Times New Roman" w:cs="Times New Roman"/>
                      <w:b w:val="0"/>
                      <w:bCs w:val="0"/>
                      <w:i w:val="0"/>
                      <w:iCs w:val="0"/>
                      <w:color w:val="auto"/>
                      <w:sz w:val="21"/>
                      <w:szCs w:val="21"/>
                      <w:highlight w:val="none"/>
                      <w:u w:val="none" w:color="auto"/>
                      <w:lang w:eastAsia="zh-CN"/>
                    </w:rPr>
                    <w:t>干燥基</w:t>
                  </w:r>
                  <w:r>
                    <w:rPr>
                      <w:rFonts w:hint="default" w:ascii="Times New Roman" w:hAnsi="Times New Roman" w:cs="Times New Roman"/>
                      <w:b w:val="0"/>
                      <w:bCs w:val="0"/>
                      <w:i w:val="0"/>
                      <w:iCs w:val="0"/>
                      <w:color w:val="auto"/>
                      <w:sz w:val="21"/>
                      <w:szCs w:val="21"/>
                      <w:highlight w:val="none"/>
                      <w:u w:val="none" w:color="auto"/>
                    </w:rPr>
                    <w:t>挥发分</w:t>
                  </w:r>
                </w:p>
              </w:tc>
              <w:tc>
                <w:tcPr>
                  <w:tcW w:w="987" w:type="pct"/>
                  <w:tcBorders>
                    <w:tl2br w:val="nil"/>
                    <w:tr2bl w:val="nil"/>
                  </w:tcBorders>
                  <w:noWrap w:val="0"/>
                  <w:vAlign w:val="center"/>
                </w:tcPr>
                <w:p w14:paraId="7079A19A">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eastAsia="宋体" w:cs="Times New Roman"/>
                      <w:b w:val="0"/>
                      <w:bCs w:val="0"/>
                      <w:i w:val="0"/>
                      <w:iCs w:val="0"/>
                      <w:color w:val="auto"/>
                      <w:kern w:val="2"/>
                      <w:sz w:val="21"/>
                      <w:szCs w:val="21"/>
                      <w:highlight w:val="none"/>
                      <w:u w:val="none" w:color="auto"/>
                      <w:lang w:val="en-US" w:eastAsia="zh-CN" w:bidi="ar-SA"/>
                    </w:rPr>
                  </w:pPr>
                  <w:r>
                    <w:rPr>
                      <w:rFonts w:hint="default" w:ascii="Times New Roman" w:hAnsi="Times New Roman" w:cs="Times New Roman"/>
                      <w:b w:val="0"/>
                      <w:bCs w:val="0"/>
                      <w:i w:val="0"/>
                      <w:iCs w:val="0"/>
                      <w:color w:val="auto"/>
                      <w:sz w:val="21"/>
                      <w:szCs w:val="21"/>
                      <w:highlight w:val="none"/>
                      <w:u w:val="none" w:color="auto"/>
                    </w:rPr>
                    <w:t>V</w:t>
                  </w:r>
                  <w:r>
                    <w:rPr>
                      <w:rFonts w:hint="default" w:ascii="Times New Roman" w:hAnsi="Times New Roman" w:cs="Times New Roman"/>
                      <w:b w:val="0"/>
                      <w:bCs w:val="0"/>
                      <w:i w:val="0"/>
                      <w:iCs w:val="0"/>
                      <w:color w:val="auto"/>
                      <w:sz w:val="21"/>
                      <w:szCs w:val="21"/>
                      <w:highlight w:val="none"/>
                      <w:u w:val="none" w:color="auto"/>
                      <w:lang w:val="en-US" w:eastAsia="zh-CN"/>
                    </w:rPr>
                    <w:t>ad</w:t>
                  </w:r>
                </w:p>
              </w:tc>
              <w:tc>
                <w:tcPr>
                  <w:tcW w:w="832" w:type="pct"/>
                  <w:tcBorders>
                    <w:tl2br w:val="nil"/>
                    <w:tr2bl w:val="nil"/>
                  </w:tcBorders>
                  <w:noWrap w:val="0"/>
                  <w:vAlign w:val="center"/>
                </w:tcPr>
                <w:p w14:paraId="1FA0AEB6">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default" w:ascii="Times New Roman" w:hAnsi="Times New Roman" w:cs="Times New Roman"/>
                      <w:b w:val="0"/>
                      <w:bCs w:val="0"/>
                      <w:i w:val="0"/>
                      <w:iCs w:val="0"/>
                      <w:color w:val="auto"/>
                      <w:sz w:val="21"/>
                      <w:szCs w:val="21"/>
                      <w:highlight w:val="none"/>
                      <w:u w:val="none" w:color="auto"/>
                    </w:rPr>
                    <w:t>%</w:t>
                  </w:r>
                </w:p>
              </w:tc>
              <w:tc>
                <w:tcPr>
                  <w:tcW w:w="1252" w:type="pct"/>
                  <w:tcBorders>
                    <w:tl2br w:val="nil"/>
                    <w:tr2bl w:val="nil"/>
                  </w:tcBorders>
                  <w:noWrap w:val="0"/>
                  <w:vAlign w:val="center"/>
                </w:tcPr>
                <w:p w14:paraId="1B1474AE">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default" w:ascii="Times New Roman" w:hAnsi="Times New Roman" w:cs="Times New Roman"/>
                      <w:b w:val="0"/>
                      <w:bCs w:val="0"/>
                      <w:i w:val="0"/>
                      <w:iCs w:val="0"/>
                      <w:color w:val="auto"/>
                      <w:kern w:val="2"/>
                      <w:sz w:val="21"/>
                      <w:szCs w:val="21"/>
                      <w:highlight w:val="none"/>
                      <w:u w:val="none" w:color="auto"/>
                      <w:lang w:val="en-US" w:eastAsia="zh-CN" w:bidi="ar-SA"/>
                    </w:rPr>
                    <w:t>72.41</w:t>
                  </w:r>
                </w:p>
              </w:tc>
            </w:tr>
            <w:tr w14:paraId="27FDF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pct"/>
                  <w:tcBorders>
                    <w:tl2br w:val="nil"/>
                    <w:tr2bl w:val="nil"/>
                  </w:tcBorders>
                  <w:noWrap w:val="0"/>
                  <w:vAlign w:val="center"/>
                </w:tcPr>
                <w:p w14:paraId="13F000F8">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eastAsia" w:ascii="Times New Roman" w:hAnsi="Times New Roman" w:cs="Times New Roman"/>
                      <w:b w:val="0"/>
                      <w:bCs w:val="0"/>
                      <w:i w:val="0"/>
                      <w:iCs w:val="0"/>
                      <w:color w:val="auto"/>
                      <w:sz w:val="21"/>
                      <w:szCs w:val="21"/>
                      <w:highlight w:val="none"/>
                      <w:u w:val="none" w:color="auto"/>
                      <w:lang w:val="en-US" w:eastAsia="zh-CN"/>
                    </w:rPr>
                  </w:pPr>
                  <w:r>
                    <w:rPr>
                      <w:rFonts w:hint="eastAsia" w:ascii="Times New Roman" w:hAnsi="Times New Roman" w:cs="Times New Roman"/>
                      <w:b w:val="0"/>
                      <w:bCs w:val="0"/>
                      <w:i w:val="0"/>
                      <w:iCs w:val="0"/>
                      <w:color w:val="auto"/>
                      <w:sz w:val="21"/>
                      <w:szCs w:val="21"/>
                      <w:highlight w:val="none"/>
                      <w:u w:val="none" w:color="auto"/>
                      <w:lang w:val="en-US" w:eastAsia="zh-CN"/>
                    </w:rPr>
                    <w:t>7</w:t>
                  </w:r>
                </w:p>
              </w:tc>
              <w:tc>
                <w:tcPr>
                  <w:tcW w:w="1275" w:type="pct"/>
                  <w:tcBorders>
                    <w:tl2br w:val="nil"/>
                    <w:tr2bl w:val="nil"/>
                  </w:tcBorders>
                  <w:noWrap w:val="0"/>
                  <w:vAlign w:val="center"/>
                </w:tcPr>
                <w:p w14:paraId="5498EEBE">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lang w:eastAsia="zh-CN"/>
                    </w:rPr>
                  </w:pPr>
                  <w:r>
                    <w:rPr>
                      <w:rFonts w:hint="default" w:ascii="Times New Roman" w:hAnsi="Times New Roman" w:cs="Times New Roman"/>
                      <w:b w:val="0"/>
                      <w:bCs w:val="0"/>
                      <w:i w:val="0"/>
                      <w:iCs w:val="0"/>
                      <w:color w:val="auto"/>
                      <w:sz w:val="21"/>
                      <w:szCs w:val="21"/>
                      <w:highlight w:val="none"/>
                      <w:u w:val="none" w:color="auto"/>
                      <w:lang w:eastAsia="zh-CN"/>
                    </w:rPr>
                    <w:t>干燥基</w:t>
                  </w:r>
                  <w:r>
                    <w:rPr>
                      <w:rFonts w:hint="default" w:ascii="Times New Roman" w:hAnsi="Times New Roman" w:cs="Times New Roman"/>
                      <w:b w:val="0"/>
                      <w:bCs w:val="0"/>
                      <w:i w:val="0"/>
                      <w:iCs w:val="0"/>
                      <w:color w:val="auto"/>
                      <w:sz w:val="21"/>
                      <w:szCs w:val="21"/>
                      <w:highlight w:val="none"/>
                      <w:u w:val="none" w:color="auto"/>
                    </w:rPr>
                    <w:t>挥发分</w:t>
                  </w:r>
                </w:p>
              </w:tc>
              <w:tc>
                <w:tcPr>
                  <w:tcW w:w="987" w:type="pct"/>
                  <w:tcBorders>
                    <w:tl2br w:val="nil"/>
                    <w:tr2bl w:val="nil"/>
                  </w:tcBorders>
                  <w:noWrap w:val="0"/>
                  <w:vAlign w:val="center"/>
                </w:tcPr>
                <w:p w14:paraId="3B1BDB96">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rPr>
                  </w:pPr>
                  <w:r>
                    <w:rPr>
                      <w:rFonts w:hint="default" w:ascii="Times New Roman" w:hAnsi="Times New Roman" w:cs="Times New Roman"/>
                      <w:b w:val="0"/>
                      <w:bCs w:val="0"/>
                      <w:i w:val="0"/>
                      <w:iCs w:val="0"/>
                      <w:color w:val="auto"/>
                      <w:sz w:val="21"/>
                      <w:szCs w:val="21"/>
                      <w:highlight w:val="none"/>
                      <w:u w:val="none" w:color="auto"/>
                    </w:rPr>
                    <w:t>V</w:t>
                  </w:r>
                  <w:r>
                    <w:rPr>
                      <w:rFonts w:hint="default" w:ascii="Times New Roman" w:hAnsi="Times New Roman" w:cs="Times New Roman"/>
                      <w:b w:val="0"/>
                      <w:bCs w:val="0"/>
                      <w:i w:val="0"/>
                      <w:iCs w:val="0"/>
                      <w:color w:val="auto"/>
                      <w:sz w:val="21"/>
                      <w:szCs w:val="21"/>
                      <w:highlight w:val="none"/>
                      <w:u w:val="none" w:color="auto"/>
                      <w:lang w:val="en-US" w:eastAsia="zh-CN"/>
                    </w:rPr>
                    <w:t>ad</w:t>
                  </w:r>
                </w:p>
              </w:tc>
              <w:tc>
                <w:tcPr>
                  <w:tcW w:w="832" w:type="pct"/>
                  <w:tcBorders>
                    <w:tl2br w:val="nil"/>
                    <w:tr2bl w:val="nil"/>
                  </w:tcBorders>
                  <w:noWrap w:val="0"/>
                  <w:vAlign w:val="center"/>
                </w:tcPr>
                <w:p w14:paraId="74B75A6E">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rPr>
                  </w:pPr>
                  <w:r>
                    <w:rPr>
                      <w:rFonts w:hint="default" w:ascii="Times New Roman" w:hAnsi="Times New Roman" w:cs="Times New Roman"/>
                      <w:b w:val="0"/>
                      <w:bCs w:val="0"/>
                      <w:i w:val="0"/>
                      <w:iCs w:val="0"/>
                      <w:color w:val="auto"/>
                      <w:sz w:val="21"/>
                      <w:szCs w:val="21"/>
                      <w:highlight w:val="none"/>
                      <w:u w:val="none" w:color="auto"/>
                    </w:rPr>
                    <w:t>%</w:t>
                  </w:r>
                </w:p>
              </w:tc>
              <w:tc>
                <w:tcPr>
                  <w:tcW w:w="1252" w:type="pct"/>
                  <w:tcBorders>
                    <w:tl2br w:val="nil"/>
                    <w:tr2bl w:val="nil"/>
                  </w:tcBorders>
                  <w:noWrap w:val="0"/>
                  <w:vAlign w:val="center"/>
                </w:tcPr>
                <w:p w14:paraId="781CE36D">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default" w:ascii="Times New Roman" w:hAnsi="Times New Roman" w:cs="Times New Roman"/>
                      <w:b w:val="0"/>
                      <w:bCs w:val="0"/>
                      <w:i w:val="0"/>
                      <w:iCs w:val="0"/>
                      <w:color w:val="auto"/>
                      <w:kern w:val="2"/>
                      <w:sz w:val="21"/>
                      <w:szCs w:val="21"/>
                      <w:highlight w:val="none"/>
                      <w:u w:val="none" w:color="auto"/>
                      <w:lang w:val="en-US" w:eastAsia="zh-CN" w:bidi="ar-SA"/>
                    </w:rPr>
                    <w:t>72.41</w:t>
                  </w:r>
                </w:p>
              </w:tc>
            </w:tr>
            <w:tr w14:paraId="61555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pct"/>
                  <w:tcBorders>
                    <w:tl2br w:val="nil"/>
                    <w:tr2bl w:val="nil"/>
                  </w:tcBorders>
                  <w:noWrap w:val="0"/>
                  <w:vAlign w:val="center"/>
                </w:tcPr>
                <w:p w14:paraId="08DB6BDB">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lang w:val="en-US" w:eastAsia="zh-CN"/>
                    </w:rPr>
                  </w:pPr>
                  <w:r>
                    <w:rPr>
                      <w:rFonts w:hint="eastAsia" w:ascii="Times New Roman" w:hAnsi="Times New Roman" w:cs="Times New Roman"/>
                      <w:b w:val="0"/>
                      <w:bCs w:val="0"/>
                      <w:i w:val="0"/>
                      <w:iCs w:val="0"/>
                      <w:color w:val="auto"/>
                      <w:sz w:val="21"/>
                      <w:szCs w:val="21"/>
                      <w:highlight w:val="none"/>
                      <w:u w:val="none" w:color="auto"/>
                      <w:lang w:val="en-US" w:eastAsia="zh-CN"/>
                    </w:rPr>
                    <w:t>8</w:t>
                  </w:r>
                </w:p>
              </w:tc>
              <w:tc>
                <w:tcPr>
                  <w:tcW w:w="1275" w:type="pct"/>
                  <w:tcBorders>
                    <w:tl2br w:val="nil"/>
                    <w:tr2bl w:val="nil"/>
                  </w:tcBorders>
                  <w:noWrap w:val="0"/>
                  <w:vAlign w:val="center"/>
                </w:tcPr>
                <w:p w14:paraId="27A07BA7">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lang w:val="en-US" w:eastAsia="zh-CN"/>
                    </w:rPr>
                  </w:pPr>
                  <w:r>
                    <w:rPr>
                      <w:rFonts w:hint="eastAsia" w:ascii="Times New Roman" w:hAnsi="Times New Roman" w:cs="Times New Roman"/>
                      <w:b w:val="0"/>
                      <w:bCs w:val="0"/>
                      <w:i w:val="0"/>
                      <w:iCs w:val="0"/>
                      <w:color w:val="auto"/>
                      <w:sz w:val="21"/>
                      <w:szCs w:val="21"/>
                      <w:highlight w:val="none"/>
                      <w:u w:val="none" w:color="auto"/>
                      <w:lang w:val="en-US" w:eastAsia="zh-CN"/>
                    </w:rPr>
                    <w:t>干燥基全硫</w:t>
                  </w:r>
                </w:p>
              </w:tc>
              <w:tc>
                <w:tcPr>
                  <w:tcW w:w="987" w:type="pct"/>
                  <w:tcBorders>
                    <w:tl2br w:val="nil"/>
                    <w:tr2bl w:val="nil"/>
                  </w:tcBorders>
                  <w:noWrap w:val="0"/>
                  <w:vAlign w:val="center"/>
                </w:tcPr>
                <w:p w14:paraId="7D5BAB83">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rPr>
                  </w:pPr>
                  <w:r>
                    <w:rPr>
                      <w:rFonts w:hint="default" w:ascii="Times New Roman" w:hAnsi="Times New Roman" w:cs="Times New Roman"/>
                      <w:bCs/>
                      <w:color w:val="auto"/>
                      <w:sz w:val="21"/>
                      <w:szCs w:val="21"/>
                      <w:highlight w:val="none"/>
                    </w:rPr>
                    <w:t>St,ar</w:t>
                  </w:r>
                </w:p>
              </w:tc>
              <w:tc>
                <w:tcPr>
                  <w:tcW w:w="832" w:type="pct"/>
                  <w:tcBorders>
                    <w:tl2br w:val="nil"/>
                    <w:tr2bl w:val="nil"/>
                  </w:tcBorders>
                  <w:noWrap w:val="0"/>
                  <w:vAlign w:val="center"/>
                </w:tcPr>
                <w:p w14:paraId="37764901">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eastAsia" w:ascii="Times New Roman" w:hAnsi="Times New Roman" w:eastAsia="宋体" w:cs="Times New Roman"/>
                      <w:b w:val="0"/>
                      <w:bCs w:val="0"/>
                      <w:i w:val="0"/>
                      <w:iCs w:val="0"/>
                      <w:color w:val="auto"/>
                      <w:sz w:val="21"/>
                      <w:szCs w:val="21"/>
                      <w:highlight w:val="none"/>
                      <w:u w:val="none" w:color="auto"/>
                      <w:lang w:val="en-US" w:eastAsia="zh-CN"/>
                    </w:rPr>
                  </w:pPr>
                  <w:r>
                    <w:rPr>
                      <w:rFonts w:hint="eastAsia" w:ascii="Times New Roman" w:hAnsi="Times New Roman" w:cs="Times New Roman"/>
                      <w:b w:val="0"/>
                      <w:bCs w:val="0"/>
                      <w:i w:val="0"/>
                      <w:iCs w:val="0"/>
                      <w:color w:val="auto"/>
                      <w:sz w:val="21"/>
                      <w:szCs w:val="21"/>
                      <w:highlight w:val="none"/>
                      <w:u w:val="none" w:color="auto"/>
                      <w:lang w:val="en-US" w:eastAsia="zh-CN"/>
                    </w:rPr>
                    <w:t>%</w:t>
                  </w:r>
                </w:p>
              </w:tc>
              <w:tc>
                <w:tcPr>
                  <w:tcW w:w="1252" w:type="pct"/>
                  <w:tcBorders>
                    <w:tl2br w:val="nil"/>
                    <w:tr2bl w:val="nil"/>
                  </w:tcBorders>
                  <w:noWrap w:val="0"/>
                  <w:vAlign w:val="center"/>
                </w:tcPr>
                <w:p w14:paraId="46CD6CCA">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eastAsia" w:ascii="Times New Roman" w:hAnsi="Times New Roman" w:cs="Times New Roman"/>
                      <w:b w:val="0"/>
                      <w:bCs w:val="0"/>
                      <w:i w:val="0"/>
                      <w:iCs w:val="0"/>
                      <w:color w:val="auto"/>
                      <w:kern w:val="2"/>
                      <w:sz w:val="21"/>
                      <w:szCs w:val="21"/>
                      <w:highlight w:val="none"/>
                      <w:u w:val="none" w:color="auto"/>
                      <w:lang w:val="en-US" w:eastAsia="zh-CN" w:bidi="ar-SA"/>
                    </w:rPr>
                    <w:t>0.02</w:t>
                  </w:r>
                </w:p>
              </w:tc>
            </w:tr>
            <w:tr w14:paraId="5A297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pct"/>
                  <w:tcBorders>
                    <w:tl2br w:val="nil"/>
                    <w:tr2bl w:val="nil"/>
                  </w:tcBorders>
                  <w:noWrap w:val="0"/>
                  <w:vAlign w:val="center"/>
                </w:tcPr>
                <w:p w14:paraId="330764A9">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lang w:val="en-US" w:eastAsia="zh-CN"/>
                    </w:rPr>
                  </w:pPr>
                  <w:r>
                    <w:rPr>
                      <w:rFonts w:hint="eastAsia" w:ascii="Times New Roman" w:hAnsi="Times New Roman" w:cs="Times New Roman"/>
                      <w:b w:val="0"/>
                      <w:bCs w:val="0"/>
                      <w:i w:val="0"/>
                      <w:iCs w:val="0"/>
                      <w:color w:val="auto"/>
                      <w:sz w:val="21"/>
                      <w:szCs w:val="21"/>
                      <w:highlight w:val="none"/>
                      <w:u w:val="none" w:color="auto"/>
                      <w:lang w:val="en-US" w:eastAsia="zh-CN"/>
                    </w:rPr>
                    <w:t>10</w:t>
                  </w:r>
                </w:p>
              </w:tc>
              <w:tc>
                <w:tcPr>
                  <w:tcW w:w="1275" w:type="pct"/>
                  <w:tcBorders>
                    <w:tl2br w:val="nil"/>
                    <w:tr2bl w:val="nil"/>
                  </w:tcBorders>
                  <w:noWrap w:val="0"/>
                  <w:vAlign w:val="center"/>
                </w:tcPr>
                <w:p w14:paraId="4C345E4D">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lang w:val="en-US" w:eastAsia="zh-CN"/>
                    </w:rPr>
                  </w:pPr>
                  <w:r>
                    <w:rPr>
                      <w:rFonts w:hint="eastAsia" w:ascii="Times New Roman" w:hAnsi="Times New Roman" w:cs="Times New Roman"/>
                      <w:b w:val="0"/>
                      <w:bCs w:val="0"/>
                      <w:i w:val="0"/>
                      <w:iCs w:val="0"/>
                      <w:color w:val="auto"/>
                      <w:sz w:val="21"/>
                      <w:szCs w:val="21"/>
                      <w:highlight w:val="none"/>
                      <w:u w:val="none" w:color="auto"/>
                      <w:lang w:val="en-US" w:eastAsia="zh-CN"/>
                    </w:rPr>
                    <w:t>干燥基全氢</w:t>
                  </w:r>
                </w:p>
              </w:tc>
              <w:tc>
                <w:tcPr>
                  <w:tcW w:w="987" w:type="pct"/>
                  <w:tcBorders>
                    <w:tl2br w:val="nil"/>
                    <w:tr2bl w:val="nil"/>
                  </w:tcBorders>
                  <w:noWrap w:val="0"/>
                  <w:vAlign w:val="center"/>
                </w:tcPr>
                <w:p w14:paraId="6EC0C1C1">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rPr>
                  </w:pPr>
                  <w:r>
                    <w:rPr>
                      <w:rFonts w:hint="default" w:ascii="Times New Roman" w:hAnsi="Times New Roman" w:cs="Times New Roman"/>
                      <w:bCs/>
                      <w:color w:val="auto"/>
                      <w:sz w:val="21"/>
                      <w:szCs w:val="21"/>
                      <w:highlight w:val="none"/>
                    </w:rPr>
                    <w:t>Har</w:t>
                  </w:r>
                </w:p>
              </w:tc>
              <w:tc>
                <w:tcPr>
                  <w:tcW w:w="832" w:type="pct"/>
                  <w:tcBorders>
                    <w:tl2br w:val="nil"/>
                    <w:tr2bl w:val="nil"/>
                  </w:tcBorders>
                  <w:noWrap w:val="0"/>
                  <w:vAlign w:val="center"/>
                </w:tcPr>
                <w:p w14:paraId="3B343E34">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rPr>
                  </w:pPr>
                  <w:r>
                    <w:rPr>
                      <w:rFonts w:hint="default" w:ascii="Times New Roman" w:hAnsi="Times New Roman" w:cs="Times New Roman"/>
                      <w:bCs/>
                      <w:color w:val="auto"/>
                      <w:sz w:val="21"/>
                      <w:szCs w:val="21"/>
                      <w:highlight w:val="none"/>
                    </w:rPr>
                    <w:t>%</w:t>
                  </w:r>
                </w:p>
              </w:tc>
              <w:tc>
                <w:tcPr>
                  <w:tcW w:w="1252" w:type="pct"/>
                  <w:tcBorders>
                    <w:tl2br w:val="nil"/>
                    <w:tr2bl w:val="nil"/>
                  </w:tcBorders>
                  <w:noWrap w:val="0"/>
                  <w:vAlign w:val="center"/>
                </w:tcPr>
                <w:p w14:paraId="5CD3D568">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 w:val="0"/>
                      <w:bCs w:val="0"/>
                      <w:i w:val="0"/>
                      <w:iCs w:val="0"/>
                      <w:color w:val="auto"/>
                      <w:kern w:val="2"/>
                      <w:sz w:val="21"/>
                      <w:szCs w:val="21"/>
                      <w:highlight w:val="none"/>
                      <w:u w:val="none" w:color="auto"/>
                      <w:lang w:val="en-US" w:eastAsia="zh-CN" w:bidi="ar-SA"/>
                    </w:rPr>
                  </w:pPr>
                  <w:r>
                    <w:rPr>
                      <w:rFonts w:hint="eastAsia" w:ascii="Times New Roman" w:hAnsi="Times New Roman" w:cs="Times New Roman"/>
                      <w:bCs/>
                      <w:color w:val="auto"/>
                      <w:sz w:val="21"/>
                      <w:szCs w:val="21"/>
                      <w:highlight w:val="none"/>
                      <w:lang w:val="en-US" w:eastAsia="zh-CN"/>
                    </w:rPr>
                    <w:t>4.22</w:t>
                  </w:r>
                </w:p>
              </w:tc>
            </w:tr>
            <w:tr w14:paraId="35AB1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pct"/>
                  <w:tcBorders>
                    <w:tl2br w:val="nil"/>
                    <w:tr2bl w:val="nil"/>
                  </w:tcBorders>
                  <w:noWrap w:val="0"/>
                  <w:vAlign w:val="center"/>
                </w:tcPr>
                <w:p w14:paraId="00AB4E37">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lang w:val="en-US" w:eastAsia="zh-CN"/>
                    </w:rPr>
                  </w:pPr>
                  <w:r>
                    <w:rPr>
                      <w:rFonts w:hint="eastAsia" w:ascii="Times New Roman" w:hAnsi="Times New Roman" w:cs="Times New Roman"/>
                      <w:b w:val="0"/>
                      <w:bCs w:val="0"/>
                      <w:i w:val="0"/>
                      <w:iCs w:val="0"/>
                      <w:color w:val="auto"/>
                      <w:sz w:val="21"/>
                      <w:szCs w:val="21"/>
                      <w:highlight w:val="none"/>
                      <w:u w:val="none" w:color="auto"/>
                      <w:lang w:val="en-US" w:eastAsia="zh-CN"/>
                    </w:rPr>
                    <w:t>11</w:t>
                  </w:r>
                </w:p>
              </w:tc>
              <w:tc>
                <w:tcPr>
                  <w:tcW w:w="1275" w:type="pct"/>
                  <w:tcBorders>
                    <w:tl2br w:val="nil"/>
                    <w:tr2bl w:val="nil"/>
                  </w:tcBorders>
                  <w:noWrap w:val="0"/>
                  <w:vAlign w:val="center"/>
                </w:tcPr>
                <w:p w14:paraId="22A5ED44">
                  <w:pPr>
                    <w:pStyle w:val="111"/>
                    <w:keepNext w:val="0"/>
                    <w:keepLines w:val="0"/>
                    <w:pageBreakBefore w:val="0"/>
                    <w:widowControl w:val="0"/>
                    <w:kinsoku/>
                    <w:wordWrap/>
                    <w:overflowPunct/>
                    <w:topLinePunct w:val="0"/>
                    <w:autoSpaceDE/>
                    <w:autoSpaceDN/>
                    <w:bidi w:val="0"/>
                    <w:adjustRightInd/>
                    <w:snapToGrid/>
                    <w:spacing w:before="0" w:after="0" w:line="360" w:lineRule="exact"/>
                    <w:ind w:firstLine="0" w:firstLineChars="0"/>
                    <w:jc w:val="center"/>
                    <w:textAlignment w:val="auto"/>
                    <w:rPr>
                      <w:rFonts w:hint="default" w:ascii="Times New Roman" w:hAnsi="Times New Roman" w:cs="Times New Roman"/>
                      <w:b w:val="0"/>
                      <w:bCs w:val="0"/>
                      <w:i w:val="0"/>
                      <w:iCs w:val="0"/>
                      <w:color w:val="auto"/>
                      <w:sz w:val="21"/>
                      <w:szCs w:val="21"/>
                      <w:highlight w:val="none"/>
                      <w:u w:val="none" w:color="auto"/>
                      <w:lang w:val="en-US" w:eastAsia="zh-CN"/>
                    </w:rPr>
                  </w:pPr>
                  <w:r>
                    <w:rPr>
                      <w:rFonts w:hint="eastAsia" w:ascii="Times New Roman" w:hAnsi="Times New Roman" w:cs="Times New Roman"/>
                      <w:b w:val="0"/>
                      <w:bCs w:val="0"/>
                      <w:i w:val="0"/>
                      <w:iCs w:val="0"/>
                      <w:color w:val="auto"/>
                      <w:sz w:val="21"/>
                      <w:szCs w:val="21"/>
                      <w:highlight w:val="none"/>
                      <w:u w:val="none" w:color="auto"/>
                      <w:lang w:val="en-US" w:eastAsia="zh-CN"/>
                    </w:rPr>
                    <w:t>干燥基固定碳</w:t>
                  </w:r>
                </w:p>
              </w:tc>
              <w:tc>
                <w:tcPr>
                  <w:tcW w:w="987" w:type="pct"/>
                  <w:tcBorders>
                    <w:tl2br w:val="nil"/>
                    <w:tr2bl w:val="nil"/>
                  </w:tcBorders>
                  <w:noWrap w:val="0"/>
                  <w:vAlign w:val="center"/>
                </w:tcPr>
                <w:p w14:paraId="19FB9A71">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Car</w:t>
                  </w:r>
                </w:p>
              </w:tc>
              <w:tc>
                <w:tcPr>
                  <w:tcW w:w="832" w:type="pct"/>
                  <w:tcBorders>
                    <w:tl2br w:val="nil"/>
                    <w:tr2bl w:val="nil"/>
                  </w:tcBorders>
                  <w:noWrap w:val="0"/>
                  <w:vAlign w:val="center"/>
                </w:tcPr>
                <w:p w14:paraId="6F1A0C2D">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52" w:type="pct"/>
                  <w:tcBorders>
                    <w:tl2br w:val="nil"/>
                    <w:tr2bl w:val="nil"/>
                  </w:tcBorders>
                  <w:noWrap w:val="0"/>
                  <w:vAlign w:val="center"/>
                </w:tcPr>
                <w:p w14:paraId="388F6C48">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14.67</w:t>
                  </w:r>
                </w:p>
              </w:tc>
            </w:tr>
            <w:tr w14:paraId="23DD6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tcBorders>
                    <w:tl2br w:val="nil"/>
                    <w:tr2bl w:val="nil"/>
                  </w:tcBorders>
                  <w:noWrap w:val="0"/>
                  <w:vAlign w:val="center"/>
                </w:tcPr>
                <w:p w14:paraId="50A0F248">
                  <w:pPr>
                    <w:pStyle w:val="117"/>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both"/>
                    <w:textAlignment w:val="auto"/>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注：折算收到基全硫为0.07。</w:t>
                  </w:r>
                </w:p>
              </w:tc>
            </w:tr>
          </w:tbl>
          <w:p w14:paraId="1CC824A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cs="宋体"/>
                <w:b w:val="0"/>
                <w:bCs/>
                <w:color w:val="auto"/>
                <w:spacing w:val="0"/>
                <w:sz w:val="24"/>
                <w:szCs w:val="24"/>
                <w:highlight w:val="none"/>
                <w:lang w:val="en-US" w:eastAsia="zh-CN"/>
              </w:rPr>
            </w:pPr>
            <w:r>
              <w:rPr>
                <w:rFonts w:hint="eastAsia" w:cs="宋体"/>
                <w:b w:val="0"/>
                <w:bCs/>
                <w:color w:val="auto"/>
                <w:spacing w:val="0"/>
                <w:sz w:val="24"/>
                <w:szCs w:val="24"/>
                <w:highlight w:val="none"/>
                <w:lang w:val="en-US" w:eastAsia="zh-CN"/>
              </w:rPr>
              <w:t>根据燃料分析报告，本项目锅炉燃料符合《生物质锅炉技术规范》（GB/T44906-2024）关于生物质成型燃料的要求。</w:t>
            </w:r>
          </w:p>
          <w:p w14:paraId="60F54B62">
            <w:pPr>
              <w:spacing w:line="360" w:lineRule="auto"/>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6.</w:t>
            </w:r>
            <w:r>
              <w:rPr>
                <w:rFonts w:hint="eastAsia" w:ascii="宋体" w:hAnsi="宋体" w:eastAsia="宋体" w:cs="宋体"/>
                <w:b/>
                <w:bCs w:val="0"/>
                <w:color w:val="auto"/>
                <w:spacing w:val="0"/>
                <w:sz w:val="24"/>
                <w:szCs w:val="24"/>
                <w:highlight w:val="none"/>
                <w:lang w:val="en-US" w:eastAsia="zh-CN"/>
              </w:rPr>
              <w:t>劳动定员及工作制度</w:t>
            </w:r>
          </w:p>
          <w:p w14:paraId="00EF0EB2">
            <w:pPr>
              <w:spacing w:line="360" w:lineRule="auto"/>
              <w:contextualSpacing/>
              <w:jc w:val="left"/>
              <w:rPr>
                <w:rFonts w:hint="eastAsia" w:ascii="宋体" w:hAnsi="宋体" w:eastAsia="宋体" w:cs="宋体"/>
                <w:color w:val="auto"/>
                <w:spacing w:val="0"/>
                <w:kern w:val="0"/>
                <w:sz w:val="24"/>
                <w:szCs w:val="24"/>
                <w:highlight w:val="none"/>
              </w:rPr>
            </w:pPr>
            <w:r>
              <w:rPr>
                <w:rFonts w:hint="eastAsia" w:ascii="宋体" w:hAnsi="宋体" w:eastAsia="宋体" w:cs="宋体"/>
                <w:color w:val="auto"/>
                <w:spacing w:val="0"/>
                <w:sz w:val="24"/>
                <w:szCs w:val="24"/>
                <w:highlight w:val="none"/>
              </w:rPr>
              <w:t>项目</w:t>
            </w:r>
            <w:r>
              <w:rPr>
                <w:rFonts w:hint="eastAsia" w:cs="宋体"/>
                <w:color w:val="auto"/>
                <w:spacing w:val="0"/>
                <w:sz w:val="24"/>
                <w:szCs w:val="24"/>
                <w:highlight w:val="none"/>
                <w:lang w:val="en-US" w:eastAsia="zh-CN"/>
              </w:rPr>
              <w:t>不新增</w:t>
            </w:r>
            <w:r>
              <w:rPr>
                <w:rFonts w:hint="eastAsia" w:ascii="宋体" w:hAnsi="宋体" w:eastAsia="宋体" w:cs="宋体"/>
                <w:color w:val="auto"/>
                <w:spacing w:val="0"/>
                <w:sz w:val="24"/>
                <w:szCs w:val="24"/>
                <w:highlight w:val="none"/>
              </w:rPr>
              <w:t>劳动定员，</w:t>
            </w:r>
            <w:r>
              <w:rPr>
                <w:rFonts w:hint="eastAsia" w:cs="宋体"/>
                <w:color w:val="auto"/>
                <w:spacing w:val="0"/>
                <w:sz w:val="24"/>
                <w:szCs w:val="24"/>
                <w:highlight w:val="none"/>
                <w:lang w:val="en-US" w:eastAsia="zh-CN"/>
              </w:rPr>
              <w:t>锅炉</w:t>
            </w:r>
            <w:r>
              <w:rPr>
                <w:rFonts w:hint="eastAsia" w:ascii="宋体" w:hAnsi="宋体" w:eastAsia="宋体" w:cs="宋体"/>
                <w:color w:val="auto"/>
                <w:spacing w:val="0"/>
                <w:sz w:val="24"/>
                <w:szCs w:val="24"/>
                <w:highlight w:val="none"/>
              </w:rPr>
              <w:t>年</w:t>
            </w:r>
            <w:r>
              <w:rPr>
                <w:rFonts w:hint="eastAsia" w:cs="宋体"/>
                <w:color w:val="auto"/>
                <w:spacing w:val="0"/>
                <w:sz w:val="24"/>
                <w:szCs w:val="24"/>
                <w:highlight w:val="none"/>
                <w:lang w:val="en-US" w:eastAsia="zh-CN"/>
              </w:rPr>
              <w:t>运行120</w:t>
            </w:r>
            <w:r>
              <w:rPr>
                <w:rFonts w:hint="eastAsia" w:ascii="宋体" w:hAnsi="宋体" w:eastAsia="宋体" w:cs="宋体"/>
                <w:color w:val="auto"/>
                <w:spacing w:val="0"/>
                <w:sz w:val="24"/>
                <w:szCs w:val="24"/>
                <w:highlight w:val="none"/>
              </w:rPr>
              <w:t>天</w:t>
            </w:r>
            <w:r>
              <w:rPr>
                <w:rFonts w:hint="eastAsia" w:ascii="宋体" w:hAnsi="宋体" w:eastAsia="宋体" w:cs="宋体"/>
                <w:color w:val="auto"/>
                <w:spacing w:val="0"/>
                <w:sz w:val="24"/>
                <w:szCs w:val="24"/>
                <w:highlight w:val="none"/>
                <w:lang w:val="en-US" w:eastAsia="zh-CN"/>
              </w:rPr>
              <w:t>，</w:t>
            </w:r>
            <w:r>
              <w:rPr>
                <w:rFonts w:hint="eastAsia" w:ascii="宋体" w:hAnsi="宋体" w:eastAsia="宋体" w:cs="宋体"/>
                <w:color w:val="auto"/>
                <w:spacing w:val="0"/>
                <w:sz w:val="24"/>
                <w:szCs w:val="24"/>
                <w:highlight w:val="none"/>
              </w:rPr>
              <w:t>日工作时间</w:t>
            </w:r>
            <w:r>
              <w:rPr>
                <w:rFonts w:hint="default" w:ascii="Times New Roman" w:hAnsi="Times New Roman" w:cs="Times New Roman"/>
                <w:color w:val="auto"/>
                <w:spacing w:val="0"/>
                <w:sz w:val="24"/>
                <w:szCs w:val="24"/>
                <w:highlight w:val="none"/>
                <w:lang w:val="en-US" w:eastAsia="zh-CN"/>
              </w:rPr>
              <w:t>24</w:t>
            </w:r>
            <w:r>
              <w:rPr>
                <w:rFonts w:hint="default" w:ascii="Times New Roman" w:hAnsi="Times New Roman" w:eastAsia="宋体" w:cs="Times New Roman"/>
                <w:color w:val="auto"/>
                <w:spacing w:val="0"/>
                <w:sz w:val="24"/>
                <w:szCs w:val="24"/>
                <w:highlight w:val="none"/>
              </w:rPr>
              <w:t>h</w:t>
            </w:r>
            <w:r>
              <w:rPr>
                <w:rFonts w:hint="eastAsia" w:ascii="宋体" w:hAnsi="宋体" w:eastAsia="宋体" w:cs="宋体"/>
                <w:color w:val="auto"/>
                <w:spacing w:val="0"/>
                <w:sz w:val="24"/>
                <w:szCs w:val="24"/>
                <w:highlight w:val="none"/>
              </w:rPr>
              <w:t>，</w:t>
            </w:r>
            <w:r>
              <w:rPr>
                <w:rFonts w:hint="eastAsia" w:ascii="宋体" w:hAnsi="宋体" w:eastAsia="宋体" w:cs="宋体"/>
                <w:color w:val="auto"/>
                <w:spacing w:val="0"/>
                <w:sz w:val="24"/>
                <w:szCs w:val="24"/>
                <w:highlight w:val="none"/>
                <w:lang w:val="en-US" w:eastAsia="zh-CN"/>
              </w:rPr>
              <w:t>双</w:t>
            </w:r>
            <w:r>
              <w:rPr>
                <w:rFonts w:hint="eastAsia" w:ascii="宋体" w:hAnsi="宋体" w:eastAsia="宋体" w:cs="宋体"/>
                <w:color w:val="auto"/>
                <w:spacing w:val="0"/>
                <w:sz w:val="24"/>
                <w:szCs w:val="24"/>
                <w:highlight w:val="none"/>
              </w:rPr>
              <w:t>班制</w:t>
            </w:r>
            <w:r>
              <w:rPr>
                <w:rFonts w:hint="eastAsia" w:ascii="宋体" w:hAnsi="宋体" w:eastAsia="宋体" w:cs="宋体"/>
                <w:color w:val="auto"/>
                <w:spacing w:val="0"/>
                <w:sz w:val="24"/>
                <w:szCs w:val="24"/>
                <w:highlight w:val="none"/>
                <w:lang w:eastAsia="zh-CN"/>
              </w:rPr>
              <w:t>，</w:t>
            </w:r>
            <w:r>
              <w:rPr>
                <w:rFonts w:hint="eastAsia" w:ascii="宋体" w:hAnsi="宋体" w:eastAsia="宋体" w:cs="宋体"/>
                <w:color w:val="auto"/>
                <w:spacing w:val="0"/>
                <w:sz w:val="24"/>
                <w:szCs w:val="24"/>
                <w:highlight w:val="none"/>
                <w:lang w:val="en-US" w:eastAsia="zh-CN"/>
              </w:rPr>
              <w:t>每班工作</w:t>
            </w:r>
            <w:r>
              <w:rPr>
                <w:rFonts w:hint="default" w:ascii="Times New Roman" w:hAnsi="Times New Roman" w:cs="Times New Roman"/>
                <w:color w:val="auto"/>
                <w:spacing w:val="0"/>
                <w:sz w:val="24"/>
                <w:szCs w:val="24"/>
                <w:highlight w:val="none"/>
                <w:lang w:val="en-US" w:eastAsia="zh-CN"/>
              </w:rPr>
              <w:t>12</w:t>
            </w:r>
            <w:r>
              <w:rPr>
                <w:rFonts w:hint="eastAsia" w:ascii="宋体" w:hAnsi="宋体" w:eastAsia="宋体" w:cs="宋体"/>
                <w:color w:val="auto"/>
                <w:spacing w:val="0"/>
                <w:sz w:val="24"/>
                <w:szCs w:val="24"/>
                <w:highlight w:val="none"/>
                <w:lang w:val="en-US" w:eastAsia="zh-CN"/>
              </w:rPr>
              <w:t>小时</w:t>
            </w:r>
            <w:r>
              <w:rPr>
                <w:rFonts w:hint="eastAsia" w:ascii="宋体" w:hAnsi="宋体" w:eastAsia="宋体" w:cs="宋体"/>
                <w:color w:val="auto"/>
                <w:spacing w:val="0"/>
                <w:sz w:val="24"/>
                <w:szCs w:val="24"/>
                <w:highlight w:val="none"/>
              </w:rPr>
              <w:t>。</w:t>
            </w:r>
          </w:p>
          <w:p w14:paraId="4606CBF8">
            <w:pPr>
              <w:spacing w:line="360" w:lineRule="auto"/>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7.</w:t>
            </w:r>
            <w:r>
              <w:rPr>
                <w:rFonts w:hint="eastAsia" w:ascii="宋体" w:hAnsi="宋体" w:eastAsia="宋体" w:cs="宋体"/>
                <w:b/>
                <w:bCs w:val="0"/>
                <w:color w:val="auto"/>
                <w:spacing w:val="0"/>
                <w:sz w:val="24"/>
                <w:szCs w:val="24"/>
                <w:highlight w:val="none"/>
                <w:lang w:val="en-US" w:eastAsia="zh-CN"/>
              </w:rPr>
              <w:t>工程进度</w:t>
            </w:r>
          </w:p>
          <w:p w14:paraId="42387FEE">
            <w:pPr>
              <w:pStyle w:val="123"/>
              <w:adjustRightInd/>
              <w:snapToGrid/>
              <w:spacing w:line="360" w:lineRule="auto"/>
              <w:ind w:firstLine="480"/>
              <w:rPr>
                <w:rFonts w:hint="eastAsia" w:ascii="宋体" w:hAnsi="宋体" w:eastAsia="宋体" w:cs="宋体"/>
                <w:color w:val="auto"/>
                <w:spacing w:val="0"/>
                <w:kern w:val="2"/>
                <w:sz w:val="24"/>
                <w:szCs w:val="24"/>
                <w:highlight w:val="none"/>
                <w:lang w:val="en-US" w:eastAsia="zh-CN"/>
              </w:rPr>
            </w:pPr>
            <w:r>
              <w:rPr>
                <w:rFonts w:hint="eastAsia" w:ascii="宋体" w:hAnsi="宋体" w:eastAsia="宋体" w:cs="宋体"/>
                <w:color w:val="auto"/>
                <w:spacing w:val="0"/>
                <w:kern w:val="2"/>
                <w:sz w:val="24"/>
                <w:szCs w:val="24"/>
                <w:highlight w:val="none"/>
              </w:rPr>
              <w:t>本项目建设期为</w:t>
            </w:r>
            <w:r>
              <w:rPr>
                <w:rFonts w:hint="default" w:ascii="Times New Roman" w:hAnsi="Times New Roman" w:cs="Times New Roman"/>
                <w:color w:val="auto"/>
                <w:spacing w:val="0"/>
                <w:kern w:val="2"/>
                <w:sz w:val="24"/>
                <w:szCs w:val="24"/>
                <w:highlight w:val="none"/>
                <w:lang w:val="en-US" w:eastAsia="zh-CN"/>
              </w:rPr>
              <w:t>1</w:t>
            </w:r>
            <w:r>
              <w:rPr>
                <w:rFonts w:hint="eastAsia" w:ascii="宋体" w:hAnsi="宋体" w:eastAsia="宋体" w:cs="宋体"/>
                <w:color w:val="auto"/>
                <w:spacing w:val="0"/>
                <w:kern w:val="2"/>
                <w:sz w:val="24"/>
                <w:szCs w:val="24"/>
                <w:highlight w:val="none"/>
              </w:rPr>
              <w:t>个月，施工工期</w:t>
            </w:r>
            <w:r>
              <w:rPr>
                <w:rFonts w:hint="eastAsia" w:ascii="宋体" w:hAnsi="宋体" w:eastAsia="宋体" w:cs="宋体"/>
                <w:color w:val="auto"/>
                <w:spacing w:val="0"/>
                <w:kern w:val="2"/>
                <w:sz w:val="24"/>
                <w:szCs w:val="24"/>
                <w:highlight w:val="none"/>
                <w:lang w:val="en-US" w:eastAsia="zh-CN"/>
              </w:rPr>
              <w:t>为2025年12月—2026年1月</w:t>
            </w:r>
            <w:r>
              <w:rPr>
                <w:rFonts w:hint="eastAsia" w:ascii="宋体" w:hAnsi="宋体" w:eastAsia="宋体" w:cs="宋体"/>
                <w:color w:val="auto"/>
                <w:spacing w:val="0"/>
                <w:kern w:val="2"/>
                <w:sz w:val="24"/>
                <w:szCs w:val="24"/>
                <w:highlight w:val="none"/>
              </w:rPr>
              <w:t>。</w:t>
            </w:r>
          </w:p>
          <w:p w14:paraId="19520114">
            <w:pPr>
              <w:spacing w:line="360" w:lineRule="auto"/>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8.</w:t>
            </w:r>
            <w:r>
              <w:rPr>
                <w:rFonts w:hint="eastAsia" w:ascii="宋体" w:hAnsi="宋体" w:eastAsia="宋体" w:cs="宋体"/>
                <w:b/>
                <w:bCs w:val="0"/>
                <w:color w:val="auto"/>
                <w:spacing w:val="0"/>
                <w:sz w:val="24"/>
                <w:szCs w:val="24"/>
                <w:highlight w:val="none"/>
                <w:lang w:val="en-US" w:eastAsia="zh-CN"/>
              </w:rPr>
              <w:t>公用工程</w:t>
            </w:r>
          </w:p>
          <w:p w14:paraId="443306D7">
            <w:pPr>
              <w:spacing w:line="360" w:lineRule="auto"/>
              <w:jc w:val="left"/>
              <w:rPr>
                <w:rFonts w:hint="eastAsia" w:ascii="宋体" w:hAnsi="宋体" w:eastAsia="宋体" w:cs="宋体"/>
                <w:bCs/>
                <w:color w:val="auto"/>
                <w:spacing w:val="0"/>
                <w:sz w:val="24"/>
                <w:szCs w:val="24"/>
                <w:highlight w:val="none"/>
                <w:lang w:val="en-US" w:eastAsia="zh-CN"/>
              </w:rPr>
            </w:pPr>
            <w:r>
              <w:rPr>
                <w:rFonts w:hint="eastAsia" w:ascii="宋体" w:hAnsi="宋体" w:eastAsia="宋体" w:cs="宋体"/>
                <w:bCs/>
                <w:color w:val="auto"/>
                <w:spacing w:val="0"/>
                <w:sz w:val="24"/>
                <w:szCs w:val="24"/>
                <w:highlight w:val="none"/>
                <w:lang w:val="en-US" w:eastAsia="zh-CN"/>
              </w:rPr>
              <w:t>（1）给排水</w:t>
            </w:r>
          </w:p>
          <w:p w14:paraId="6861B66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szCs w:val="24"/>
                <w:highlight w:val="none"/>
                <w:lang w:val="en-US" w:eastAsia="zh-CN"/>
              </w:rPr>
            </w:pPr>
            <w:r>
              <w:rPr>
                <w:rFonts w:hint="eastAsia" w:ascii="宋体" w:hAnsi="宋体" w:eastAsia="宋体" w:cs="宋体"/>
                <w:snapToGrid w:val="0"/>
                <w:color w:val="auto"/>
                <w:spacing w:val="0"/>
                <w:kern w:val="0"/>
                <w:sz w:val="24"/>
                <w:szCs w:val="24"/>
                <w:highlight w:val="none"/>
              </w:rPr>
              <w:t>给水</w:t>
            </w:r>
          </w:p>
          <w:p w14:paraId="73DB8351">
            <w:pPr>
              <w:spacing w:line="360" w:lineRule="auto"/>
              <w:ind w:left="0" w:leftChars="0" w:firstLine="480" w:firstLineChars="200"/>
              <w:rPr>
                <w:rFonts w:hint="default" w:ascii="宋体" w:hAnsi="宋体" w:eastAsia="宋体" w:cs="宋体"/>
                <w:bCs/>
                <w:color w:val="auto"/>
                <w:spacing w:val="0"/>
                <w:sz w:val="24"/>
                <w:szCs w:val="24"/>
                <w:highlight w:val="none"/>
                <w:lang w:val="en-US" w:eastAsia="zh-CN"/>
              </w:rPr>
            </w:pPr>
            <w:r>
              <w:rPr>
                <w:rFonts w:hint="eastAsia" w:ascii="宋体" w:hAnsi="宋体" w:eastAsia="宋体" w:cs="宋体"/>
                <w:bCs/>
                <w:color w:val="auto"/>
                <w:spacing w:val="0"/>
                <w:kern w:val="2"/>
                <w:sz w:val="24"/>
                <w:szCs w:val="24"/>
                <w:highlight w:val="none"/>
                <w:lang w:val="en-US" w:eastAsia="zh-CN" w:bidi="ar-SA"/>
              </w:rPr>
              <w:t>本项目用水依托</w:t>
            </w:r>
            <w:r>
              <w:rPr>
                <w:rFonts w:hint="eastAsia" w:cs="宋体"/>
                <w:bCs/>
                <w:color w:val="auto"/>
                <w:spacing w:val="0"/>
                <w:kern w:val="2"/>
                <w:sz w:val="24"/>
                <w:szCs w:val="24"/>
                <w:highlight w:val="none"/>
                <w:lang w:val="en-US" w:eastAsia="zh-CN" w:bidi="ar-SA"/>
              </w:rPr>
              <w:t>园区</w:t>
            </w:r>
            <w:r>
              <w:rPr>
                <w:rFonts w:hint="eastAsia" w:ascii="宋体" w:hAnsi="宋体" w:eastAsia="宋体" w:cs="宋体"/>
                <w:bCs/>
                <w:color w:val="auto"/>
                <w:spacing w:val="0"/>
                <w:kern w:val="2"/>
                <w:sz w:val="24"/>
                <w:szCs w:val="24"/>
                <w:highlight w:val="none"/>
                <w:lang w:val="en-US" w:eastAsia="zh-CN" w:bidi="ar-SA"/>
              </w:rPr>
              <w:t>供水管网。</w:t>
            </w:r>
            <w:r>
              <w:rPr>
                <w:rFonts w:hint="eastAsia" w:ascii="宋体" w:hAnsi="宋体" w:eastAsia="宋体" w:cs="宋体"/>
                <w:bCs/>
                <w:color w:val="auto"/>
                <w:spacing w:val="0"/>
                <w:sz w:val="24"/>
                <w:szCs w:val="24"/>
                <w:highlight w:val="none"/>
              </w:rPr>
              <w:t>本项目</w:t>
            </w:r>
            <w:r>
              <w:rPr>
                <w:rFonts w:hint="eastAsia" w:ascii="宋体" w:hAnsi="宋体" w:eastAsia="宋体" w:cs="宋体"/>
                <w:bCs/>
                <w:color w:val="auto"/>
                <w:spacing w:val="0"/>
                <w:sz w:val="24"/>
                <w:szCs w:val="24"/>
                <w:highlight w:val="none"/>
                <w:lang w:val="en-US" w:eastAsia="zh-CN"/>
              </w:rPr>
              <w:t>用水主要为锅炉补水</w:t>
            </w:r>
            <w:r>
              <w:rPr>
                <w:rFonts w:hint="eastAsia" w:cs="宋体"/>
                <w:bCs/>
                <w:color w:val="auto"/>
                <w:spacing w:val="0"/>
                <w:sz w:val="24"/>
                <w:szCs w:val="24"/>
                <w:highlight w:val="none"/>
                <w:lang w:val="en-US" w:eastAsia="zh-CN"/>
              </w:rPr>
              <w:t>和离子交换树脂再生用水</w:t>
            </w:r>
            <w:r>
              <w:rPr>
                <w:rFonts w:hint="eastAsia" w:ascii="宋体" w:hAnsi="宋体" w:eastAsia="宋体" w:cs="宋体"/>
                <w:bCs/>
                <w:color w:val="auto"/>
                <w:spacing w:val="0"/>
                <w:sz w:val="24"/>
                <w:szCs w:val="24"/>
                <w:highlight w:val="none"/>
              </w:rPr>
              <w:t>。</w:t>
            </w:r>
          </w:p>
          <w:p w14:paraId="255F6AC8">
            <w:pPr>
              <w:pStyle w:val="15"/>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color w:val="auto"/>
                <w:spacing w:val="0"/>
                <w:highlight w:val="none"/>
                <w:lang w:val="en-US" w:eastAsia="zh-CN"/>
              </w:rPr>
            </w:pPr>
            <w:r>
              <w:rPr>
                <w:rFonts w:hint="eastAsia" w:ascii="宋体" w:hAnsi="宋体" w:eastAsia="宋体" w:cs="宋体"/>
                <w:color w:val="auto"/>
                <w:spacing w:val="0"/>
                <w:highlight w:val="none"/>
                <w:lang w:val="en-US" w:eastAsia="zh-CN"/>
              </w:rPr>
              <w:t>锅炉补水：本项目设有</w:t>
            </w:r>
            <w:r>
              <w:rPr>
                <w:rFonts w:hint="default" w:ascii="Times New Roman" w:hAnsi="Times New Roman" w:eastAsia="宋体" w:cs="Times New Roman"/>
                <w:color w:val="auto"/>
                <w:spacing w:val="0"/>
                <w:highlight w:val="none"/>
                <w:lang w:val="en-US" w:eastAsia="zh-CN"/>
              </w:rPr>
              <w:t>6t/h</w:t>
            </w:r>
            <w:r>
              <w:rPr>
                <w:rFonts w:hint="eastAsia" w:ascii="宋体" w:hAnsi="宋体" w:eastAsia="宋体" w:cs="宋体"/>
                <w:color w:val="auto"/>
                <w:spacing w:val="0"/>
                <w:highlight w:val="none"/>
                <w:lang w:val="en-US" w:eastAsia="zh-CN"/>
              </w:rPr>
              <w:t>蒸汽锅炉。蒸汽锅炉产生的蒸汽全部用于生产。蒸汽锅炉补水量=蒸发量+汽水损失量+排污量，本项目蒸汽锅炉汽水损失率按蒸发量</w:t>
            </w:r>
            <w:r>
              <w:rPr>
                <w:rFonts w:hint="default" w:ascii="Times New Roman" w:hAnsi="Times New Roman" w:eastAsia="宋体" w:cs="Times New Roman"/>
                <w:color w:val="auto"/>
                <w:spacing w:val="0"/>
                <w:highlight w:val="none"/>
                <w:lang w:val="en-US" w:eastAsia="zh-CN"/>
              </w:rPr>
              <w:t>5%</w:t>
            </w:r>
            <w:r>
              <w:rPr>
                <w:rFonts w:hint="eastAsia" w:ascii="宋体" w:hAnsi="宋体" w:eastAsia="宋体" w:cs="宋体"/>
                <w:color w:val="auto"/>
                <w:spacing w:val="0"/>
                <w:highlight w:val="none"/>
                <w:lang w:val="en-US" w:eastAsia="zh-CN"/>
              </w:rPr>
              <w:t>计，即汽水损失量=</w:t>
            </w:r>
            <w:r>
              <w:rPr>
                <w:rFonts w:hint="default" w:ascii="Times New Roman" w:hAnsi="Times New Roman" w:eastAsia="宋体" w:cs="Times New Roman"/>
                <w:color w:val="auto"/>
                <w:spacing w:val="0"/>
                <w:highlight w:val="none"/>
                <w:lang w:val="en-US" w:eastAsia="zh-CN"/>
              </w:rPr>
              <w:t>6t/h×5%=0</w:t>
            </w:r>
            <w:r>
              <w:rPr>
                <w:rFonts w:hint="eastAsia" w:ascii="宋体" w:hAnsi="宋体" w:eastAsia="宋体" w:cs="宋体"/>
                <w:color w:val="auto"/>
                <w:spacing w:val="0"/>
                <w:highlight w:val="none"/>
                <w:lang w:val="en-US" w:eastAsia="zh-CN"/>
              </w:rPr>
              <w:t>.</w:t>
            </w:r>
            <w:r>
              <w:rPr>
                <w:rFonts w:hint="default" w:ascii="Times New Roman" w:hAnsi="Times New Roman" w:eastAsia="宋体" w:cs="Times New Roman"/>
                <w:color w:val="auto"/>
                <w:spacing w:val="0"/>
                <w:highlight w:val="none"/>
                <w:lang w:val="en-US" w:eastAsia="zh-CN"/>
              </w:rPr>
              <w:t>3t/h</w:t>
            </w:r>
            <w:r>
              <w:rPr>
                <w:rFonts w:hint="eastAsia" w:ascii="宋体" w:hAnsi="宋体" w:eastAsia="宋体" w:cs="宋体"/>
                <w:color w:val="auto"/>
                <w:spacing w:val="0"/>
                <w:highlight w:val="none"/>
                <w:lang w:val="en-US" w:eastAsia="zh-CN"/>
              </w:rPr>
              <w:t>，</w:t>
            </w:r>
            <w:r>
              <w:rPr>
                <w:rFonts w:hint="default" w:ascii="Times New Roman" w:hAnsi="Times New Roman" w:eastAsia="宋体" w:cs="Times New Roman"/>
                <w:color w:val="auto"/>
                <w:spacing w:val="0"/>
                <w:highlight w:val="none"/>
                <w:lang w:val="en-US" w:eastAsia="zh-CN"/>
              </w:rPr>
              <w:t>7</w:t>
            </w:r>
            <w:r>
              <w:rPr>
                <w:rFonts w:hint="eastAsia" w:ascii="宋体" w:hAnsi="宋体" w:eastAsia="宋体" w:cs="宋体"/>
                <w:color w:val="auto"/>
                <w:spacing w:val="0"/>
                <w:highlight w:val="none"/>
                <w:lang w:val="en-US" w:eastAsia="zh-CN"/>
              </w:rPr>
              <w:t>.</w:t>
            </w:r>
            <w:r>
              <w:rPr>
                <w:rFonts w:hint="default" w:ascii="Times New Roman" w:hAnsi="Times New Roman" w:eastAsia="宋体" w:cs="Times New Roman"/>
                <w:color w:val="auto"/>
                <w:spacing w:val="0"/>
                <w:highlight w:val="none"/>
                <w:lang w:val="en-US" w:eastAsia="zh-CN"/>
              </w:rPr>
              <w:t>2t/d</w:t>
            </w:r>
            <w:r>
              <w:rPr>
                <w:rFonts w:hint="eastAsia" w:ascii="宋体" w:hAnsi="宋体" w:eastAsia="宋体" w:cs="宋体"/>
                <w:color w:val="auto"/>
                <w:spacing w:val="0"/>
                <w:highlight w:val="none"/>
                <w:lang w:val="en-US" w:eastAsia="zh-CN"/>
              </w:rPr>
              <w:t>。锅炉排污水：根据《污染源源强核算技术指南 锅炉》中废水污染源源强核算方法，本项目采用产污系数法。由《排放源统计调查产排污核算方法和系数手册》（公告</w:t>
            </w:r>
            <w:r>
              <w:rPr>
                <w:rFonts w:hint="default" w:ascii="Times New Roman" w:hAnsi="Times New Roman" w:eastAsia="宋体" w:cs="Times New Roman"/>
                <w:color w:val="auto"/>
                <w:spacing w:val="0"/>
                <w:highlight w:val="none"/>
                <w:lang w:val="en-US" w:eastAsia="zh-CN"/>
              </w:rPr>
              <w:t>2021</w:t>
            </w:r>
            <w:r>
              <w:rPr>
                <w:rFonts w:hint="eastAsia" w:ascii="宋体" w:hAnsi="宋体" w:eastAsia="宋体" w:cs="宋体"/>
                <w:color w:val="auto"/>
                <w:spacing w:val="0"/>
                <w:highlight w:val="none"/>
                <w:lang w:val="en-US" w:eastAsia="zh-CN"/>
              </w:rPr>
              <w:t>年第</w:t>
            </w:r>
            <w:r>
              <w:rPr>
                <w:rFonts w:hint="default" w:ascii="Times New Roman" w:hAnsi="Times New Roman" w:eastAsia="宋体" w:cs="Times New Roman"/>
                <w:color w:val="auto"/>
                <w:spacing w:val="0"/>
                <w:highlight w:val="none"/>
                <w:lang w:val="en-US" w:eastAsia="zh-CN"/>
              </w:rPr>
              <w:t>24</w:t>
            </w:r>
            <w:r>
              <w:rPr>
                <w:rFonts w:hint="eastAsia" w:ascii="宋体" w:hAnsi="宋体" w:eastAsia="宋体" w:cs="宋体"/>
                <w:color w:val="auto"/>
                <w:spacing w:val="0"/>
                <w:highlight w:val="none"/>
                <w:lang w:val="en-US" w:eastAsia="zh-CN"/>
              </w:rPr>
              <w:t>号）中“</w:t>
            </w:r>
            <w:r>
              <w:rPr>
                <w:rFonts w:hint="default" w:ascii="Times New Roman" w:hAnsi="Times New Roman" w:eastAsia="宋体" w:cs="Times New Roman"/>
                <w:color w:val="auto"/>
                <w:spacing w:val="0"/>
                <w:highlight w:val="none"/>
                <w:lang w:val="en-US" w:eastAsia="zh-CN"/>
              </w:rPr>
              <w:t>4430</w:t>
            </w:r>
            <w:r>
              <w:rPr>
                <w:rFonts w:hint="eastAsia" w:ascii="宋体" w:hAnsi="宋体" w:eastAsia="宋体" w:cs="宋体"/>
                <w:color w:val="auto"/>
                <w:spacing w:val="0"/>
                <w:highlight w:val="none"/>
                <w:lang w:val="en-US" w:eastAsia="zh-CN"/>
              </w:rPr>
              <w:t>工业锅炉（热力生产和供应行业）产排污系数表”的内容，</w:t>
            </w:r>
            <w:r>
              <w:rPr>
                <w:rFonts w:hint="eastAsia" w:ascii="Times New Roman" w:hAnsi="Times New Roman"/>
                <w:color w:val="auto"/>
                <w:sz w:val="24"/>
                <w:highlight w:val="none"/>
                <w:lang w:val="en-US" w:eastAsia="zh-CN"/>
              </w:rPr>
              <w:t>生物质燃料</w:t>
            </w:r>
            <w:r>
              <w:rPr>
                <w:rFonts w:ascii="Times New Roman" w:hAnsi="Times New Roman"/>
                <w:color w:val="auto"/>
                <w:sz w:val="24"/>
                <w:highlight w:val="none"/>
              </w:rPr>
              <w:t>（锅外水处理）废水产生系数为0</w:t>
            </w:r>
            <w:r>
              <w:rPr>
                <w:rFonts w:hint="eastAsia" w:ascii="宋体" w:hAnsi="宋体" w:eastAsia="宋体" w:cs="宋体"/>
                <w:color w:val="auto"/>
                <w:sz w:val="24"/>
                <w:highlight w:val="none"/>
              </w:rPr>
              <w:t>.</w:t>
            </w:r>
            <w:r>
              <w:rPr>
                <w:rFonts w:ascii="Times New Roman" w:hAnsi="Times New Roman"/>
                <w:color w:val="auto"/>
                <w:sz w:val="24"/>
                <w:highlight w:val="none"/>
              </w:rPr>
              <w:t>356吨/吨</w:t>
            </w:r>
            <w:r>
              <w:rPr>
                <w:rFonts w:hint="eastAsia" w:ascii="Times New Roman" w:hAnsi="Times New Roman"/>
                <w:color w:val="auto"/>
                <w:sz w:val="24"/>
                <w:highlight w:val="none"/>
                <w:lang w:eastAsia="zh-CN"/>
              </w:rPr>
              <w:t>－</w:t>
            </w:r>
            <w:r>
              <w:rPr>
                <w:rFonts w:ascii="Times New Roman" w:hAnsi="Times New Roman"/>
                <w:color w:val="auto"/>
                <w:sz w:val="24"/>
                <w:highlight w:val="none"/>
              </w:rPr>
              <w:t>原料</w:t>
            </w:r>
            <w:r>
              <w:rPr>
                <w:rFonts w:hint="eastAsia" w:ascii="宋体" w:hAnsi="宋体" w:eastAsia="宋体" w:cs="宋体"/>
                <w:color w:val="auto"/>
                <w:spacing w:val="0"/>
                <w:highlight w:val="none"/>
                <w:lang w:val="en-US" w:eastAsia="zh-CN"/>
              </w:rPr>
              <w:t>，本项目</w:t>
            </w:r>
            <w:r>
              <w:rPr>
                <w:rFonts w:ascii="Times New Roman" w:hAnsi="Times New Roman"/>
                <w:color w:val="auto"/>
                <w:sz w:val="24"/>
                <w:highlight w:val="none"/>
              </w:rPr>
              <w:t>生物质锅炉</w:t>
            </w:r>
            <w:r>
              <w:rPr>
                <w:rFonts w:hint="eastAsia" w:ascii="宋体" w:hAnsi="宋体" w:eastAsia="宋体" w:cs="宋体"/>
                <w:color w:val="auto"/>
                <w:spacing w:val="0"/>
                <w:highlight w:val="none"/>
                <w:lang w:val="en-US" w:eastAsia="zh-CN"/>
              </w:rPr>
              <w:t>年燃烧</w:t>
            </w:r>
            <w:r>
              <w:rPr>
                <w:rFonts w:ascii="Times New Roman" w:hAnsi="Times New Roman"/>
                <w:color w:val="auto"/>
                <w:sz w:val="24"/>
                <w:highlight w:val="none"/>
              </w:rPr>
              <w:t>生物质</w:t>
            </w:r>
            <w:r>
              <w:rPr>
                <w:rFonts w:hint="eastAsia" w:ascii="宋体" w:hAnsi="宋体" w:eastAsia="宋体" w:cs="宋体"/>
                <w:color w:val="auto"/>
                <w:spacing w:val="0"/>
                <w:highlight w:val="none"/>
                <w:lang w:val="en-US" w:eastAsia="zh-CN"/>
              </w:rPr>
              <w:t>消耗量</w:t>
            </w:r>
            <w:r>
              <w:rPr>
                <w:rFonts w:hint="eastAsia" w:ascii="Times New Roman" w:hAnsi="Times New Roman" w:cs="Times New Roman"/>
                <w:color w:val="auto"/>
                <w:spacing w:val="0"/>
                <w:highlight w:val="none"/>
                <w:lang w:val="en-US" w:eastAsia="zh-CN"/>
              </w:rPr>
              <w:t>3113.568</w:t>
            </w:r>
            <w:r>
              <w:rPr>
                <w:rFonts w:hint="default" w:ascii="Times New Roman" w:hAnsi="Times New Roman" w:cs="Times New Roman"/>
                <w:bCs/>
                <w:color w:val="auto"/>
                <w:spacing w:val="0"/>
                <w:sz w:val="24"/>
                <w:szCs w:val="24"/>
                <w:highlight w:val="none"/>
                <w:lang w:val="en-US" w:eastAsia="zh-CN"/>
              </w:rPr>
              <w:t>t/a</w:t>
            </w:r>
            <w:r>
              <w:rPr>
                <w:rFonts w:hint="default" w:ascii="Times New Roman" w:hAnsi="Times New Roman" w:eastAsia="宋体" w:cs="Times New Roman"/>
                <w:color w:val="auto"/>
                <w:spacing w:val="0"/>
                <w:highlight w:val="none"/>
                <w:lang w:val="en-US" w:eastAsia="zh-CN"/>
              </w:rPr>
              <w:t>，故锅炉排污水为</w:t>
            </w:r>
            <w:r>
              <w:rPr>
                <w:rFonts w:hint="eastAsia" w:ascii="Times New Roman" w:hAnsi="Times New Roman" w:cs="Times New Roman"/>
                <w:color w:val="auto"/>
                <w:spacing w:val="0"/>
                <w:highlight w:val="none"/>
                <w:lang w:val="en-US" w:eastAsia="zh-CN"/>
              </w:rPr>
              <w:t>0.385</w:t>
            </w:r>
            <w:r>
              <w:rPr>
                <w:rFonts w:hint="default" w:ascii="Times New Roman" w:hAnsi="Times New Roman" w:eastAsia="宋体" w:cs="Times New Roman"/>
                <w:color w:val="auto"/>
                <w:highlight w:val="none"/>
                <w:lang w:val="en-US" w:eastAsia="zh-CN"/>
              </w:rPr>
              <w:t>t/h</w:t>
            </w:r>
            <w:r>
              <w:rPr>
                <w:rFonts w:hint="default" w:ascii="Times New Roman" w:hAnsi="Times New Roman" w:eastAsia="宋体" w:cs="Times New Roman"/>
                <w:color w:val="auto"/>
                <w:spacing w:val="0"/>
                <w:highlight w:val="none"/>
                <w:lang w:val="en-US" w:eastAsia="zh-CN"/>
              </w:rPr>
              <w:t>，</w:t>
            </w:r>
            <w:r>
              <w:rPr>
                <w:rFonts w:hint="eastAsia" w:ascii="Times New Roman" w:hAnsi="Times New Roman" w:cs="Times New Roman"/>
                <w:color w:val="auto"/>
                <w:spacing w:val="0"/>
                <w:highlight w:val="none"/>
                <w:lang w:val="en-US" w:eastAsia="zh-CN"/>
              </w:rPr>
              <w:t>1108.8</w:t>
            </w:r>
            <w:r>
              <w:rPr>
                <w:rFonts w:hint="default" w:ascii="Times New Roman" w:hAnsi="Times New Roman" w:eastAsia="宋体" w:cs="Times New Roman"/>
                <w:color w:val="auto"/>
                <w:highlight w:val="none"/>
                <w:lang w:val="en-US" w:eastAsia="zh-CN"/>
              </w:rPr>
              <w:t>t</w:t>
            </w:r>
            <w:r>
              <w:rPr>
                <w:rFonts w:hint="default" w:ascii="Times New Roman" w:hAnsi="Times New Roman" w:eastAsia="宋体" w:cs="Times New Roman"/>
                <w:color w:val="auto"/>
                <w:spacing w:val="0"/>
                <w:highlight w:val="none"/>
                <w:lang w:val="en-US" w:eastAsia="zh-CN"/>
              </w:rPr>
              <w:t>/a。因此本项目锅炉补水量为</w:t>
            </w:r>
            <w:r>
              <w:rPr>
                <w:rFonts w:hint="default" w:ascii="Times New Roman" w:hAnsi="Times New Roman" w:cs="Times New Roman"/>
                <w:color w:val="auto"/>
                <w:spacing w:val="0"/>
                <w:highlight w:val="none"/>
                <w:lang w:val="en-US" w:eastAsia="zh-CN"/>
              </w:rPr>
              <w:t>6</w:t>
            </w:r>
            <w:r>
              <w:rPr>
                <w:rFonts w:hint="default" w:ascii="Times New Roman" w:hAnsi="Times New Roman" w:eastAsia="宋体" w:cs="Times New Roman"/>
                <w:color w:val="auto"/>
                <w:spacing w:val="0"/>
                <w:highlight w:val="none"/>
                <w:lang w:val="en-US" w:eastAsia="zh-CN"/>
              </w:rPr>
              <w:t>t/h+0</w:t>
            </w:r>
            <w:r>
              <w:rPr>
                <w:rFonts w:hint="eastAsia" w:ascii="宋体" w:hAnsi="宋体" w:eastAsia="宋体" w:cs="宋体"/>
                <w:color w:val="auto"/>
                <w:spacing w:val="0"/>
                <w:highlight w:val="none"/>
                <w:lang w:val="en-US" w:eastAsia="zh-CN"/>
              </w:rPr>
              <w:t>.</w:t>
            </w:r>
            <w:r>
              <w:rPr>
                <w:rFonts w:hint="default" w:ascii="Times New Roman" w:hAnsi="Times New Roman" w:eastAsia="宋体" w:cs="Times New Roman"/>
                <w:color w:val="auto"/>
                <w:spacing w:val="0"/>
                <w:highlight w:val="none"/>
                <w:lang w:val="en-US" w:eastAsia="zh-CN"/>
              </w:rPr>
              <w:t>3t/h+</w:t>
            </w:r>
            <w:r>
              <w:rPr>
                <w:rFonts w:hint="eastAsia" w:ascii="Times New Roman" w:hAnsi="Times New Roman" w:cs="Times New Roman"/>
                <w:color w:val="auto"/>
                <w:spacing w:val="0"/>
                <w:highlight w:val="none"/>
                <w:lang w:val="en-US" w:eastAsia="zh-CN"/>
              </w:rPr>
              <w:t>0.385</w:t>
            </w:r>
            <w:r>
              <w:rPr>
                <w:rFonts w:hint="default" w:ascii="Times New Roman" w:hAnsi="Times New Roman" w:eastAsia="宋体" w:cs="Times New Roman"/>
                <w:color w:val="auto"/>
                <w:spacing w:val="0"/>
                <w:highlight w:val="none"/>
                <w:lang w:val="en-US" w:eastAsia="zh-CN"/>
              </w:rPr>
              <w:t>t/h=</w:t>
            </w:r>
            <w:r>
              <w:rPr>
                <w:rFonts w:hint="default" w:ascii="Times New Roman" w:hAnsi="Times New Roman" w:cs="Times New Roman"/>
                <w:color w:val="auto"/>
                <w:spacing w:val="0"/>
                <w:highlight w:val="none"/>
                <w:lang w:val="en-US" w:eastAsia="zh-CN"/>
              </w:rPr>
              <w:t>6.685</w:t>
            </w:r>
            <w:r>
              <w:rPr>
                <w:rFonts w:hint="default" w:ascii="Times New Roman" w:hAnsi="Times New Roman" w:eastAsia="宋体" w:cs="Times New Roman"/>
                <w:color w:val="auto"/>
                <w:spacing w:val="0"/>
                <w:highlight w:val="none"/>
                <w:lang w:val="en-US" w:eastAsia="zh-CN"/>
              </w:rPr>
              <w:t>t/h，160.44t/d、</w:t>
            </w:r>
            <w:r>
              <w:rPr>
                <w:rFonts w:hint="eastAsia" w:ascii="Times New Roman" w:hAnsi="Times New Roman" w:cs="Times New Roman"/>
                <w:color w:val="auto"/>
                <w:spacing w:val="0"/>
                <w:highlight w:val="none"/>
                <w:lang w:val="en-US" w:eastAsia="zh-CN"/>
              </w:rPr>
              <w:t>19252.8</w:t>
            </w:r>
            <w:r>
              <w:rPr>
                <w:rFonts w:hint="default" w:ascii="Times New Roman" w:hAnsi="Times New Roman" w:eastAsia="宋体" w:cs="Times New Roman"/>
                <w:color w:val="auto"/>
                <w:spacing w:val="0"/>
                <w:highlight w:val="none"/>
                <w:lang w:val="en-US" w:eastAsia="zh-CN"/>
              </w:rPr>
              <w:t>t/a。</w:t>
            </w:r>
          </w:p>
          <w:p w14:paraId="176F8913">
            <w:pPr>
              <w:keepNext w:val="0"/>
              <w:keepLines w:val="0"/>
              <w:widowControl/>
              <w:suppressLineNumbers w:val="0"/>
              <w:jc w:val="left"/>
              <w:rPr>
                <w:rFonts w:hint="default"/>
                <w:color w:val="auto"/>
                <w:highlight w:val="none"/>
                <w:lang w:val="en-US"/>
              </w:rPr>
            </w:pPr>
            <w:r>
              <w:rPr>
                <w:rFonts w:hint="eastAsia"/>
                <w:color w:val="auto"/>
                <w:highlight w:val="none"/>
                <w:lang w:val="en-US" w:eastAsia="zh-CN"/>
              </w:rPr>
              <w:t>软水制备用水：锅炉补水使用软化水，</w:t>
            </w:r>
            <w:r>
              <w:rPr>
                <w:rFonts w:hint="eastAsia" w:ascii="宋体" w:hAnsi="宋体" w:eastAsia="宋体" w:cs="宋体"/>
                <w:bCs/>
                <w:color w:val="auto"/>
                <w:kern w:val="0"/>
                <w:sz w:val="24"/>
                <w:szCs w:val="24"/>
                <w:highlight w:val="none"/>
                <w:lang w:val="en-US" w:eastAsia="zh-CN" w:bidi="ar"/>
              </w:rPr>
              <w:t>软化水制取装置采用离子交换树脂法，离子交换树脂制水率为</w:t>
            </w:r>
            <w:r>
              <w:rPr>
                <w:rFonts w:hint="default" w:ascii="Times New Roman" w:hAnsi="Times New Roman" w:eastAsia="宋体" w:cs="Times New Roman"/>
                <w:bCs/>
                <w:color w:val="auto"/>
                <w:kern w:val="0"/>
                <w:sz w:val="24"/>
                <w:szCs w:val="24"/>
                <w:highlight w:val="none"/>
                <w:lang w:val="en-US" w:eastAsia="zh-CN" w:bidi="ar"/>
              </w:rPr>
              <w:t>90%</w:t>
            </w:r>
            <w:r>
              <w:rPr>
                <w:rFonts w:hint="eastAsia" w:ascii="宋体" w:hAnsi="宋体" w:eastAsia="宋体" w:cs="宋体"/>
                <w:bCs/>
                <w:color w:val="auto"/>
                <w:kern w:val="0"/>
                <w:sz w:val="24"/>
                <w:szCs w:val="24"/>
                <w:highlight w:val="none"/>
                <w:lang w:val="en-US" w:eastAsia="zh-CN" w:bidi="ar"/>
              </w:rPr>
              <w:t>，则软化水新鲜水用水量为</w:t>
            </w:r>
            <w:r>
              <w:rPr>
                <w:rFonts w:hint="eastAsia" w:ascii="Times New Roman" w:hAnsi="Times New Roman" w:cs="Times New Roman"/>
                <w:bCs/>
                <w:color w:val="auto"/>
                <w:kern w:val="0"/>
                <w:sz w:val="24"/>
                <w:szCs w:val="24"/>
                <w:highlight w:val="none"/>
                <w:lang w:val="en-US" w:eastAsia="zh-CN" w:bidi="ar"/>
              </w:rPr>
              <w:t>178.27</w:t>
            </w:r>
            <w:r>
              <w:rPr>
                <w:rFonts w:hint="default" w:ascii="Times New Roman" w:hAnsi="Times New Roman" w:eastAsia="宋体" w:cs="Times New Roman"/>
                <w:bCs/>
                <w:color w:val="auto"/>
                <w:kern w:val="0"/>
                <w:sz w:val="24"/>
                <w:szCs w:val="24"/>
                <w:highlight w:val="none"/>
                <w:lang w:val="en-US" w:eastAsia="zh-CN" w:bidi="ar"/>
              </w:rPr>
              <w:t>t/d</w:t>
            </w:r>
            <w:r>
              <w:rPr>
                <w:rFonts w:hint="eastAsia" w:ascii="宋体" w:hAnsi="宋体" w:eastAsia="宋体" w:cs="宋体"/>
                <w:bCs/>
                <w:color w:val="auto"/>
                <w:kern w:val="0"/>
                <w:sz w:val="24"/>
                <w:szCs w:val="24"/>
                <w:highlight w:val="none"/>
                <w:lang w:val="en-US" w:eastAsia="zh-CN" w:bidi="ar"/>
              </w:rPr>
              <w:t>，</w:t>
            </w:r>
            <w:r>
              <w:rPr>
                <w:rFonts w:hint="eastAsia" w:ascii="Times New Roman" w:hAnsi="Times New Roman" w:cs="Times New Roman"/>
                <w:bCs/>
                <w:color w:val="auto"/>
                <w:kern w:val="0"/>
                <w:sz w:val="24"/>
                <w:szCs w:val="24"/>
                <w:highlight w:val="none"/>
                <w:lang w:val="en-US" w:eastAsia="zh-CN" w:bidi="ar"/>
              </w:rPr>
              <w:t>21392.4</w:t>
            </w:r>
            <w:r>
              <w:rPr>
                <w:rFonts w:hint="default" w:ascii="Times New Roman" w:hAnsi="Times New Roman" w:eastAsia="宋体" w:cs="Times New Roman"/>
                <w:bCs/>
                <w:color w:val="auto"/>
                <w:kern w:val="0"/>
                <w:sz w:val="24"/>
                <w:szCs w:val="24"/>
                <w:highlight w:val="none"/>
                <w:lang w:val="en-US" w:eastAsia="zh-CN" w:bidi="ar"/>
              </w:rPr>
              <w:t>t/a</w:t>
            </w:r>
            <w:r>
              <w:rPr>
                <w:rFonts w:hint="eastAsia" w:ascii="宋体" w:hAnsi="宋体" w:eastAsia="宋体" w:cs="宋体"/>
                <w:bCs/>
                <w:color w:val="auto"/>
                <w:kern w:val="0"/>
                <w:sz w:val="24"/>
                <w:szCs w:val="24"/>
                <w:highlight w:val="none"/>
                <w:lang w:val="en-US" w:eastAsia="zh-CN" w:bidi="ar"/>
              </w:rPr>
              <w:t>。</w:t>
            </w:r>
          </w:p>
          <w:p w14:paraId="79B44A5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cs="宋体"/>
                <w:snapToGrid w:val="0"/>
                <w:color w:val="auto"/>
                <w:spacing w:val="0"/>
                <w:kern w:val="0"/>
                <w:sz w:val="24"/>
                <w:szCs w:val="24"/>
                <w:highlight w:val="none"/>
                <w:lang w:val="en-US" w:eastAsia="zh-CN"/>
              </w:rPr>
            </w:pPr>
            <w:r>
              <w:rPr>
                <w:rFonts w:hint="eastAsia" w:cs="宋体"/>
                <w:snapToGrid w:val="0"/>
                <w:color w:val="auto"/>
                <w:spacing w:val="0"/>
                <w:kern w:val="0"/>
                <w:sz w:val="24"/>
                <w:szCs w:val="24"/>
                <w:highlight w:val="none"/>
                <w:lang w:val="en-US" w:eastAsia="zh-CN"/>
              </w:rPr>
              <w:t>离子交换树脂再生用水：本项目软化水工艺采用离子交换树脂法，离子交换树脂需通过配比氯化钠溶液再生，本项目采用固定床离子交换器，树脂填充量约1m</w:t>
            </w:r>
            <w:r>
              <w:rPr>
                <w:rFonts w:hint="eastAsia" w:cs="宋体"/>
                <w:snapToGrid w:val="0"/>
                <w:color w:val="auto"/>
                <w:spacing w:val="0"/>
                <w:kern w:val="0"/>
                <w:sz w:val="24"/>
                <w:szCs w:val="24"/>
                <w:highlight w:val="none"/>
                <w:vertAlign w:val="superscript"/>
                <w:lang w:val="en-US" w:eastAsia="zh-CN"/>
              </w:rPr>
              <w:t>3</w:t>
            </w:r>
            <w:r>
              <w:rPr>
                <w:rFonts w:hint="eastAsia" w:cs="宋体"/>
                <w:snapToGrid w:val="0"/>
                <w:color w:val="auto"/>
                <w:spacing w:val="0"/>
                <w:kern w:val="0"/>
                <w:sz w:val="24"/>
                <w:szCs w:val="24"/>
                <w:highlight w:val="none"/>
                <w:lang w:val="en-US" w:eastAsia="zh-CN"/>
              </w:rPr>
              <w:t>，本项目再生工艺采用逆流再生工艺，再生用水量=再生液用量+逆冲洗水量+正冲洗水量，总用水量约9m</w:t>
            </w:r>
            <w:r>
              <w:rPr>
                <w:rFonts w:hint="eastAsia" w:cs="宋体"/>
                <w:snapToGrid w:val="0"/>
                <w:color w:val="auto"/>
                <w:spacing w:val="0"/>
                <w:kern w:val="0"/>
                <w:sz w:val="24"/>
                <w:szCs w:val="24"/>
                <w:highlight w:val="none"/>
                <w:vertAlign w:val="superscript"/>
                <w:lang w:val="en-US" w:eastAsia="zh-CN"/>
              </w:rPr>
              <w:t>3</w:t>
            </w:r>
            <w:r>
              <w:rPr>
                <w:rFonts w:hint="eastAsia" w:cs="宋体"/>
                <w:snapToGrid w:val="0"/>
                <w:color w:val="auto"/>
                <w:spacing w:val="0"/>
                <w:kern w:val="0"/>
                <w:sz w:val="24"/>
                <w:szCs w:val="24"/>
                <w:highlight w:val="none"/>
                <w:vertAlign w:val="baseline"/>
                <w:lang w:val="en-US" w:eastAsia="zh-CN"/>
              </w:rPr>
              <w:t>（再生液：2m</w:t>
            </w:r>
            <w:r>
              <w:rPr>
                <w:rFonts w:hint="eastAsia" w:cs="宋体"/>
                <w:snapToGrid w:val="0"/>
                <w:color w:val="auto"/>
                <w:spacing w:val="0"/>
                <w:kern w:val="0"/>
                <w:sz w:val="24"/>
                <w:szCs w:val="24"/>
                <w:highlight w:val="none"/>
                <w:vertAlign w:val="superscript"/>
                <w:lang w:val="en-US" w:eastAsia="zh-CN"/>
              </w:rPr>
              <w:t>3</w:t>
            </w:r>
            <w:r>
              <w:rPr>
                <w:rFonts w:hint="eastAsia" w:cs="宋体"/>
                <w:snapToGrid w:val="0"/>
                <w:color w:val="auto"/>
                <w:spacing w:val="0"/>
                <w:kern w:val="0"/>
                <w:sz w:val="24"/>
                <w:szCs w:val="24"/>
                <w:highlight w:val="none"/>
                <w:vertAlign w:val="baseline"/>
                <w:lang w:val="en-US" w:eastAsia="zh-CN"/>
              </w:rPr>
              <w:t>，反洗水：3m</w:t>
            </w:r>
            <w:r>
              <w:rPr>
                <w:rFonts w:hint="eastAsia" w:cs="宋体"/>
                <w:snapToGrid w:val="0"/>
                <w:color w:val="auto"/>
                <w:spacing w:val="0"/>
                <w:kern w:val="0"/>
                <w:sz w:val="24"/>
                <w:szCs w:val="24"/>
                <w:highlight w:val="none"/>
                <w:vertAlign w:val="superscript"/>
                <w:lang w:val="en-US" w:eastAsia="zh-CN"/>
              </w:rPr>
              <w:t>3</w:t>
            </w:r>
            <w:r>
              <w:rPr>
                <w:rFonts w:hint="eastAsia" w:cs="宋体"/>
                <w:snapToGrid w:val="0"/>
                <w:color w:val="auto"/>
                <w:spacing w:val="0"/>
                <w:kern w:val="0"/>
                <w:sz w:val="24"/>
                <w:szCs w:val="24"/>
                <w:highlight w:val="none"/>
                <w:vertAlign w:val="baseline"/>
                <w:lang w:val="en-US" w:eastAsia="zh-CN"/>
              </w:rPr>
              <w:t>；正洗水：4m</w:t>
            </w:r>
            <w:r>
              <w:rPr>
                <w:rFonts w:hint="eastAsia" w:cs="宋体"/>
                <w:snapToGrid w:val="0"/>
                <w:color w:val="auto"/>
                <w:spacing w:val="0"/>
                <w:kern w:val="0"/>
                <w:sz w:val="24"/>
                <w:szCs w:val="24"/>
                <w:highlight w:val="none"/>
                <w:vertAlign w:val="superscript"/>
                <w:lang w:val="en-US" w:eastAsia="zh-CN"/>
              </w:rPr>
              <w:t>3</w:t>
            </w:r>
            <w:r>
              <w:rPr>
                <w:rFonts w:hint="eastAsia" w:cs="宋体"/>
                <w:snapToGrid w:val="0"/>
                <w:color w:val="auto"/>
                <w:spacing w:val="0"/>
                <w:kern w:val="0"/>
                <w:sz w:val="24"/>
                <w:szCs w:val="24"/>
                <w:highlight w:val="none"/>
                <w:vertAlign w:val="baseline"/>
                <w:lang w:val="en-US" w:eastAsia="zh-CN"/>
              </w:rPr>
              <w:t>）</w:t>
            </w:r>
            <w:r>
              <w:rPr>
                <w:rFonts w:hint="eastAsia" w:cs="宋体"/>
                <w:snapToGrid w:val="0"/>
                <w:color w:val="auto"/>
                <w:spacing w:val="0"/>
                <w:kern w:val="0"/>
                <w:sz w:val="24"/>
                <w:szCs w:val="24"/>
                <w:highlight w:val="none"/>
                <w:lang w:val="en-US" w:eastAsia="zh-CN"/>
              </w:rPr>
              <w:t>。鸡西地区水硬度约200-400mg/L,以CaCO</w:t>
            </w:r>
            <w:r>
              <w:rPr>
                <w:rFonts w:hint="eastAsia" w:cs="宋体"/>
                <w:snapToGrid w:val="0"/>
                <w:color w:val="auto"/>
                <w:spacing w:val="0"/>
                <w:kern w:val="0"/>
                <w:sz w:val="24"/>
                <w:szCs w:val="24"/>
                <w:highlight w:val="none"/>
                <w:vertAlign w:val="subscript"/>
                <w:lang w:val="en-US" w:eastAsia="zh-CN"/>
              </w:rPr>
              <w:t>3</w:t>
            </w:r>
            <w:r>
              <w:rPr>
                <w:rFonts w:hint="eastAsia" w:cs="宋体"/>
                <w:snapToGrid w:val="0"/>
                <w:color w:val="auto"/>
                <w:spacing w:val="0"/>
                <w:kern w:val="0"/>
                <w:sz w:val="24"/>
                <w:szCs w:val="24"/>
                <w:highlight w:val="none"/>
                <w:lang w:val="en-US" w:eastAsia="zh-CN"/>
              </w:rPr>
              <w:t>计，树脂工作交换容量约 800-1000mol/m³，当原水硬度 300mg/L（3mmol/L）时，单台树脂（1m³）可处理软水总量 =（800mol/m³×1m³）÷3mmol/L≈267m³。本项目日用软水量为</w:t>
            </w:r>
            <w:r>
              <w:rPr>
                <w:rFonts w:hint="default" w:ascii="Times New Roman" w:hAnsi="Times New Roman" w:eastAsia="宋体" w:cs="Times New Roman"/>
                <w:color w:val="auto"/>
                <w:spacing w:val="0"/>
                <w:highlight w:val="none"/>
                <w:lang w:val="en-US" w:eastAsia="zh-CN"/>
              </w:rPr>
              <w:t>160.44</w:t>
            </w:r>
            <w:r>
              <w:rPr>
                <w:rFonts w:hint="eastAsia" w:cs="宋体"/>
                <w:snapToGrid w:val="0"/>
                <w:color w:val="auto"/>
                <w:spacing w:val="0"/>
                <w:kern w:val="0"/>
                <w:sz w:val="24"/>
                <w:szCs w:val="24"/>
                <w:highlight w:val="none"/>
                <w:lang w:val="en-US" w:eastAsia="zh-CN"/>
              </w:rPr>
              <w:t>m</w:t>
            </w:r>
            <w:r>
              <w:rPr>
                <w:rFonts w:hint="eastAsia" w:cs="宋体"/>
                <w:snapToGrid w:val="0"/>
                <w:color w:val="auto"/>
                <w:spacing w:val="0"/>
                <w:kern w:val="0"/>
                <w:sz w:val="24"/>
                <w:szCs w:val="24"/>
                <w:highlight w:val="none"/>
                <w:vertAlign w:val="superscript"/>
                <w:lang w:val="en-US" w:eastAsia="zh-CN"/>
              </w:rPr>
              <w:t>3</w:t>
            </w:r>
            <w:r>
              <w:rPr>
                <w:rFonts w:hint="default" w:ascii="Times New Roman" w:hAnsi="Times New Roman" w:eastAsia="宋体" w:cs="Times New Roman"/>
                <w:color w:val="auto"/>
                <w:spacing w:val="0"/>
                <w:highlight w:val="none"/>
                <w:lang w:val="en-US" w:eastAsia="zh-CN"/>
              </w:rPr>
              <w:t>/d</w:t>
            </w:r>
            <w:r>
              <w:rPr>
                <w:rFonts w:hint="eastAsia" w:ascii="Times New Roman" w:hAnsi="Times New Roman" w:cs="Times New Roman"/>
                <w:color w:val="auto"/>
                <w:spacing w:val="0"/>
                <w:highlight w:val="none"/>
                <w:lang w:val="en-US" w:eastAsia="zh-CN"/>
              </w:rPr>
              <w:t>，因此再生周期约1.6d/次，日均用水量=单次用水量÷再生周期</w:t>
            </w:r>
            <w:r>
              <w:rPr>
                <w:rFonts w:hint="eastAsia" w:cs="宋体"/>
                <w:snapToGrid w:val="0"/>
                <w:color w:val="auto"/>
                <w:spacing w:val="0"/>
                <w:kern w:val="0"/>
                <w:sz w:val="24"/>
                <w:szCs w:val="24"/>
                <w:highlight w:val="none"/>
                <w:lang w:val="en-US" w:eastAsia="zh-CN"/>
              </w:rPr>
              <w:t>≈5.625m</w:t>
            </w:r>
            <w:r>
              <w:rPr>
                <w:rFonts w:hint="eastAsia" w:cs="宋体"/>
                <w:snapToGrid w:val="0"/>
                <w:color w:val="auto"/>
                <w:spacing w:val="0"/>
                <w:kern w:val="0"/>
                <w:sz w:val="24"/>
                <w:szCs w:val="24"/>
                <w:highlight w:val="none"/>
                <w:vertAlign w:val="superscript"/>
                <w:lang w:val="en-US" w:eastAsia="zh-CN"/>
              </w:rPr>
              <w:t>3</w:t>
            </w:r>
            <w:r>
              <w:rPr>
                <w:rFonts w:hint="eastAsia" w:cs="宋体"/>
                <w:snapToGrid w:val="0"/>
                <w:color w:val="auto"/>
                <w:spacing w:val="0"/>
                <w:kern w:val="0"/>
                <w:sz w:val="24"/>
                <w:szCs w:val="24"/>
                <w:highlight w:val="none"/>
                <w:lang w:val="en-US" w:eastAsia="zh-CN"/>
              </w:rPr>
              <w:t>/d。本项目锅炉年运行120d，则离子交换树脂再生用水量为675m</w:t>
            </w:r>
            <w:r>
              <w:rPr>
                <w:rFonts w:hint="eastAsia" w:cs="宋体"/>
                <w:snapToGrid w:val="0"/>
                <w:color w:val="auto"/>
                <w:spacing w:val="0"/>
                <w:kern w:val="0"/>
                <w:sz w:val="24"/>
                <w:szCs w:val="24"/>
                <w:highlight w:val="none"/>
                <w:vertAlign w:val="superscript"/>
                <w:lang w:val="en-US" w:eastAsia="zh-CN"/>
              </w:rPr>
              <w:t>3</w:t>
            </w:r>
            <w:r>
              <w:rPr>
                <w:rFonts w:hint="eastAsia" w:cs="宋体"/>
                <w:snapToGrid w:val="0"/>
                <w:color w:val="auto"/>
                <w:spacing w:val="0"/>
                <w:kern w:val="0"/>
                <w:sz w:val="24"/>
                <w:szCs w:val="24"/>
                <w:highlight w:val="none"/>
                <w:lang w:val="en-US" w:eastAsia="zh-CN"/>
              </w:rPr>
              <w:t>/a。</w:t>
            </w:r>
          </w:p>
          <w:p w14:paraId="54892EA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snapToGrid w:val="0"/>
                <w:color w:val="auto"/>
                <w:spacing w:val="0"/>
                <w:kern w:val="0"/>
                <w:sz w:val="24"/>
                <w:szCs w:val="24"/>
                <w:highlight w:val="none"/>
              </w:rPr>
            </w:pPr>
            <w:r>
              <w:rPr>
                <w:rFonts w:hint="eastAsia" w:ascii="宋体" w:hAnsi="宋体" w:eastAsia="宋体" w:cs="宋体"/>
                <w:snapToGrid w:val="0"/>
                <w:color w:val="auto"/>
                <w:spacing w:val="0"/>
                <w:kern w:val="0"/>
                <w:sz w:val="24"/>
                <w:szCs w:val="24"/>
                <w:highlight w:val="none"/>
              </w:rPr>
              <w:t>排水</w:t>
            </w:r>
          </w:p>
          <w:p w14:paraId="36060D4D">
            <w:pPr>
              <w:pStyle w:val="14"/>
              <w:rPr>
                <w:rFonts w:hint="eastAsia" w:ascii="宋体" w:hAnsi="宋体" w:eastAsia="宋体" w:cs="宋体"/>
                <w:color w:val="auto"/>
                <w:spacing w:val="0"/>
                <w:highlight w:val="none"/>
                <w:lang w:val="en-US" w:eastAsia="zh-CN"/>
              </w:rPr>
            </w:pPr>
            <w:r>
              <w:rPr>
                <w:rFonts w:hint="eastAsia" w:ascii="宋体" w:hAnsi="宋体" w:eastAsia="宋体" w:cs="宋体"/>
                <w:color w:val="auto"/>
                <w:spacing w:val="0"/>
                <w:highlight w:val="none"/>
                <w:lang w:val="en-US" w:eastAsia="zh-CN"/>
              </w:rPr>
              <w:t>锅炉排污水：根据《污染源源强核算技术指南 锅炉》中废水污染源源强核算方法，本项目采用产污系数法。由《排放源统计调查产排污核算方法和系数手册》（公告</w:t>
            </w:r>
            <w:r>
              <w:rPr>
                <w:rFonts w:hint="default" w:ascii="Times New Roman" w:hAnsi="Times New Roman" w:eastAsia="宋体" w:cs="Times New Roman"/>
                <w:color w:val="auto"/>
                <w:spacing w:val="0"/>
                <w:highlight w:val="none"/>
                <w:lang w:val="en-US" w:eastAsia="zh-CN"/>
              </w:rPr>
              <w:t>2021</w:t>
            </w:r>
            <w:r>
              <w:rPr>
                <w:rFonts w:hint="eastAsia" w:ascii="宋体" w:hAnsi="宋体" w:eastAsia="宋体" w:cs="宋体"/>
                <w:color w:val="auto"/>
                <w:spacing w:val="0"/>
                <w:highlight w:val="none"/>
                <w:lang w:val="en-US" w:eastAsia="zh-CN"/>
              </w:rPr>
              <w:t>年第</w:t>
            </w:r>
            <w:r>
              <w:rPr>
                <w:rFonts w:hint="default" w:ascii="Times New Roman" w:hAnsi="Times New Roman" w:eastAsia="宋体" w:cs="Times New Roman"/>
                <w:color w:val="auto"/>
                <w:spacing w:val="0"/>
                <w:highlight w:val="none"/>
                <w:lang w:val="en-US" w:eastAsia="zh-CN"/>
              </w:rPr>
              <w:t>24</w:t>
            </w:r>
            <w:r>
              <w:rPr>
                <w:rFonts w:hint="eastAsia" w:ascii="宋体" w:hAnsi="宋体" w:eastAsia="宋体" w:cs="宋体"/>
                <w:color w:val="auto"/>
                <w:spacing w:val="0"/>
                <w:highlight w:val="none"/>
                <w:lang w:val="en-US" w:eastAsia="zh-CN"/>
              </w:rPr>
              <w:t>号）中“</w:t>
            </w:r>
            <w:r>
              <w:rPr>
                <w:rFonts w:hint="default" w:ascii="Times New Roman" w:hAnsi="Times New Roman" w:eastAsia="宋体" w:cs="Times New Roman"/>
                <w:color w:val="auto"/>
                <w:spacing w:val="0"/>
                <w:highlight w:val="none"/>
                <w:lang w:val="en-US" w:eastAsia="zh-CN"/>
              </w:rPr>
              <w:t>4430</w:t>
            </w:r>
            <w:r>
              <w:rPr>
                <w:rFonts w:hint="eastAsia" w:ascii="宋体" w:hAnsi="宋体" w:eastAsia="宋体" w:cs="宋体"/>
                <w:color w:val="auto"/>
                <w:spacing w:val="0"/>
                <w:highlight w:val="none"/>
                <w:lang w:val="en-US" w:eastAsia="zh-CN"/>
              </w:rPr>
              <w:t>工业锅炉（热力生产和供应行业）产排污系数表”的内容，</w:t>
            </w:r>
            <w:r>
              <w:rPr>
                <w:rFonts w:hint="eastAsia" w:ascii="Times New Roman" w:hAnsi="Times New Roman" w:eastAsia="宋体"/>
                <w:color w:val="auto"/>
                <w:sz w:val="24"/>
                <w:highlight w:val="none"/>
                <w:lang w:val="en-US" w:eastAsia="zh-CN"/>
              </w:rPr>
              <w:t>生物质燃料</w:t>
            </w:r>
            <w:r>
              <w:rPr>
                <w:rFonts w:ascii="Times New Roman" w:hAnsi="Times New Roman"/>
                <w:color w:val="auto"/>
                <w:sz w:val="24"/>
                <w:highlight w:val="none"/>
              </w:rPr>
              <w:t>（锅外水处理）废水产生系数为0.356吨/吨</w:t>
            </w:r>
            <w:r>
              <w:rPr>
                <w:rFonts w:hint="eastAsia" w:ascii="Times New Roman" w:hAnsi="Times New Roman"/>
                <w:color w:val="auto"/>
                <w:sz w:val="24"/>
                <w:highlight w:val="none"/>
                <w:lang w:eastAsia="zh-CN"/>
              </w:rPr>
              <w:t>－</w:t>
            </w:r>
            <w:r>
              <w:rPr>
                <w:rFonts w:ascii="Times New Roman" w:hAnsi="Times New Roman"/>
                <w:color w:val="auto"/>
                <w:sz w:val="24"/>
                <w:highlight w:val="none"/>
              </w:rPr>
              <w:t>原料</w:t>
            </w:r>
            <w:r>
              <w:rPr>
                <w:rFonts w:hint="eastAsia" w:ascii="宋体" w:hAnsi="宋体" w:eastAsia="宋体" w:cs="宋体"/>
                <w:color w:val="auto"/>
                <w:spacing w:val="0"/>
                <w:highlight w:val="none"/>
                <w:lang w:val="en-US" w:eastAsia="zh-CN"/>
              </w:rPr>
              <w:t>，本项目</w:t>
            </w:r>
            <w:r>
              <w:rPr>
                <w:rFonts w:ascii="Times New Roman" w:hAnsi="Times New Roman"/>
                <w:color w:val="auto"/>
                <w:sz w:val="24"/>
                <w:highlight w:val="none"/>
              </w:rPr>
              <w:t>生物质锅炉</w:t>
            </w:r>
            <w:r>
              <w:rPr>
                <w:rFonts w:hint="eastAsia" w:ascii="宋体" w:hAnsi="宋体" w:eastAsia="宋体" w:cs="宋体"/>
                <w:color w:val="auto"/>
                <w:spacing w:val="0"/>
                <w:highlight w:val="none"/>
                <w:lang w:val="en-US" w:eastAsia="zh-CN"/>
              </w:rPr>
              <w:t>年燃烧</w:t>
            </w:r>
            <w:r>
              <w:rPr>
                <w:rFonts w:ascii="Times New Roman" w:hAnsi="Times New Roman"/>
                <w:color w:val="auto"/>
                <w:sz w:val="24"/>
                <w:highlight w:val="none"/>
              </w:rPr>
              <w:t>生物质</w:t>
            </w:r>
            <w:r>
              <w:rPr>
                <w:rFonts w:hint="eastAsia" w:ascii="宋体" w:hAnsi="宋体" w:eastAsia="宋体" w:cs="宋体"/>
                <w:color w:val="auto"/>
                <w:spacing w:val="0"/>
                <w:highlight w:val="none"/>
                <w:lang w:val="en-US" w:eastAsia="zh-CN"/>
              </w:rPr>
              <w:t>消耗量</w:t>
            </w:r>
            <w:r>
              <w:rPr>
                <w:rFonts w:hint="eastAsia" w:ascii="Times New Roman" w:hAnsi="Times New Roman" w:cs="Times New Roman"/>
                <w:bCs/>
                <w:color w:val="auto"/>
                <w:spacing w:val="0"/>
                <w:sz w:val="24"/>
                <w:szCs w:val="24"/>
                <w:highlight w:val="none"/>
                <w:lang w:val="en-US" w:eastAsia="zh-CN"/>
              </w:rPr>
              <w:t>3113.568</w:t>
            </w:r>
            <w:r>
              <w:rPr>
                <w:rFonts w:hint="default" w:ascii="Times New Roman" w:hAnsi="Times New Roman" w:cs="Times New Roman"/>
                <w:bCs/>
                <w:color w:val="auto"/>
                <w:spacing w:val="0"/>
                <w:sz w:val="24"/>
                <w:szCs w:val="24"/>
                <w:highlight w:val="none"/>
                <w:lang w:val="en-US" w:eastAsia="zh-CN"/>
              </w:rPr>
              <w:t>t/a</w:t>
            </w:r>
            <w:r>
              <w:rPr>
                <w:rFonts w:hint="eastAsia" w:ascii="宋体" w:hAnsi="宋体" w:eastAsia="宋体" w:cs="宋体"/>
                <w:color w:val="auto"/>
                <w:spacing w:val="0"/>
                <w:highlight w:val="none"/>
                <w:lang w:val="en-US" w:eastAsia="zh-CN"/>
              </w:rPr>
              <w:t>，故锅炉排污水为</w:t>
            </w:r>
            <w:r>
              <w:rPr>
                <w:rFonts w:hint="eastAsia" w:ascii="Times New Roman" w:hAnsi="Times New Roman" w:cs="Times New Roman"/>
                <w:color w:val="auto"/>
                <w:spacing w:val="0"/>
                <w:highlight w:val="none"/>
                <w:lang w:val="en-US" w:eastAsia="zh-CN"/>
              </w:rPr>
              <w:t>0.385</w:t>
            </w:r>
            <w:r>
              <w:rPr>
                <w:rFonts w:hint="default" w:ascii="Times New Roman" w:hAnsi="Times New Roman" w:eastAsia="宋体" w:cs="Times New Roman"/>
                <w:color w:val="auto"/>
                <w:highlight w:val="none"/>
                <w:lang w:val="en-US" w:eastAsia="zh-CN"/>
              </w:rPr>
              <w:t>t/h</w:t>
            </w:r>
            <w:r>
              <w:rPr>
                <w:rFonts w:hint="eastAsia" w:ascii="宋体" w:hAnsi="宋体" w:eastAsia="宋体" w:cs="宋体"/>
                <w:color w:val="auto"/>
                <w:spacing w:val="0"/>
                <w:highlight w:val="none"/>
                <w:lang w:val="en-US" w:eastAsia="zh-CN"/>
              </w:rPr>
              <w:t>，</w:t>
            </w:r>
            <w:r>
              <w:rPr>
                <w:rFonts w:hint="eastAsia" w:ascii="Times New Roman" w:hAnsi="Times New Roman" w:cs="Times New Roman"/>
                <w:color w:val="auto"/>
                <w:spacing w:val="0"/>
                <w:highlight w:val="none"/>
                <w:lang w:val="en-US" w:eastAsia="zh-CN"/>
              </w:rPr>
              <w:t>9.24</w:t>
            </w:r>
            <w:r>
              <w:rPr>
                <w:rFonts w:hint="default" w:ascii="Times New Roman" w:hAnsi="Times New Roman" w:eastAsia="宋体" w:cs="Times New Roman"/>
                <w:color w:val="auto"/>
                <w:spacing w:val="0"/>
                <w:highlight w:val="none"/>
                <w:lang w:val="en-US" w:eastAsia="zh-CN"/>
              </w:rPr>
              <w:t>t/d</w:t>
            </w:r>
            <w:r>
              <w:rPr>
                <w:rFonts w:hint="eastAsia" w:ascii="宋体" w:hAnsi="宋体" w:eastAsia="宋体" w:cs="宋体"/>
                <w:color w:val="auto"/>
                <w:spacing w:val="0"/>
                <w:highlight w:val="none"/>
                <w:lang w:val="en-US" w:eastAsia="zh-CN"/>
              </w:rPr>
              <w:t>，</w:t>
            </w:r>
            <w:r>
              <w:rPr>
                <w:rFonts w:hint="eastAsia" w:ascii="Times New Roman" w:hAnsi="Times New Roman" w:cs="Times New Roman"/>
                <w:color w:val="auto"/>
                <w:spacing w:val="0"/>
                <w:highlight w:val="none"/>
                <w:lang w:val="en-US" w:eastAsia="zh-CN"/>
              </w:rPr>
              <w:t>1108.8</w:t>
            </w:r>
            <w:r>
              <w:rPr>
                <w:rFonts w:hint="default" w:ascii="Times New Roman" w:hAnsi="Times New Roman" w:eastAsia="宋体" w:cs="Times New Roman"/>
                <w:color w:val="auto"/>
                <w:highlight w:val="none"/>
                <w:lang w:val="en-US" w:eastAsia="zh-CN"/>
              </w:rPr>
              <w:t>t</w:t>
            </w:r>
            <w:r>
              <w:rPr>
                <w:rFonts w:hint="default" w:ascii="Times New Roman" w:hAnsi="Times New Roman" w:eastAsia="宋体" w:cs="Times New Roman"/>
                <w:color w:val="auto"/>
                <w:spacing w:val="0"/>
                <w:highlight w:val="none"/>
                <w:lang w:val="en-US" w:eastAsia="zh-CN"/>
              </w:rPr>
              <w:t>/a</w:t>
            </w:r>
          </w:p>
          <w:p w14:paraId="5C250269">
            <w:pPr>
              <w:pStyle w:val="15"/>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color w:val="auto"/>
                <w:highlight w:val="none"/>
                <w:lang w:val="en-US" w:eastAsia="zh-CN"/>
              </w:rPr>
            </w:pPr>
            <w:r>
              <w:rPr>
                <w:rFonts w:hint="eastAsia"/>
                <w:color w:val="auto"/>
                <w:highlight w:val="none"/>
                <w:lang w:val="en-US" w:eastAsia="zh-CN"/>
              </w:rPr>
              <w:t>软水制备废水：软水制备系统所用新鲜水为</w:t>
            </w:r>
            <w:r>
              <w:rPr>
                <w:rFonts w:hint="eastAsia" w:ascii="Times New Roman" w:hAnsi="Times New Roman" w:cs="Times New Roman"/>
                <w:bCs/>
                <w:color w:val="auto"/>
                <w:kern w:val="0"/>
                <w:sz w:val="24"/>
                <w:szCs w:val="24"/>
                <w:highlight w:val="none"/>
                <w:lang w:val="en-US" w:eastAsia="zh-CN" w:bidi="ar"/>
              </w:rPr>
              <w:t>178.27</w:t>
            </w:r>
            <w:r>
              <w:rPr>
                <w:rFonts w:hint="default" w:ascii="Times New Roman" w:hAnsi="Times New Roman" w:eastAsia="宋体" w:cs="Times New Roman"/>
                <w:bCs/>
                <w:color w:val="auto"/>
                <w:kern w:val="0"/>
                <w:sz w:val="24"/>
                <w:szCs w:val="24"/>
                <w:highlight w:val="none"/>
                <w:lang w:val="en-US" w:eastAsia="zh-CN" w:bidi="ar"/>
              </w:rPr>
              <w:t>t/d</w:t>
            </w:r>
            <w:r>
              <w:rPr>
                <w:rFonts w:hint="eastAsia" w:ascii="宋体" w:hAnsi="宋体" w:eastAsia="宋体" w:cs="宋体"/>
                <w:bCs/>
                <w:color w:val="auto"/>
                <w:kern w:val="0"/>
                <w:sz w:val="24"/>
                <w:szCs w:val="24"/>
                <w:highlight w:val="none"/>
                <w:lang w:val="en-US" w:eastAsia="zh-CN" w:bidi="ar"/>
              </w:rPr>
              <w:t>，</w:t>
            </w:r>
            <w:r>
              <w:rPr>
                <w:rFonts w:hint="eastAsia" w:ascii="Times New Roman" w:hAnsi="Times New Roman" w:cs="Times New Roman"/>
                <w:bCs/>
                <w:color w:val="auto"/>
                <w:kern w:val="0"/>
                <w:sz w:val="24"/>
                <w:szCs w:val="24"/>
                <w:highlight w:val="none"/>
                <w:lang w:val="en-US" w:eastAsia="zh-CN" w:bidi="ar"/>
              </w:rPr>
              <w:t>21392.4</w:t>
            </w:r>
            <w:r>
              <w:rPr>
                <w:rFonts w:hint="default" w:ascii="Times New Roman" w:hAnsi="Times New Roman" w:eastAsia="宋体" w:cs="Times New Roman"/>
                <w:bCs/>
                <w:color w:val="auto"/>
                <w:kern w:val="0"/>
                <w:sz w:val="24"/>
                <w:szCs w:val="24"/>
                <w:highlight w:val="none"/>
                <w:lang w:val="en-US" w:eastAsia="zh-CN" w:bidi="ar"/>
              </w:rPr>
              <w:t>t/a</w:t>
            </w:r>
            <w:r>
              <w:rPr>
                <w:rFonts w:hint="eastAsia" w:ascii="宋体" w:hAnsi="宋体" w:eastAsia="宋体" w:cs="宋体"/>
                <w:bCs/>
                <w:color w:val="auto"/>
                <w:kern w:val="0"/>
                <w:sz w:val="24"/>
                <w:szCs w:val="24"/>
                <w:highlight w:val="none"/>
                <w:lang w:val="en-US" w:eastAsia="zh-CN" w:bidi="ar"/>
              </w:rPr>
              <w:t>。</w:t>
            </w:r>
            <w:r>
              <w:rPr>
                <w:rFonts w:hint="eastAsia"/>
                <w:color w:val="auto"/>
                <w:highlight w:val="none"/>
                <w:lang w:val="en-US" w:eastAsia="zh-CN"/>
              </w:rPr>
              <w:t>制水效率</w:t>
            </w:r>
            <w:r>
              <w:rPr>
                <w:rFonts w:hint="default" w:ascii="Times New Roman" w:hAnsi="Times New Roman" w:cs="Times New Roman"/>
                <w:color w:val="auto"/>
                <w:highlight w:val="none"/>
                <w:lang w:val="en-US" w:eastAsia="zh-CN"/>
              </w:rPr>
              <w:t>90%</w:t>
            </w:r>
            <w:r>
              <w:rPr>
                <w:rFonts w:hint="eastAsia"/>
                <w:color w:val="auto"/>
                <w:highlight w:val="none"/>
                <w:lang w:val="en-US" w:eastAsia="zh-CN"/>
              </w:rPr>
              <w:t>，则新增软水制备系统排污水</w:t>
            </w:r>
            <w:r>
              <w:rPr>
                <w:rFonts w:hint="eastAsia" w:ascii="Times New Roman" w:hAnsi="Times New Roman" w:cs="Times New Roman"/>
                <w:color w:val="auto"/>
                <w:highlight w:val="none"/>
                <w:lang w:val="en-US" w:eastAsia="zh-CN"/>
              </w:rPr>
              <w:t>17.827</w:t>
            </w:r>
            <w:r>
              <w:rPr>
                <w:rFonts w:hint="default" w:ascii="Times New Roman" w:hAnsi="Times New Roman" w:cs="Times New Roman"/>
                <w:color w:val="auto"/>
                <w:highlight w:val="none"/>
                <w:lang w:val="en-US" w:eastAsia="zh-CN"/>
              </w:rPr>
              <w:t>t/d</w:t>
            </w:r>
            <w:r>
              <w:rPr>
                <w:rFonts w:hint="eastAsia"/>
                <w:color w:val="auto"/>
                <w:highlight w:val="none"/>
                <w:lang w:val="en-US" w:eastAsia="zh-CN"/>
              </w:rPr>
              <w:t>（</w:t>
            </w:r>
            <w:r>
              <w:rPr>
                <w:rFonts w:hint="eastAsia" w:ascii="Times New Roman" w:hAnsi="Times New Roman" w:cs="Times New Roman"/>
                <w:color w:val="auto"/>
                <w:highlight w:val="none"/>
                <w:lang w:val="en-US" w:eastAsia="zh-CN"/>
              </w:rPr>
              <w:t>2139.24</w:t>
            </w:r>
            <w:r>
              <w:rPr>
                <w:rFonts w:hint="default" w:ascii="Times New Roman" w:hAnsi="Times New Roman" w:cs="Times New Roman"/>
                <w:color w:val="auto"/>
                <w:highlight w:val="none"/>
                <w:lang w:val="en-US" w:eastAsia="zh-CN"/>
              </w:rPr>
              <w:t>t/a</w:t>
            </w:r>
            <w:r>
              <w:rPr>
                <w:rFonts w:hint="eastAsia"/>
                <w:color w:val="auto"/>
                <w:highlight w:val="none"/>
                <w:lang w:val="en-US" w:eastAsia="zh-CN"/>
              </w:rPr>
              <w:t>）。</w:t>
            </w:r>
          </w:p>
          <w:p w14:paraId="69D12301">
            <w:pPr>
              <w:pStyle w:val="15"/>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color w:val="auto"/>
                <w:highlight w:val="none"/>
                <w:lang w:val="en-US" w:eastAsia="zh-CN"/>
              </w:rPr>
            </w:pPr>
            <w:r>
              <w:rPr>
                <w:rFonts w:hint="eastAsia"/>
                <w:color w:val="auto"/>
                <w:highlight w:val="none"/>
                <w:lang w:val="en-US" w:eastAsia="zh-CN"/>
              </w:rPr>
              <w:t>离子交换树脂再生水排水：本项目离子交换树脂再生废水排放量按照用水量90%排放，排放量为5.0625m</w:t>
            </w:r>
            <w:r>
              <w:rPr>
                <w:rFonts w:hint="eastAsia"/>
                <w:color w:val="auto"/>
                <w:highlight w:val="none"/>
                <w:vertAlign w:val="superscript"/>
                <w:lang w:val="en-US" w:eastAsia="zh-CN"/>
              </w:rPr>
              <w:t>3</w:t>
            </w:r>
            <w:r>
              <w:rPr>
                <w:rFonts w:hint="eastAsia"/>
                <w:color w:val="auto"/>
                <w:highlight w:val="none"/>
                <w:lang w:val="en-US" w:eastAsia="zh-CN"/>
              </w:rPr>
              <w:t>/d，607.5m</w:t>
            </w:r>
            <w:r>
              <w:rPr>
                <w:rFonts w:hint="eastAsia"/>
                <w:color w:val="auto"/>
                <w:highlight w:val="none"/>
                <w:vertAlign w:val="superscript"/>
                <w:lang w:val="en-US" w:eastAsia="zh-CN"/>
              </w:rPr>
              <w:t>3</w:t>
            </w:r>
            <w:r>
              <w:rPr>
                <w:rFonts w:hint="eastAsia"/>
                <w:color w:val="auto"/>
                <w:highlight w:val="none"/>
                <w:lang w:val="en-US" w:eastAsia="zh-CN"/>
              </w:rPr>
              <w:t>/a，产生的再生废水经在建工程的污水处理站预处理。</w:t>
            </w:r>
          </w:p>
          <w:p w14:paraId="300E73AB">
            <w:pPr>
              <w:pStyle w:val="15"/>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宋体" w:hAnsi="宋体" w:eastAsia="宋体" w:cs="宋体"/>
                <w:color w:val="auto"/>
                <w:spacing w:val="0"/>
                <w:highlight w:val="none"/>
                <w:lang w:val="en-US" w:eastAsia="zh-CN"/>
              </w:rPr>
            </w:pPr>
            <w:r>
              <w:rPr>
                <w:rFonts w:hint="eastAsia"/>
                <w:color w:val="auto"/>
                <w:highlight w:val="none"/>
                <w:lang w:val="en-US" w:eastAsia="zh-CN"/>
              </w:rPr>
              <w:t>综上，</w:t>
            </w:r>
            <w:r>
              <w:rPr>
                <w:rFonts w:hint="eastAsia" w:ascii="宋体" w:hAnsi="宋体" w:eastAsia="宋体" w:cs="宋体"/>
                <w:color w:val="auto"/>
                <w:spacing w:val="0"/>
                <w:highlight w:val="none"/>
                <w:lang w:val="en-US" w:eastAsia="zh-CN"/>
              </w:rPr>
              <w:t>本项目废水排放量为</w:t>
            </w:r>
            <w:r>
              <w:rPr>
                <w:rFonts w:hint="eastAsia" w:ascii="Times New Roman" w:hAnsi="Times New Roman" w:cs="Times New Roman"/>
                <w:color w:val="auto"/>
                <w:spacing w:val="0"/>
                <w:highlight w:val="none"/>
                <w:lang w:val="en-US" w:eastAsia="zh-CN"/>
              </w:rPr>
              <w:t>32.1295</w:t>
            </w:r>
            <w:r>
              <w:rPr>
                <w:rFonts w:hint="default" w:ascii="Times New Roman" w:hAnsi="Times New Roman" w:eastAsia="宋体" w:cs="Times New Roman"/>
                <w:color w:val="auto"/>
                <w:spacing w:val="0"/>
                <w:highlight w:val="none"/>
                <w:lang w:val="en-US" w:eastAsia="zh-CN"/>
              </w:rPr>
              <w:t>t/d</w:t>
            </w:r>
            <w:r>
              <w:rPr>
                <w:rFonts w:hint="eastAsia" w:ascii="宋体" w:hAnsi="宋体" w:eastAsia="宋体" w:cs="宋体"/>
                <w:color w:val="auto"/>
                <w:spacing w:val="0"/>
                <w:highlight w:val="none"/>
                <w:lang w:val="en-US" w:eastAsia="zh-CN"/>
              </w:rPr>
              <w:t>，</w:t>
            </w:r>
            <w:r>
              <w:rPr>
                <w:rFonts w:hint="eastAsia" w:ascii="Times New Roman" w:hAnsi="Times New Roman" w:cs="Times New Roman"/>
                <w:color w:val="auto"/>
                <w:spacing w:val="0"/>
                <w:highlight w:val="none"/>
                <w:lang w:val="en-US" w:eastAsia="zh-CN"/>
              </w:rPr>
              <w:t>3855.54</w:t>
            </w:r>
            <w:r>
              <w:rPr>
                <w:rFonts w:hint="default" w:ascii="Times New Roman" w:hAnsi="Times New Roman" w:eastAsia="宋体" w:cs="Times New Roman"/>
                <w:color w:val="auto"/>
                <w:spacing w:val="0"/>
                <w:highlight w:val="none"/>
                <w:lang w:val="en-US" w:eastAsia="zh-CN"/>
              </w:rPr>
              <w:t>t/a</w:t>
            </w:r>
            <w:r>
              <w:rPr>
                <w:rFonts w:hint="eastAsia" w:cs="宋体"/>
                <w:color w:val="auto"/>
                <w:spacing w:val="0"/>
                <w:highlight w:val="none"/>
                <w:lang w:val="en-US" w:eastAsia="zh-CN"/>
              </w:rPr>
              <w:t>。</w:t>
            </w:r>
            <w:r>
              <w:rPr>
                <w:rFonts w:hint="eastAsia" w:ascii="宋体" w:hAnsi="宋体" w:eastAsia="宋体" w:cs="宋体"/>
                <w:color w:val="auto"/>
                <w:spacing w:val="0"/>
                <w:highlight w:val="none"/>
                <w:lang w:val="en-US" w:eastAsia="zh-CN"/>
              </w:rPr>
              <w:t>废水经污水管网排放至</w:t>
            </w:r>
            <w:r>
              <w:rPr>
                <w:rFonts w:hint="eastAsia" w:cs="宋体"/>
                <w:color w:val="auto"/>
                <w:spacing w:val="0"/>
                <w:highlight w:val="none"/>
                <w:lang w:val="en-US" w:eastAsia="zh-CN"/>
              </w:rPr>
              <w:t>梨树工业谷污水处理厂</w:t>
            </w:r>
            <w:r>
              <w:rPr>
                <w:rFonts w:hint="eastAsia" w:ascii="宋体" w:hAnsi="宋体" w:eastAsia="宋体" w:cs="宋体"/>
                <w:color w:val="auto"/>
                <w:spacing w:val="0"/>
                <w:highlight w:val="none"/>
                <w:lang w:val="en-US" w:eastAsia="zh-CN"/>
              </w:rPr>
              <w:t>集中处理。</w:t>
            </w:r>
          </w:p>
          <w:p w14:paraId="30BF93E5">
            <w:pPr>
              <w:pStyle w:val="95"/>
              <w:spacing w:line="240" w:lineRule="auto"/>
              <w:ind w:firstLine="0" w:firstLineChars="0"/>
              <w:jc w:val="center"/>
              <w:rPr>
                <w:rFonts w:hint="eastAsia" w:ascii="宋体" w:hAnsi="宋体" w:eastAsia="宋体" w:cs="宋体"/>
                <w:b/>
                <w:bCs w:val="0"/>
                <w:color w:val="auto"/>
                <w:spacing w:val="0"/>
                <w:kern w:val="2"/>
                <w:sz w:val="21"/>
                <w:szCs w:val="21"/>
                <w:highlight w:val="none"/>
                <w:lang w:val="en-US" w:eastAsia="zh-CN" w:bidi="ar-SA"/>
              </w:rPr>
            </w:pPr>
            <w:r>
              <w:rPr>
                <w:rFonts w:hint="eastAsia" w:ascii="宋体" w:hAnsi="宋体" w:eastAsia="宋体" w:cs="宋体"/>
                <w:b/>
                <w:bCs w:val="0"/>
                <w:color w:val="auto"/>
                <w:spacing w:val="0"/>
                <w:kern w:val="2"/>
                <w:sz w:val="21"/>
                <w:szCs w:val="21"/>
                <w:highlight w:val="none"/>
                <w:lang w:val="en-US" w:eastAsia="zh-CN" w:bidi="ar-SA"/>
              </w:rPr>
              <w:t>表</w:t>
            </w:r>
            <w:r>
              <w:rPr>
                <w:rFonts w:hint="default" w:ascii="Times New Roman" w:hAnsi="Times New Roman" w:eastAsia="宋体" w:cs="Times New Roman"/>
                <w:b/>
                <w:bCs w:val="0"/>
                <w:color w:val="auto"/>
                <w:spacing w:val="0"/>
                <w:kern w:val="2"/>
                <w:sz w:val="21"/>
                <w:szCs w:val="21"/>
                <w:highlight w:val="none"/>
                <w:lang w:val="en-US" w:eastAsia="zh-CN" w:bidi="ar-SA"/>
              </w:rPr>
              <w:t>2-</w:t>
            </w:r>
            <w:r>
              <w:rPr>
                <w:rFonts w:hint="default" w:ascii="Times New Roman" w:hAnsi="Times New Roman" w:cs="Times New Roman"/>
                <w:b/>
                <w:bCs w:val="0"/>
                <w:color w:val="auto"/>
                <w:spacing w:val="0"/>
                <w:kern w:val="2"/>
                <w:sz w:val="21"/>
                <w:szCs w:val="21"/>
                <w:highlight w:val="none"/>
                <w:lang w:val="en-US" w:eastAsia="zh-CN" w:bidi="ar-SA"/>
              </w:rPr>
              <w:t>5</w:t>
            </w:r>
            <w:r>
              <w:rPr>
                <w:rFonts w:hint="eastAsia" w:ascii="宋体" w:hAnsi="宋体" w:eastAsia="宋体" w:cs="宋体"/>
                <w:b/>
                <w:bCs w:val="0"/>
                <w:color w:val="auto"/>
                <w:spacing w:val="0"/>
                <w:kern w:val="2"/>
                <w:sz w:val="21"/>
                <w:szCs w:val="21"/>
                <w:highlight w:val="none"/>
                <w:lang w:val="en-US" w:eastAsia="zh-CN" w:bidi="ar-SA"/>
              </w:rPr>
              <w:t xml:space="preserve"> 供排水情况分析表</w:t>
            </w:r>
          </w:p>
          <w:tbl>
            <w:tblPr>
              <w:tblStyle w:val="37"/>
              <w:tblW w:w="4833" w:type="pct"/>
              <w:jc w:val="center"/>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fixed"/>
              <w:tblCellMar>
                <w:top w:w="0" w:type="dxa"/>
                <w:left w:w="0" w:type="dxa"/>
                <w:bottom w:w="0" w:type="dxa"/>
                <w:right w:w="0" w:type="dxa"/>
              </w:tblCellMar>
            </w:tblPr>
            <w:tblGrid>
              <w:gridCol w:w="1244"/>
              <w:gridCol w:w="699"/>
              <w:gridCol w:w="592"/>
              <w:gridCol w:w="602"/>
              <w:gridCol w:w="850"/>
              <w:gridCol w:w="927"/>
              <w:gridCol w:w="948"/>
              <w:gridCol w:w="776"/>
              <w:gridCol w:w="869"/>
            </w:tblGrid>
            <w:tr w14:paraId="3957E111">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PrEx>
              <w:trPr>
                <w:trHeight w:val="454" w:hRule="atLeast"/>
                <w:jc w:val="center"/>
              </w:trPr>
              <w:tc>
                <w:tcPr>
                  <w:tcW w:w="1943" w:type="dxa"/>
                  <w:gridSpan w:val="2"/>
                  <w:vMerge w:val="restart"/>
                  <w:tcBorders>
                    <w:top w:val="single" w:color="000000" w:sz="12" w:space="0"/>
                    <w:left w:val="nil"/>
                    <w:bottom w:val="single" w:color="000000" w:sz="8" w:space="0"/>
                    <w:right w:val="single" w:color="000000" w:sz="8" w:space="0"/>
                  </w:tcBorders>
                  <w:noWrap w:val="0"/>
                  <w:vAlign w:val="center"/>
                </w:tcPr>
                <w:p w14:paraId="4B7EDBC0">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项目</w:t>
                  </w:r>
                </w:p>
              </w:tc>
              <w:tc>
                <w:tcPr>
                  <w:tcW w:w="592" w:type="dxa"/>
                  <w:vMerge w:val="restart"/>
                  <w:tcBorders>
                    <w:top w:val="single" w:color="000000" w:sz="12" w:space="0"/>
                    <w:left w:val="single" w:color="000000" w:sz="8" w:space="0"/>
                    <w:bottom w:val="single" w:color="000000" w:sz="8" w:space="0"/>
                    <w:right w:val="single" w:color="000000" w:sz="8" w:space="0"/>
                  </w:tcBorders>
                  <w:noWrap w:val="0"/>
                  <w:vAlign w:val="center"/>
                </w:tcPr>
                <w:p w14:paraId="122A4507">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数量</w:t>
                  </w:r>
                </w:p>
              </w:tc>
              <w:tc>
                <w:tcPr>
                  <w:tcW w:w="602" w:type="dxa"/>
                  <w:vMerge w:val="restart"/>
                  <w:tcBorders>
                    <w:top w:val="single" w:color="000000" w:sz="12" w:space="0"/>
                    <w:left w:val="single" w:color="000000" w:sz="8" w:space="0"/>
                    <w:bottom w:val="single" w:color="000000" w:sz="8" w:space="0"/>
                    <w:right w:val="single" w:color="000000" w:sz="8" w:space="0"/>
                  </w:tcBorders>
                  <w:noWrap w:val="0"/>
                  <w:vAlign w:val="center"/>
                </w:tcPr>
                <w:p w14:paraId="3A8204E0">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用水标准</w:t>
                  </w:r>
                </w:p>
              </w:tc>
              <w:tc>
                <w:tcPr>
                  <w:tcW w:w="1777" w:type="dxa"/>
                  <w:gridSpan w:val="2"/>
                  <w:tcBorders>
                    <w:top w:val="single" w:color="000000" w:sz="12" w:space="0"/>
                    <w:left w:val="single" w:color="000000" w:sz="8" w:space="0"/>
                    <w:bottom w:val="single" w:color="000000" w:sz="8" w:space="0"/>
                    <w:right w:val="single" w:color="000000" w:sz="8" w:space="0"/>
                  </w:tcBorders>
                  <w:noWrap w:val="0"/>
                  <w:vAlign w:val="center"/>
                </w:tcPr>
                <w:p w14:paraId="5C5A69A1">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用水量</w:t>
                  </w:r>
                </w:p>
              </w:tc>
              <w:tc>
                <w:tcPr>
                  <w:tcW w:w="948" w:type="dxa"/>
                  <w:vMerge w:val="restart"/>
                  <w:tcBorders>
                    <w:top w:val="single" w:color="000000" w:sz="12" w:space="0"/>
                    <w:left w:val="single" w:color="000000" w:sz="8" w:space="0"/>
                    <w:bottom w:val="single" w:color="000000" w:sz="8" w:space="0"/>
                    <w:right w:val="single" w:color="000000" w:sz="8" w:space="0"/>
                  </w:tcBorders>
                  <w:noWrap w:val="0"/>
                  <w:vAlign w:val="center"/>
                </w:tcPr>
                <w:p w14:paraId="0C4F91B5">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排水</w:t>
                  </w:r>
                </w:p>
                <w:p w14:paraId="09FD1EC4">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系数</w:t>
                  </w:r>
                </w:p>
              </w:tc>
              <w:tc>
                <w:tcPr>
                  <w:tcW w:w="1645" w:type="dxa"/>
                  <w:gridSpan w:val="2"/>
                  <w:tcBorders>
                    <w:top w:val="single" w:color="000000" w:sz="12" w:space="0"/>
                    <w:left w:val="single" w:color="000000" w:sz="8" w:space="0"/>
                    <w:bottom w:val="single" w:color="000000" w:sz="8" w:space="0"/>
                    <w:right w:val="nil"/>
                  </w:tcBorders>
                  <w:noWrap w:val="0"/>
                  <w:vAlign w:val="center"/>
                </w:tcPr>
                <w:p w14:paraId="43C646E8">
                  <w:pPr>
                    <w:spacing w:line="240" w:lineRule="auto"/>
                    <w:ind w:firstLine="0" w:firstLineChars="0"/>
                    <w:jc w:val="center"/>
                    <w:rPr>
                      <w:rFonts w:hint="default" w:ascii="Times New Roman" w:hAnsi="Times New Roman" w:eastAsia="宋体" w:cs="Times New Roman"/>
                      <w:b/>
                      <w:bCs w:val="0"/>
                      <w:color w:val="auto"/>
                      <w:spacing w:val="0"/>
                      <w:sz w:val="21"/>
                      <w:szCs w:val="21"/>
                      <w:highlight w:val="none"/>
                    </w:rPr>
                  </w:pPr>
                  <w:r>
                    <w:rPr>
                      <w:rFonts w:hint="default" w:ascii="Times New Roman" w:hAnsi="Times New Roman" w:eastAsia="宋体" w:cs="Times New Roman"/>
                      <w:b/>
                      <w:bCs w:val="0"/>
                      <w:color w:val="auto"/>
                      <w:spacing w:val="0"/>
                      <w:sz w:val="21"/>
                      <w:szCs w:val="21"/>
                      <w:highlight w:val="none"/>
                    </w:rPr>
                    <w:t>排水量</w:t>
                  </w:r>
                </w:p>
              </w:tc>
            </w:tr>
            <w:tr w14:paraId="099839B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943" w:type="dxa"/>
                  <w:gridSpan w:val="2"/>
                  <w:vMerge w:val="continue"/>
                  <w:tcBorders>
                    <w:top w:val="single" w:color="000000" w:sz="8" w:space="0"/>
                    <w:left w:val="nil"/>
                    <w:bottom w:val="single" w:color="000000" w:sz="8" w:space="0"/>
                    <w:right w:val="single" w:color="000000" w:sz="8" w:space="0"/>
                  </w:tcBorders>
                  <w:noWrap w:val="0"/>
                  <w:vAlign w:val="center"/>
                </w:tcPr>
                <w:p w14:paraId="7E1BF336">
                  <w:pPr>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592" w:type="dxa"/>
                  <w:vMerge w:val="continue"/>
                  <w:tcBorders>
                    <w:top w:val="single" w:color="000000" w:sz="8" w:space="0"/>
                    <w:left w:val="single" w:color="000000" w:sz="8" w:space="0"/>
                    <w:bottom w:val="single" w:color="000000" w:sz="8" w:space="0"/>
                    <w:right w:val="single" w:color="000000" w:sz="8" w:space="0"/>
                  </w:tcBorders>
                  <w:noWrap w:val="0"/>
                  <w:vAlign w:val="center"/>
                </w:tcPr>
                <w:p w14:paraId="33568DAD">
                  <w:pPr>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602" w:type="dxa"/>
                  <w:vMerge w:val="continue"/>
                  <w:tcBorders>
                    <w:top w:val="single" w:color="000000" w:sz="8" w:space="0"/>
                    <w:left w:val="single" w:color="000000" w:sz="8" w:space="0"/>
                    <w:bottom w:val="single" w:color="000000" w:sz="8" w:space="0"/>
                    <w:right w:val="single" w:color="000000" w:sz="8" w:space="0"/>
                  </w:tcBorders>
                  <w:noWrap w:val="0"/>
                  <w:vAlign w:val="center"/>
                </w:tcPr>
                <w:p w14:paraId="28E49EA5">
                  <w:pPr>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850" w:type="dxa"/>
                  <w:tcBorders>
                    <w:top w:val="single" w:color="000000" w:sz="8" w:space="0"/>
                    <w:left w:val="single" w:color="000000" w:sz="8" w:space="0"/>
                    <w:bottom w:val="single" w:color="000000" w:sz="8" w:space="0"/>
                    <w:right w:val="single" w:color="000000" w:sz="8" w:space="0"/>
                  </w:tcBorders>
                  <w:noWrap w:val="0"/>
                  <w:vAlign w:val="center"/>
                </w:tcPr>
                <w:p w14:paraId="24E9976C">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t/d</w:t>
                  </w:r>
                </w:p>
              </w:tc>
              <w:tc>
                <w:tcPr>
                  <w:tcW w:w="927" w:type="dxa"/>
                  <w:tcBorders>
                    <w:top w:val="single" w:color="000000" w:sz="8" w:space="0"/>
                    <w:left w:val="single" w:color="000000" w:sz="8" w:space="0"/>
                    <w:bottom w:val="single" w:color="000000" w:sz="8" w:space="0"/>
                    <w:right w:val="single" w:color="000000" w:sz="8" w:space="0"/>
                  </w:tcBorders>
                  <w:noWrap w:val="0"/>
                  <w:vAlign w:val="center"/>
                </w:tcPr>
                <w:p w14:paraId="0687E8D1">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t/a</w:t>
                  </w:r>
                </w:p>
              </w:tc>
              <w:tc>
                <w:tcPr>
                  <w:tcW w:w="948" w:type="dxa"/>
                  <w:vMerge w:val="continue"/>
                  <w:tcBorders>
                    <w:top w:val="single" w:color="000000" w:sz="8" w:space="0"/>
                    <w:left w:val="single" w:color="000000" w:sz="8" w:space="0"/>
                    <w:bottom w:val="single" w:color="000000" w:sz="8" w:space="0"/>
                    <w:right w:val="single" w:color="000000" w:sz="8" w:space="0"/>
                  </w:tcBorders>
                  <w:noWrap w:val="0"/>
                  <w:vAlign w:val="center"/>
                </w:tcPr>
                <w:p w14:paraId="738F8253">
                  <w:pPr>
                    <w:spacing w:line="240" w:lineRule="auto"/>
                    <w:ind w:firstLine="0" w:firstLineChars="0"/>
                    <w:jc w:val="center"/>
                    <w:rPr>
                      <w:rFonts w:hint="default" w:ascii="Times New Roman" w:hAnsi="Times New Roman" w:eastAsia="宋体" w:cs="Times New Roman"/>
                      <w:color w:val="auto"/>
                      <w:spacing w:val="0"/>
                      <w:sz w:val="21"/>
                      <w:szCs w:val="21"/>
                      <w:highlight w:val="none"/>
                    </w:rPr>
                  </w:pPr>
                </w:p>
              </w:tc>
              <w:tc>
                <w:tcPr>
                  <w:tcW w:w="776" w:type="dxa"/>
                  <w:tcBorders>
                    <w:top w:val="single" w:color="000000" w:sz="8" w:space="0"/>
                    <w:left w:val="single" w:color="000000" w:sz="8" w:space="0"/>
                    <w:bottom w:val="single" w:color="000000" w:sz="8" w:space="0"/>
                    <w:right w:val="single" w:color="000000" w:sz="8" w:space="0"/>
                  </w:tcBorders>
                  <w:noWrap w:val="0"/>
                  <w:vAlign w:val="center"/>
                </w:tcPr>
                <w:p w14:paraId="118768CF">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t/d</w:t>
                  </w:r>
                </w:p>
              </w:tc>
              <w:tc>
                <w:tcPr>
                  <w:tcW w:w="869" w:type="dxa"/>
                  <w:tcBorders>
                    <w:top w:val="single" w:color="000000" w:sz="8" w:space="0"/>
                    <w:left w:val="single" w:color="000000" w:sz="8" w:space="0"/>
                    <w:bottom w:val="single" w:color="000000" w:sz="8" w:space="0"/>
                    <w:right w:val="nil"/>
                  </w:tcBorders>
                  <w:noWrap w:val="0"/>
                  <w:vAlign w:val="center"/>
                </w:tcPr>
                <w:p w14:paraId="3EC8B26F">
                  <w:pPr>
                    <w:spacing w:line="240" w:lineRule="auto"/>
                    <w:ind w:firstLine="0" w:firstLineChars="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t/a</w:t>
                  </w:r>
                </w:p>
              </w:tc>
            </w:tr>
            <w:tr w14:paraId="7B0A292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244" w:type="dxa"/>
                  <w:tcBorders>
                    <w:top w:val="single" w:color="000000" w:sz="8" w:space="0"/>
                    <w:left w:val="nil"/>
                    <w:bottom w:val="single" w:color="000000" w:sz="8" w:space="0"/>
                    <w:right w:val="single" w:color="000000" w:sz="8" w:space="0"/>
                  </w:tcBorders>
                  <w:noWrap w:val="0"/>
                  <w:vAlign w:val="center"/>
                </w:tcPr>
                <w:p w14:paraId="5F682FDA">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软水制备系统用水</w:t>
                  </w:r>
                </w:p>
              </w:tc>
              <w:tc>
                <w:tcPr>
                  <w:tcW w:w="699" w:type="dxa"/>
                  <w:tcBorders>
                    <w:top w:val="single" w:color="000000" w:sz="8" w:space="0"/>
                    <w:left w:val="single" w:color="000000" w:sz="8" w:space="0"/>
                    <w:bottom w:val="single" w:color="000000" w:sz="8" w:space="0"/>
                    <w:right w:val="single" w:color="000000" w:sz="8" w:space="0"/>
                  </w:tcBorders>
                  <w:noWrap w:val="0"/>
                  <w:vAlign w:val="center"/>
                </w:tcPr>
                <w:p w14:paraId="2DF2CEBE">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eastAsia" w:ascii="Times New Roman" w:hAnsi="Times New Roman" w:cs="Times New Roman"/>
                      <w:bCs/>
                      <w:color w:val="auto"/>
                      <w:spacing w:val="0"/>
                      <w:sz w:val="21"/>
                      <w:szCs w:val="21"/>
                      <w:highlight w:val="none"/>
                      <w:lang w:val="en-US" w:eastAsia="zh-CN"/>
                    </w:rPr>
                    <w:t>新鲜水</w:t>
                  </w:r>
                </w:p>
              </w:tc>
              <w:tc>
                <w:tcPr>
                  <w:tcW w:w="592" w:type="dxa"/>
                  <w:tcBorders>
                    <w:top w:val="single" w:color="000000" w:sz="8" w:space="0"/>
                    <w:left w:val="single" w:color="000000" w:sz="8" w:space="0"/>
                    <w:bottom w:val="single" w:color="000000" w:sz="8" w:space="0"/>
                    <w:right w:val="single" w:color="000000" w:sz="8" w:space="0"/>
                  </w:tcBorders>
                  <w:noWrap w:val="0"/>
                  <w:vAlign w:val="center"/>
                </w:tcPr>
                <w:p w14:paraId="24982E79">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602" w:type="dxa"/>
                  <w:tcBorders>
                    <w:top w:val="single" w:color="000000" w:sz="8" w:space="0"/>
                    <w:left w:val="single" w:color="000000" w:sz="8" w:space="0"/>
                    <w:bottom w:val="single" w:color="000000" w:sz="8" w:space="0"/>
                    <w:right w:val="single" w:color="000000" w:sz="8" w:space="0"/>
                  </w:tcBorders>
                  <w:noWrap w:val="0"/>
                  <w:vAlign w:val="center"/>
                </w:tcPr>
                <w:p w14:paraId="4F1E020F">
                  <w:pPr>
                    <w:spacing w:line="240" w:lineRule="auto"/>
                    <w:ind w:firstLine="0" w:firstLineChars="0"/>
                    <w:jc w:val="center"/>
                    <w:rPr>
                      <w:rFonts w:hint="default" w:ascii="Times New Roman" w:hAnsi="Times New Roman" w:eastAsia="宋体" w:cs="Times New Roman"/>
                      <w:color w:val="auto"/>
                      <w:spacing w:val="0"/>
                      <w:kern w:val="0"/>
                      <w:sz w:val="21"/>
                      <w:szCs w:val="21"/>
                      <w:highlight w:val="none"/>
                      <w:lang w:val="en-US" w:eastAsia="zh-CN" w:bidi="ar"/>
                    </w:rPr>
                  </w:pPr>
                  <w:r>
                    <w:rPr>
                      <w:rFonts w:hint="default" w:ascii="Times New Roman" w:hAnsi="Times New Roman" w:cs="Times New Roman"/>
                      <w:color w:val="auto"/>
                      <w:spacing w:val="0"/>
                      <w:kern w:val="0"/>
                      <w:sz w:val="21"/>
                      <w:szCs w:val="21"/>
                      <w:highlight w:val="none"/>
                      <w:lang w:val="en-US" w:eastAsia="zh-CN" w:bidi="ar"/>
                    </w:rPr>
                    <w:t>/</w:t>
                  </w:r>
                </w:p>
              </w:tc>
              <w:tc>
                <w:tcPr>
                  <w:tcW w:w="850" w:type="dxa"/>
                  <w:tcBorders>
                    <w:top w:val="single" w:color="000000" w:sz="8" w:space="0"/>
                    <w:left w:val="single" w:color="000000" w:sz="8" w:space="0"/>
                    <w:bottom w:val="single" w:color="000000" w:sz="8" w:space="0"/>
                    <w:right w:val="single" w:color="000000" w:sz="8" w:space="0"/>
                  </w:tcBorders>
                  <w:noWrap w:val="0"/>
                  <w:vAlign w:val="center"/>
                </w:tcPr>
                <w:p w14:paraId="42543721">
                  <w:pPr>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178.27（160.44进入锅炉补水）</w:t>
                  </w:r>
                </w:p>
              </w:tc>
              <w:tc>
                <w:tcPr>
                  <w:tcW w:w="927" w:type="dxa"/>
                  <w:tcBorders>
                    <w:top w:val="single" w:color="000000" w:sz="8" w:space="0"/>
                    <w:left w:val="single" w:color="000000" w:sz="8" w:space="0"/>
                    <w:bottom w:val="single" w:color="000000" w:sz="8" w:space="0"/>
                    <w:right w:val="single" w:color="000000" w:sz="8" w:space="0"/>
                  </w:tcBorders>
                  <w:noWrap w:val="0"/>
                  <w:vAlign w:val="center"/>
                </w:tcPr>
                <w:p w14:paraId="331074C9">
                  <w:pPr>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21392.4（19252.8进入锅炉补水）</w:t>
                  </w:r>
                </w:p>
              </w:tc>
              <w:tc>
                <w:tcPr>
                  <w:tcW w:w="948" w:type="dxa"/>
                  <w:tcBorders>
                    <w:top w:val="single" w:color="000000" w:sz="8" w:space="0"/>
                    <w:left w:val="single" w:color="000000" w:sz="8" w:space="0"/>
                    <w:bottom w:val="single" w:color="000000" w:sz="8" w:space="0"/>
                    <w:right w:val="single" w:color="000000" w:sz="8" w:space="0"/>
                  </w:tcBorders>
                  <w:noWrap w:val="0"/>
                  <w:vAlign w:val="center"/>
                </w:tcPr>
                <w:p w14:paraId="5072756C">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776" w:type="dxa"/>
                  <w:tcBorders>
                    <w:top w:val="single" w:color="000000" w:sz="8" w:space="0"/>
                    <w:left w:val="single" w:color="000000" w:sz="8" w:space="0"/>
                    <w:bottom w:val="single" w:color="000000" w:sz="8" w:space="0"/>
                    <w:right w:val="single" w:color="000000" w:sz="8" w:space="0"/>
                  </w:tcBorders>
                  <w:noWrap w:val="0"/>
                  <w:vAlign w:val="center"/>
                </w:tcPr>
                <w:p w14:paraId="344D5D20">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17.827</w:t>
                  </w:r>
                </w:p>
              </w:tc>
              <w:tc>
                <w:tcPr>
                  <w:tcW w:w="869" w:type="dxa"/>
                  <w:tcBorders>
                    <w:top w:val="single" w:color="000000" w:sz="8" w:space="0"/>
                    <w:left w:val="single" w:color="000000" w:sz="8" w:space="0"/>
                    <w:bottom w:val="single" w:color="000000" w:sz="8" w:space="0"/>
                    <w:right w:val="nil"/>
                  </w:tcBorders>
                  <w:noWrap w:val="0"/>
                  <w:vAlign w:val="center"/>
                </w:tcPr>
                <w:p w14:paraId="536601CC">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2139.24</w:t>
                  </w:r>
                </w:p>
              </w:tc>
            </w:tr>
            <w:tr w14:paraId="0DE3F98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244" w:type="dxa"/>
                  <w:tcBorders>
                    <w:top w:val="single" w:color="000000" w:sz="8" w:space="0"/>
                    <w:left w:val="nil"/>
                    <w:bottom w:val="single" w:color="000000" w:sz="8" w:space="0"/>
                    <w:right w:val="single" w:color="000000" w:sz="8" w:space="0"/>
                  </w:tcBorders>
                  <w:noWrap w:val="0"/>
                  <w:vAlign w:val="center"/>
                </w:tcPr>
                <w:p w14:paraId="31FF10B8">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锅炉补水</w:t>
                  </w:r>
                </w:p>
              </w:tc>
              <w:tc>
                <w:tcPr>
                  <w:tcW w:w="699" w:type="dxa"/>
                  <w:tcBorders>
                    <w:top w:val="single" w:color="000000" w:sz="8" w:space="0"/>
                    <w:left w:val="single" w:color="000000" w:sz="8" w:space="0"/>
                    <w:bottom w:val="single" w:color="000000" w:sz="8" w:space="0"/>
                    <w:right w:val="single" w:color="000000" w:sz="8" w:space="0"/>
                  </w:tcBorders>
                  <w:noWrap w:val="0"/>
                  <w:vAlign w:val="center"/>
                </w:tcPr>
                <w:p w14:paraId="0DFDDB36">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软水</w:t>
                  </w:r>
                </w:p>
              </w:tc>
              <w:tc>
                <w:tcPr>
                  <w:tcW w:w="592" w:type="dxa"/>
                  <w:tcBorders>
                    <w:top w:val="single" w:color="000000" w:sz="8" w:space="0"/>
                    <w:left w:val="single" w:color="000000" w:sz="8" w:space="0"/>
                    <w:bottom w:val="single" w:color="000000" w:sz="8" w:space="0"/>
                    <w:right w:val="single" w:color="000000" w:sz="8" w:space="0"/>
                  </w:tcBorders>
                  <w:noWrap w:val="0"/>
                  <w:vAlign w:val="center"/>
                </w:tcPr>
                <w:p w14:paraId="6A9A1F69">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602" w:type="dxa"/>
                  <w:tcBorders>
                    <w:top w:val="single" w:color="000000" w:sz="8" w:space="0"/>
                    <w:left w:val="single" w:color="000000" w:sz="8" w:space="0"/>
                    <w:bottom w:val="single" w:color="000000" w:sz="8" w:space="0"/>
                    <w:right w:val="single" w:color="000000" w:sz="8" w:space="0"/>
                  </w:tcBorders>
                  <w:noWrap w:val="0"/>
                  <w:vAlign w:val="center"/>
                </w:tcPr>
                <w:p w14:paraId="3EE3259B">
                  <w:pPr>
                    <w:spacing w:line="240" w:lineRule="auto"/>
                    <w:ind w:firstLine="0" w:firstLineChars="0"/>
                    <w:jc w:val="center"/>
                    <w:rPr>
                      <w:rFonts w:hint="default" w:ascii="Times New Roman" w:hAnsi="Times New Roman" w:eastAsia="宋体" w:cs="Times New Roman"/>
                      <w:color w:val="auto"/>
                      <w:spacing w:val="0"/>
                      <w:kern w:val="0"/>
                      <w:sz w:val="21"/>
                      <w:szCs w:val="21"/>
                      <w:highlight w:val="none"/>
                      <w:lang w:val="en-US" w:eastAsia="zh-CN" w:bidi="ar"/>
                    </w:rPr>
                  </w:pPr>
                  <w:r>
                    <w:rPr>
                      <w:rFonts w:hint="default" w:ascii="Times New Roman" w:hAnsi="Times New Roman" w:cs="Times New Roman"/>
                      <w:color w:val="auto"/>
                      <w:spacing w:val="0"/>
                      <w:kern w:val="0"/>
                      <w:sz w:val="21"/>
                      <w:szCs w:val="21"/>
                      <w:highlight w:val="none"/>
                      <w:lang w:val="en-US" w:eastAsia="zh-CN" w:bidi="ar"/>
                    </w:rPr>
                    <w:t>/</w:t>
                  </w:r>
                </w:p>
              </w:tc>
              <w:tc>
                <w:tcPr>
                  <w:tcW w:w="850" w:type="dxa"/>
                  <w:tcBorders>
                    <w:top w:val="single" w:color="000000" w:sz="8" w:space="0"/>
                    <w:left w:val="single" w:color="000000" w:sz="8" w:space="0"/>
                    <w:bottom w:val="single" w:color="000000" w:sz="8" w:space="0"/>
                    <w:right w:val="single" w:color="000000" w:sz="8" w:space="0"/>
                  </w:tcBorders>
                  <w:noWrap w:val="0"/>
                  <w:vAlign w:val="center"/>
                </w:tcPr>
                <w:p w14:paraId="4857759E">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160.44</w:t>
                  </w:r>
                </w:p>
              </w:tc>
              <w:tc>
                <w:tcPr>
                  <w:tcW w:w="927" w:type="dxa"/>
                  <w:tcBorders>
                    <w:top w:val="single" w:color="000000" w:sz="8" w:space="0"/>
                    <w:left w:val="single" w:color="000000" w:sz="8" w:space="0"/>
                    <w:bottom w:val="single" w:color="000000" w:sz="8" w:space="0"/>
                    <w:right w:val="single" w:color="000000" w:sz="8" w:space="0"/>
                  </w:tcBorders>
                  <w:noWrap w:val="0"/>
                  <w:vAlign w:val="center"/>
                </w:tcPr>
                <w:p w14:paraId="1EF12930">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19252.8</w:t>
                  </w:r>
                </w:p>
              </w:tc>
              <w:tc>
                <w:tcPr>
                  <w:tcW w:w="948" w:type="dxa"/>
                  <w:tcBorders>
                    <w:top w:val="single" w:color="000000" w:sz="8" w:space="0"/>
                    <w:left w:val="single" w:color="000000" w:sz="8" w:space="0"/>
                    <w:bottom w:val="single" w:color="000000" w:sz="8" w:space="0"/>
                    <w:right w:val="single" w:color="000000" w:sz="8" w:space="0"/>
                  </w:tcBorders>
                  <w:noWrap w:val="0"/>
                  <w:vAlign w:val="center"/>
                </w:tcPr>
                <w:p w14:paraId="4AF501F1">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776" w:type="dxa"/>
                  <w:tcBorders>
                    <w:top w:val="single" w:color="000000" w:sz="8" w:space="0"/>
                    <w:left w:val="single" w:color="000000" w:sz="8" w:space="0"/>
                    <w:bottom w:val="single" w:color="000000" w:sz="8" w:space="0"/>
                    <w:right w:val="single" w:color="000000" w:sz="8" w:space="0"/>
                  </w:tcBorders>
                  <w:noWrap w:val="0"/>
                  <w:vAlign w:val="center"/>
                </w:tcPr>
                <w:p w14:paraId="75F27FC7">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869" w:type="dxa"/>
                  <w:tcBorders>
                    <w:top w:val="single" w:color="000000" w:sz="8" w:space="0"/>
                    <w:left w:val="single" w:color="000000" w:sz="8" w:space="0"/>
                    <w:bottom w:val="single" w:color="000000" w:sz="8" w:space="0"/>
                    <w:right w:val="nil"/>
                  </w:tcBorders>
                  <w:noWrap w:val="0"/>
                  <w:vAlign w:val="center"/>
                </w:tcPr>
                <w:p w14:paraId="63F6BDA1">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r>
            <w:tr w14:paraId="3F076318">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244" w:type="dxa"/>
                  <w:tcBorders>
                    <w:top w:val="single" w:color="000000" w:sz="8" w:space="0"/>
                    <w:left w:val="nil"/>
                    <w:bottom w:val="single" w:color="000000" w:sz="8" w:space="0"/>
                    <w:right w:val="single" w:color="000000" w:sz="8" w:space="0"/>
                  </w:tcBorders>
                  <w:noWrap w:val="0"/>
                  <w:vAlign w:val="center"/>
                </w:tcPr>
                <w:p w14:paraId="26638F89">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锅炉排污水</w:t>
                  </w:r>
                </w:p>
              </w:tc>
              <w:tc>
                <w:tcPr>
                  <w:tcW w:w="699" w:type="dxa"/>
                  <w:tcBorders>
                    <w:top w:val="single" w:color="000000" w:sz="8" w:space="0"/>
                    <w:left w:val="single" w:color="000000" w:sz="8" w:space="0"/>
                    <w:bottom w:val="single" w:color="000000" w:sz="8" w:space="0"/>
                    <w:right w:val="single" w:color="000000" w:sz="8" w:space="0"/>
                  </w:tcBorders>
                  <w:noWrap w:val="0"/>
                  <w:vAlign w:val="center"/>
                </w:tcPr>
                <w:p w14:paraId="75E890D8">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w:t>
                  </w:r>
                </w:p>
              </w:tc>
              <w:tc>
                <w:tcPr>
                  <w:tcW w:w="592" w:type="dxa"/>
                  <w:tcBorders>
                    <w:top w:val="single" w:color="000000" w:sz="8" w:space="0"/>
                    <w:left w:val="single" w:color="000000" w:sz="8" w:space="0"/>
                    <w:bottom w:val="single" w:color="000000" w:sz="8" w:space="0"/>
                    <w:right w:val="single" w:color="000000" w:sz="8" w:space="0"/>
                  </w:tcBorders>
                  <w:noWrap w:val="0"/>
                  <w:vAlign w:val="center"/>
                </w:tcPr>
                <w:p w14:paraId="65A65584">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602" w:type="dxa"/>
                  <w:tcBorders>
                    <w:top w:val="single" w:color="000000" w:sz="8" w:space="0"/>
                    <w:left w:val="single" w:color="000000" w:sz="8" w:space="0"/>
                    <w:bottom w:val="single" w:color="000000" w:sz="8" w:space="0"/>
                    <w:right w:val="single" w:color="000000" w:sz="8" w:space="0"/>
                  </w:tcBorders>
                  <w:noWrap w:val="0"/>
                  <w:vAlign w:val="center"/>
                </w:tcPr>
                <w:p w14:paraId="280DE34D">
                  <w:pPr>
                    <w:spacing w:line="240" w:lineRule="auto"/>
                    <w:ind w:firstLine="0" w:firstLineChars="0"/>
                    <w:jc w:val="center"/>
                    <w:rPr>
                      <w:rFonts w:hint="default" w:ascii="Times New Roman" w:hAnsi="Times New Roman" w:eastAsia="宋体" w:cs="Times New Roman"/>
                      <w:color w:val="auto"/>
                      <w:spacing w:val="0"/>
                      <w:kern w:val="0"/>
                      <w:sz w:val="21"/>
                      <w:szCs w:val="21"/>
                      <w:highlight w:val="none"/>
                      <w:lang w:val="en-US" w:eastAsia="zh-CN" w:bidi="ar"/>
                    </w:rPr>
                  </w:pPr>
                  <w:r>
                    <w:rPr>
                      <w:rFonts w:hint="default" w:ascii="Times New Roman" w:hAnsi="Times New Roman" w:eastAsia="宋体" w:cs="Times New Roman"/>
                      <w:color w:val="auto"/>
                      <w:spacing w:val="0"/>
                      <w:kern w:val="0"/>
                      <w:sz w:val="21"/>
                      <w:szCs w:val="21"/>
                      <w:highlight w:val="none"/>
                      <w:lang w:val="en-US" w:eastAsia="zh-CN" w:bidi="ar"/>
                    </w:rPr>
                    <w:t>/</w:t>
                  </w:r>
                </w:p>
              </w:tc>
              <w:tc>
                <w:tcPr>
                  <w:tcW w:w="850" w:type="dxa"/>
                  <w:tcBorders>
                    <w:top w:val="single" w:color="000000" w:sz="8" w:space="0"/>
                    <w:left w:val="single" w:color="000000" w:sz="8" w:space="0"/>
                    <w:bottom w:val="single" w:color="000000" w:sz="8" w:space="0"/>
                    <w:right w:val="single" w:color="000000" w:sz="8" w:space="0"/>
                  </w:tcBorders>
                  <w:noWrap w:val="0"/>
                  <w:vAlign w:val="center"/>
                </w:tcPr>
                <w:p w14:paraId="7C372F4A">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927" w:type="dxa"/>
                  <w:tcBorders>
                    <w:top w:val="single" w:color="000000" w:sz="8" w:space="0"/>
                    <w:left w:val="single" w:color="000000" w:sz="8" w:space="0"/>
                    <w:bottom w:val="single" w:color="000000" w:sz="8" w:space="0"/>
                    <w:right w:val="single" w:color="000000" w:sz="8" w:space="0"/>
                  </w:tcBorders>
                  <w:noWrap w:val="0"/>
                  <w:vAlign w:val="center"/>
                </w:tcPr>
                <w:p w14:paraId="468D72A6">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948" w:type="dxa"/>
                  <w:tcBorders>
                    <w:top w:val="single" w:color="000000" w:sz="8" w:space="0"/>
                    <w:left w:val="single" w:color="000000" w:sz="8" w:space="0"/>
                    <w:bottom w:val="single" w:color="000000" w:sz="8" w:space="0"/>
                    <w:right w:val="single" w:color="000000" w:sz="8" w:space="0"/>
                  </w:tcBorders>
                  <w:noWrap w:val="0"/>
                  <w:vAlign w:val="center"/>
                </w:tcPr>
                <w:p w14:paraId="0B3F008C">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0</w:t>
                  </w:r>
                  <w:r>
                    <w:rPr>
                      <w:rFonts w:hint="eastAsia" w:ascii="宋体" w:hAnsi="宋体" w:eastAsia="宋体" w:cs="宋体"/>
                      <w:color w:val="auto"/>
                      <w:spacing w:val="0"/>
                      <w:sz w:val="21"/>
                      <w:szCs w:val="21"/>
                      <w:highlight w:val="none"/>
                      <w:lang w:val="en-US" w:eastAsia="zh-CN"/>
                    </w:rPr>
                    <w:t>.</w:t>
                  </w:r>
                  <w:r>
                    <w:rPr>
                      <w:rFonts w:hint="default" w:ascii="Times New Roman" w:hAnsi="Times New Roman" w:eastAsia="宋体" w:cs="Times New Roman"/>
                      <w:color w:val="auto"/>
                      <w:spacing w:val="0"/>
                      <w:sz w:val="21"/>
                      <w:szCs w:val="21"/>
                      <w:highlight w:val="none"/>
                      <w:lang w:val="en-US" w:eastAsia="zh-CN"/>
                    </w:rPr>
                    <w:t>356吨/吨</w:t>
                  </w:r>
                  <w:r>
                    <w:rPr>
                      <w:rFonts w:hint="default" w:ascii="Times New Roman" w:hAnsi="Times New Roman" w:cs="Times New Roman"/>
                      <w:color w:val="auto"/>
                      <w:spacing w:val="0"/>
                      <w:sz w:val="21"/>
                      <w:szCs w:val="21"/>
                      <w:highlight w:val="none"/>
                      <w:lang w:val="en-US" w:eastAsia="zh-CN"/>
                    </w:rPr>
                    <w:t>－</w:t>
                  </w:r>
                  <w:r>
                    <w:rPr>
                      <w:rFonts w:hint="default" w:ascii="Times New Roman" w:hAnsi="Times New Roman" w:eastAsia="宋体" w:cs="Times New Roman"/>
                      <w:color w:val="auto"/>
                      <w:spacing w:val="0"/>
                      <w:sz w:val="21"/>
                      <w:szCs w:val="21"/>
                      <w:highlight w:val="none"/>
                      <w:lang w:val="en-US" w:eastAsia="zh-CN"/>
                    </w:rPr>
                    <w:t>原料</w:t>
                  </w:r>
                </w:p>
              </w:tc>
              <w:tc>
                <w:tcPr>
                  <w:tcW w:w="776" w:type="dxa"/>
                  <w:tcBorders>
                    <w:top w:val="single" w:color="000000" w:sz="8" w:space="0"/>
                    <w:left w:val="single" w:color="000000" w:sz="8" w:space="0"/>
                    <w:bottom w:val="single" w:color="000000" w:sz="8" w:space="0"/>
                    <w:right w:val="single" w:color="000000" w:sz="8" w:space="0"/>
                  </w:tcBorders>
                  <w:noWrap w:val="0"/>
                  <w:vAlign w:val="center"/>
                </w:tcPr>
                <w:p w14:paraId="05CE5DD6">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9.24</w:t>
                  </w:r>
                </w:p>
              </w:tc>
              <w:tc>
                <w:tcPr>
                  <w:tcW w:w="869" w:type="dxa"/>
                  <w:tcBorders>
                    <w:top w:val="single" w:color="000000" w:sz="8" w:space="0"/>
                    <w:left w:val="single" w:color="000000" w:sz="8" w:space="0"/>
                    <w:bottom w:val="single" w:color="000000" w:sz="8" w:space="0"/>
                    <w:right w:val="nil"/>
                  </w:tcBorders>
                  <w:noWrap w:val="0"/>
                  <w:vAlign w:val="center"/>
                </w:tcPr>
                <w:p w14:paraId="057E4AF7">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1108.8</w:t>
                  </w:r>
                </w:p>
              </w:tc>
            </w:tr>
            <w:tr w14:paraId="2CA4827F">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244" w:type="dxa"/>
                  <w:tcBorders>
                    <w:top w:val="single" w:color="000000" w:sz="8" w:space="0"/>
                    <w:left w:val="nil"/>
                    <w:bottom w:val="single" w:color="000000" w:sz="8" w:space="0"/>
                    <w:right w:val="single" w:color="000000" w:sz="8" w:space="0"/>
                  </w:tcBorders>
                  <w:noWrap w:val="0"/>
                  <w:vAlign w:val="center"/>
                </w:tcPr>
                <w:p w14:paraId="01E3EC76">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eastAsia" w:ascii="Times New Roman" w:hAnsi="Times New Roman" w:cs="Times New Roman"/>
                      <w:bCs/>
                      <w:color w:val="auto"/>
                      <w:spacing w:val="0"/>
                      <w:sz w:val="21"/>
                      <w:szCs w:val="21"/>
                      <w:highlight w:val="none"/>
                      <w:lang w:val="en-US" w:eastAsia="zh-CN"/>
                    </w:rPr>
                    <w:t>离子交换树脂再生水</w:t>
                  </w:r>
                </w:p>
              </w:tc>
              <w:tc>
                <w:tcPr>
                  <w:tcW w:w="699" w:type="dxa"/>
                  <w:tcBorders>
                    <w:top w:val="single" w:color="000000" w:sz="8" w:space="0"/>
                    <w:left w:val="single" w:color="000000" w:sz="8" w:space="0"/>
                    <w:bottom w:val="single" w:color="000000" w:sz="8" w:space="0"/>
                    <w:right w:val="single" w:color="000000" w:sz="8" w:space="0"/>
                  </w:tcBorders>
                  <w:noWrap w:val="0"/>
                  <w:vAlign w:val="center"/>
                </w:tcPr>
                <w:p w14:paraId="643C549D">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eastAsia" w:ascii="Times New Roman" w:hAnsi="Times New Roman" w:cs="Times New Roman"/>
                      <w:bCs/>
                      <w:color w:val="auto"/>
                      <w:spacing w:val="0"/>
                      <w:sz w:val="21"/>
                      <w:szCs w:val="21"/>
                      <w:highlight w:val="none"/>
                      <w:lang w:val="en-US" w:eastAsia="zh-CN"/>
                    </w:rPr>
                    <w:t>新鲜水</w:t>
                  </w:r>
                </w:p>
              </w:tc>
              <w:tc>
                <w:tcPr>
                  <w:tcW w:w="592" w:type="dxa"/>
                  <w:tcBorders>
                    <w:top w:val="single" w:color="000000" w:sz="8" w:space="0"/>
                    <w:left w:val="single" w:color="000000" w:sz="8" w:space="0"/>
                    <w:bottom w:val="single" w:color="000000" w:sz="8" w:space="0"/>
                    <w:right w:val="single" w:color="000000" w:sz="8" w:space="0"/>
                  </w:tcBorders>
                  <w:noWrap w:val="0"/>
                  <w:vAlign w:val="center"/>
                </w:tcPr>
                <w:p w14:paraId="0E2CCD55">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w:t>
                  </w:r>
                </w:p>
              </w:tc>
              <w:tc>
                <w:tcPr>
                  <w:tcW w:w="602" w:type="dxa"/>
                  <w:tcBorders>
                    <w:top w:val="single" w:color="000000" w:sz="8" w:space="0"/>
                    <w:left w:val="single" w:color="000000" w:sz="8" w:space="0"/>
                    <w:bottom w:val="single" w:color="000000" w:sz="8" w:space="0"/>
                    <w:right w:val="single" w:color="000000" w:sz="8" w:space="0"/>
                  </w:tcBorders>
                  <w:noWrap w:val="0"/>
                  <w:vAlign w:val="center"/>
                </w:tcPr>
                <w:p w14:paraId="6430805C">
                  <w:pPr>
                    <w:spacing w:line="240" w:lineRule="auto"/>
                    <w:ind w:firstLine="0" w:firstLineChars="0"/>
                    <w:jc w:val="center"/>
                    <w:rPr>
                      <w:rFonts w:hint="default" w:ascii="Times New Roman" w:hAnsi="Times New Roman" w:eastAsia="宋体" w:cs="Times New Roman"/>
                      <w:color w:val="auto"/>
                      <w:spacing w:val="0"/>
                      <w:kern w:val="0"/>
                      <w:sz w:val="21"/>
                      <w:szCs w:val="21"/>
                      <w:highlight w:val="none"/>
                      <w:lang w:val="en-US" w:eastAsia="zh-CN" w:bidi="ar"/>
                    </w:rPr>
                  </w:pPr>
                  <w:r>
                    <w:rPr>
                      <w:rFonts w:hint="eastAsia" w:ascii="Times New Roman" w:hAnsi="Times New Roman" w:cs="Times New Roman"/>
                      <w:color w:val="auto"/>
                      <w:spacing w:val="0"/>
                      <w:kern w:val="0"/>
                      <w:sz w:val="21"/>
                      <w:szCs w:val="21"/>
                      <w:highlight w:val="none"/>
                      <w:lang w:val="en-US" w:eastAsia="zh-CN" w:bidi="ar"/>
                    </w:rPr>
                    <w:t>/</w:t>
                  </w:r>
                </w:p>
              </w:tc>
              <w:tc>
                <w:tcPr>
                  <w:tcW w:w="850" w:type="dxa"/>
                  <w:tcBorders>
                    <w:top w:val="single" w:color="000000" w:sz="8" w:space="0"/>
                    <w:left w:val="single" w:color="000000" w:sz="8" w:space="0"/>
                    <w:bottom w:val="single" w:color="000000" w:sz="8" w:space="0"/>
                    <w:right w:val="single" w:color="000000" w:sz="8" w:space="0"/>
                  </w:tcBorders>
                  <w:noWrap w:val="0"/>
                  <w:vAlign w:val="center"/>
                </w:tcPr>
                <w:p w14:paraId="68101E69">
                  <w:pPr>
                    <w:spacing w:line="240" w:lineRule="auto"/>
                    <w:ind w:firstLine="0" w:firstLineChars="0"/>
                    <w:jc w:val="center"/>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5.625</w:t>
                  </w:r>
                </w:p>
              </w:tc>
              <w:tc>
                <w:tcPr>
                  <w:tcW w:w="927" w:type="dxa"/>
                  <w:tcBorders>
                    <w:top w:val="single" w:color="000000" w:sz="8" w:space="0"/>
                    <w:left w:val="single" w:color="000000" w:sz="8" w:space="0"/>
                    <w:bottom w:val="single" w:color="000000" w:sz="8" w:space="0"/>
                    <w:right w:val="single" w:color="000000" w:sz="8" w:space="0"/>
                  </w:tcBorders>
                  <w:noWrap w:val="0"/>
                  <w:vAlign w:val="center"/>
                </w:tcPr>
                <w:p w14:paraId="6670D7E2">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675</w:t>
                  </w:r>
                </w:p>
              </w:tc>
              <w:tc>
                <w:tcPr>
                  <w:tcW w:w="948" w:type="dxa"/>
                  <w:tcBorders>
                    <w:top w:val="single" w:color="000000" w:sz="8" w:space="0"/>
                    <w:left w:val="single" w:color="000000" w:sz="8" w:space="0"/>
                    <w:bottom w:val="single" w:color="000000" w:sz="8" w:space="0"/>
                    <w:right w:val="single" w:color="000000" w:sz="8" w:space="0"/>
                  </w:tcBorders>
                  <w:noWrap w:val="0"/>
                  <w:vAlign w:val="center"/>
                </w:tcPr>
                <w:p w14:paraId="09F6179C">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0.9</w:t>
                  </w:r>
                </w:p>
              </w:tc>
              <w:tc>
                <w:tcPr>
                  <w:tcW w:w="776" w:type="dxa"/>
                  <w:tcBorders>
                    <w:top w:val="single" w:color="000000" w:sz="8" w:space="0"/>
                    <w:left w:val="single" w:color="000000" w:sz="8" w:space="0"/>
                    <w:bottom w:val="single" w:color="000000" w:sz="8" w:space="0"/>
                    <w:right w:val="single" w:color="000000" w:sz="8" w:space="0"/>
                  </w:tcBorders>
                  <w:noWrap w:val="0"/>
                  <w:vAlign w:val="center"/>
                </w:tcPr>
                <w:p w14:paraId="5299904B">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5.0625</w:t>
                  </w:r>
                </w:p>
              </w:tc>
              <w:tc>
                <w:tcPr>
                  <w:tcW w:w="869" w:type="dxa"/>
                  <w:tcBorders>
                    <w:top w:val="single" w:color="000000" w:sz="8" w:space="0"/>
                    <w:left w:val="single" w:color="000000" w:sz="8" w:space="0"/>
                    <w:bottom w:val="single" w:color="000000" w:sz="8" w:space="0"/>
                    <w:right w:val="nil"/>
                  </w:tcBorders>
                  <w:noWrap w:val="0"/>
                  <w:vAlign w:val="center"/>
                </w:tcPr>
                <w:p w14:paraId="499FCB2F">
                  <w:pPr>
                    <w:spacing w:line="240" w:lineRule="auto"/>
                    <w:ind w:firstLine="0" w:firstLineChars="0"/>
                    <w:jc w:val="center"/>
                    <w:rPr>
                      <w:rFonts w:hint="eastAsia"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607.5</w:t>
                  </w:r>
                </w:p>
              </w:tc>
            </w:tr>
            <w:tr w14:paraId="06FBC7CE">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137" w:type="dxa"/>
                  <w:gridSpan w:val="4"/>
                  <w:tcBorders>
                    <w:top w:val="single" w:color="000000" w:sz="8" w:space="0"/>
                    <w:left w:val="nil"/>
                    <w:bottom w:val="single" w:color="000000" w:sz="12" w:space="0"/>
                    <w:right w:val="single" w:color="000000" w:sz="8" w:space="0"/>
                  </w:tcBorders>
                  <w:noWrap w:val="0"/>
                  <w:vAlign w:val="center"/>
                </w:tcPr>
                <w:p w14:paraId="5E905306">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rPr>
                  </w:pPr>
                  <w:r>
                    <w:rPr>
                      <w:rFonts w:hint="default" w:ascii="Times New Roman" w:hAnsi="Times New Roman" w:eastAsia="宋体" w:cs="Times New Roman"/>
                      <w:color w:val="auto"/>
                      <w:spacing w:val="0"/>
                      <w:sz w:val="21"/>
                      <w:szCs w:val="21"/>
                      <w:highlight w:val="none"/>
                    </w:rPr>
                    <w:t>合计</w:t>
                  </w:r>
                  <w:r>
                    <w:rPr>
                      <w:rFonts w:hint="default" w:ascii="Times New Roman" w:hAnsi="Times New Roman" w:eastAsia="宋体" w:cs="Times New Roman"/>
                      <w:color w:val="auto"/>
                      <w:spacing w:val="0"/>
                      <w:sz w:val="21"/>
                      <w:szCs w:val="21"/>
                      <w:highlight w:val="none"/>
                      <w:lang w:val="en-US" w:eastAsia="zh-CN"/>
                    </w:rPr>
                    <w:t>新鲜水</w:t>
                  </w:r>
                </w:p>
              </w:tc>
              <w:tc>
                <w:tcPr>
                  <w:tcW w:w="850" w:type="dxa"/>
                  <w:tcBorders>
                    <w:top w:val="single" w:color="000000" w:sz="8" w:space="0"/>
                    <w:left w:val="single" w:color="000000" w:sz="8" w:space="0"/>
                    <w:bottom w:val="single" w:color="000000" w:sz="12" w:space="0"/>
                    <w:right w:val="single" w:color="000000" w:sz="8" w:space="0"/>
                  </w:tcBorders>
                  <w:noWrap w:val="0"/>
                  <w:vAlign w:val="center"/>
                </w:tcPr>
                <w:p w14:paraId="18C9118F">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eastAsia="宋体" w:cs="Times New Roman"/>
                      <w:bCs/>
                      <w:color w:val="auto"/>
                      <w:spacing w:val="0"/>
                      <w:sz w:val="21"/>
                      <w:szCs w:val="21"/>
                      <w:highlight w:val="none"/>
                      <w:lang w:val="en-US" w:eastAsia="zh-CN"/>
                    </w:rPr>
                    <w:t>183.895</w:t>
                  </w:r>
                </w:p>
              </w:tc>
              <w:tc>
                <w:tcPr>
                  <w:tcW w:w="927" w:type="dxa"/>
                  <w:tcBorders>
                    <w:top w:val="single" w:color="000000" w:sz="8" w:space="0"/>
                    <w:left w:val="single" w:color="000000" w:sz="8" w:space="0"/>
                    <w:bottom w:val="single" w:color="000000" w:sz="12" w:space="0"/>
                    <w:right w:val="single" w:color="000000" w:sz="8" w:space="0"/>
                  </w:tcBorders>
                  <w:noWrap w:val="0"/>
                  <w:vAlign w:val="center"/>
                </w:tcPr>
                <w:p w14:paraId="6034CE6C">
                  <w:pPr>
                    <w:spacing w:line="240" w:lineRule="auto"/>
                    <w:ind w:firstLine="0" w:firstLineChars="0"/>
                    <w:jc w:val="center"/>
                    <w:rPr>
                      <w:rFonts w:hint="default" w:ascii="Times New Roman" w:hAnsi="Times New Roman" w:eastAsia="宋体" w:cs="Times New Roman"/>
                      <w:bCs/>
                      <w:color w:val="auto"/>
                      <w:spacing w:val="0"/>
                      <w:sz w:val="21"/>
                      <w:szCs w:val="21"/>
                      <w:highlight w:val="none"/>
                      <w:lang w:val="en-US" w:eastAsia="zh-CN"/>
                    </w:rPr>
                  </w:pPr>
                  <w:r>
                    <w:rPr>
                      <w:rFonts w:hint="eastAsia" w:ascii="Times New Roman" w:hAnsi="Times New Roman" w:cs="Times New Roman"/>
                      <w:bCs/>
                      <w:color w:val="auto"/>
                      <w:spacing w:val="0"/>
                      <w:sz w:val="21"/>
                      <w:szCs w:val="21"/>
                      <w:highlight w:val="none"/>
                      <w:lang w:val="en-US" w:eastAsia="zh-CN"/>
                    </w:rPr>
                    <w:t>22067.4</w:t>
                  </w:r>
                </w:p>
              </w:tc>
              <w:tc>
                <w:tcPr>
                  <w:tcW w:w="948" w:type="dxa"/>
                  <w:tcBorders>
                    <w:top w:val="single" w:color="000000" w:sz="8" w:space="0"/>
                    <w:left w:val="single" w:color="000000" w:sz="8" w:space="0"/>
                    <w:bottom w:val="single" w:color="000000" w:sz="12" w:space="0"/>
                    <w:right w:val="single" w:color="000000" w:sz="8" w:space="0"/>
                  </w:tcBorders>
                  <w:noWrap w:val="0"/>
                  <w:vAlign w:val="center"/>
                </w:tcPr>
                <w:p w14:paraId="39FDA86A">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w:t>
                  </w:r>
                </w:p>
              </w:tc>
              <w:tc>
                <w:tcPr>
                  <w:tcW w:w="776" w:type="dxa"/>
                  <w:tcBorders>
                    <w:top w:val="single" w:color="000000" w:sz="8" w:space="0"/>
                    <w:left w:val="single" w:color="000000" w:sz="8" w:space="0"/>
                    <w:bottom w:val="single" w:color="000000" w:sz="12" w:space="0"/>
                    <w:right w:val="single" w:color="000000" w:sz="8" w:space="0"/>
                  </w:tcBorders>
                  <w:noWrap w:val="0"/>
                  <w:vAlign w:val="center"/>
                </w:tcPr>
                <w:p w14:paraId="15F90298">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32.1295</w:t>
                  </w:r>
                </w:p>
              </w:tc>
              <w:tc>
                <w:tcPr>
                  <w:tcW w:w="869" w:type="dxa"/>
                  <w:tcBorders>
                    <w:top w:val="single" w:color="000000" w:sz="8" w:space="0"/>
                    <w:left w:val="single" w:color="000000" w:sz="8" w:space="0"/>
                    <w:bottom w:val="single" w:color="000000" w:sz="12" w:space="0"/>
                    <w:right w:val="nil"/>
                  </w:tcBorders>
                  <w:noWrap w:val="0"/>
                  <w:vAlign w:val="center"/>
                </w:tcPr>
                <w:p w14:paraId="3FD733F5">
                  <w:pPr>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3855.54</w:t>
                  </w:r>
                </w:p>
              </w:tc>
            </w:tr>
          </w:tbl>
          <w:p w14:paraId="5D9D337D">
            <w:pPr>
              <w:tabs>
                <w:tab w:val="left" w:pos="3687"/>
              </w:tabs>
              <w:spacing w:line="240" w:lineRule="auto"/>
              <w:ind w:firstLine="0" w:firstLineChars="0"/>
              <w:jc w:val="center"/>
              <w:rPr>
                <w:rFonts w:hint="eastAsia" w:ascii="宋体" w:hAnsi="宋体" w:eastAsia="宋体" w:cs="宋体"/>
                <w:b w:val="0"/>
                <w:bCs w:val="0"/>
                <w:color w:val="auto"/>
                <w:spacing w:val="0"/>
                <w:sz w:val="24"/>
                <w:szCs w:val="24"/>
                <w:highlight w:val="none"/>
              </w:rPr>
            </w:pPr>
            <w:r>
              <w:rPr>
                <w:rFonts w:hint="eastAsia" w:ascii="宋体" w:hAnsi="宋体" w:eastAsia="宋体" w:cs="宋体"/>
                <w:b/>
                <w:bCs w:val="0"/>
                <w:color w:val="auto"/>
                <w:spacing w:val="0"/>
                <w:kern w:val="2"/>
                <w:sz w:val="21"/>
                <w:szCs w:val="21"/>
                <w:highlight w:val="none"/>
                <w:lang w:val="en-US" w:eastAsia="zh-CN" w:bidi="ar-SA"/>
              </w:rPr>
              <w:object>
                <v:shape id="_x0000_i1025" o:spt="75" type="#_x0000_t75" style="height:228.6pt;width:388.45pt;" o:ole="t" filled="f" o:preferrelative="t" stroked="f" coordsize="21600,21600">
                  <v:path/>
                  <v:fill on="f" focussize="0,0"/>
                  <v:stroke on="f"/>
                  <v:imagedata r:id="rId20" o:title=""/>
                  <o:lock v:ext="edit" aspectratio="f"/>
                  <w10:wrap type="none"/>
                  <w10:anchorlock/>
                </v:shape>
                <o:OLEObject Type="Embed" ProgID="Visio.Drawing.15" ShapeID="_x0000_i1025" DrawAspect="Content" ObjectID="_1468075725" r:id="rId19">
                  <o:LockedField>false</o:LockedField>
                </o:OLEObject>
              </w:object>
            </w:r>
            <w:r>
              <w:rPr>
                <w:rFonts w:hint="eastAsia" w:ascii="宋体" w:hAnsi="宋体" w:eastAsia="宋体" w:cs="宋体"/>
                <w:b/>
                <w:bCs w:val="0"/>
                <w:color w:val="auto"/>
                <w:spacing w:val="0"/>
                <w:kern w:val="2"/>
                <w:sz w:val="21"/>
                <w:szCs w:val="21"/>
                <w:highlight w:val="none"/>
                <w:lang w:val="en-US" w:eastAsia="zh-CN" w:bidi="ar-SA"/>
              </w:rPr>
              <w:t>图</w:t>
            </w:r>
            <w:r>
              <w:rPr>
                <w:rFonts w:hint="default" w:ascii="Times New Roman" w:hAnsi="Times New Roman" w:eastAsia="宋体" w:cs="Times New Roman"/>
                <w:b/>
                <w:bCs w:val="0"/>
                <w:color w:val="auto"/>
                <w:spacing w:val="0"/>
                <w:kern w:val="2"/>
                <w:sz w:val="21"/>
                <w:szCs w:val="21"/>
                <w:highlight w:val="none"/>
                <w:lang w:val="en-US" w:eastAsia="zh-CN" w:bidi="ar-SA"/>
              </w:rPr>
              <w:t>2-1</w:t>
            </w:r>
            <w:r>
              <w:rPr>
                <w:rFonts w:hint="eastAsia" w:ascii="宋体" w:hAnsi="宋体" w:eastAsia="宋体" w:cs="宋体"/>
                <w:b/>
                <w:bCs w:val="0"/>
                <w:color w:val="auto"/>
                <w:spacing w:val="0"/>
                <w:kern w:val="2"/>
                <w:sz w:val="21"/>
                <w:szCs w:val="21"/>
                <w:highlight w:val="none"/>
                <w:lang w:val="en-US" w:eastAsia="zh-CN" w:bidi="ar-SA"/>
              </w:rPr>
              <w:t xml:space="preserve"> 水平衡图（t/d）</w:t>
            </w:r>
          </w:p>
          <w:p w14:paraId="2EE4D486">
            <w:pPr>
              <w:jc w:val="left"/>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lang w:val="en-US" w:eastAsia="zh-CN"/>
              </w:rPr>
              <w:t>（2）</w:t>
            </w:r>
            <w:r>
              <w:rPr>
                <w:rFonts w:hint="eastAsia" w:ascii="宋体" w:hAnsi="宋体" w:eastAsia="宋体" w:cs="宋体"/>
                <w:color w:val="auto"/>
                <w:spacing w:val="0"/>
                <w:sz w:val="24"/>
                <w:szCs w:val="24"/>
                <w:highlight w:val="none"/>
              </w:rPr>
              <w:t>供电</w:t>
            </w:r>
          </w:p>
          <w:p w14:paraId="7389CFC5">
            <w:pPr>
              <w:jc w:val="left"/>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本项目用电由</w:t>
            </w:r>
            <w:r>
              <w:rPr>
                <w:rFonts w:hint="eastAsia" w:ascii="宋体" w:hAnsi="宋体" w:eastAsia="宋体" w:cs="宋体"/>
                <w:snapToGrid w:val="0"/>
                <w:color w:val="auto"/>
                <w:spacing w:val="0"/>
                <w:sz w:val="24"/>
                <w:szCs w:val="24"/>
                <w:highlight w:val="none"/>
              </w:rPr>
              <w:t>市政供电管网</w:t>
            </w:r>
            <w:r>
              <w:rPr>
                <w:rFonts w:hint="eastAsia" w:ascii="宋体" w:hAnsi="宋体" w:eastAsia="宋体" w:cs="宋体"/>
                <w:color w:val="auto"/>
                <w:spacing w:val="0"/>
                <w:sz w:val="24"/>
                <w:szCs w:val="24"/>
                <w:highlight w:val="none"/>
              </w:rPr>
              <w:t>统一提供。</w:t>
            </w:r>
          </w:p>
          <w:p w14:paraId="0CB2A891">
            <w:pPr>
              <w:jc w:val="left"/>
              <w:rPr>
                <w:rFonts w:hint="default" w:ascii="宋体" w:hAnsi="宋体" w:eastAsia="宋体" w:cs="宋体"/>
                <w:color w:val="auto"/>
                <w:spacing w:val="0"/>
                <w:sz w:val="24"/>
                <w:szCs w:val="24"/>
                <w:highlight w:val="none"/>
                <w:lang w:val="en-US" w:eastAsia="zh-CN"/>
              </w:rPr>
            </w:pPr>
            <w:r>
              <w:rPr>
                <w:rFonts w:hint="eastAsia" w:cs="宋体"/>
                <w:color w:val="auto"/>
                <w:spacing w:val="0"/>
                <w:sz w:val="24"/>
                <w:szCs w:val="24"/>
                <w:highlight w:val="none"/>
                <w:lang w:val="en-US" w:eastAsia="zh-CN"/>
              </w:rPr>
              <w:t>参考同类型项目，本项目主要用电装备为风机、水泵、旋风除尘器+布袋除尘器、软水制备装置。其中风机功率约37kW；水泵功率约15km；旋风除尘器+布袋除尘器功率约10kW；软水制备装置约24kW。总计86kW，本项目年运行2880h，则年耗电量为247680Kwh</w:t>
            </w:r>
          </w:p>
          <w:p w14:paraId="3FC122E4">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9.</w:t>
            </w:r>
            <w:r>
              <w:rPr>
                <w:rFonts w:hint="eastAsia" w:ascii="宋体" w:hAnsi="宋体" w:eastAsia="宋体" w:cs="宋体"/>
                <w:b/>
                <w:bCs w:val="0"/>
                <w:color w:val="auto"/>
                <w:spacing w:val="0"/>
                <w:sz w:val="24"/>
                <w:szCs w:val="24"/>
                <w:highlight w:val="none"/>
                <w:lang w:val="en-US" w:eastAsia="zh-CN"/>
              </w:rPr>
              <w:t>厂区平面布置</w:t>
            </w:r>
          </w:p>
          <w:p w14:paraId="74DED43F">
            <w:pPr>
              <w:shd w:val="clear" w:color="auto" w:fill="auto"/>
              <w:rPr>
                <w:rFonts w:hint="eastAsia" w:ascii="宋体" w:hAnsi="宋体" w:eastAsia="宋体" w:cs="宋体"/>
                <w:color w:val="auto"/>
                <w:spacing w:val="0"/>
                <w:highlight w:val="none"/>
              </w:rPr>
            </w:pPr>
            <w:r>
              <w:rPr>
                <w:rFonts w:hint="eastAsia" w:ascii="宋体" w:hAnsi="宋体" w:eastAsia="宋体" w:cs="宋体"/>
                <w:bCs/>
                <w:color w:val="auto"/>
                <w:spacing w:val="0"/>
                <w:kern w:val="0"/>
                <w:sz w:val="24"/>
                <w:szCs w:val="24"/>
                <w:highlight w:val="none"/>
                <w:lang w:val="en-US" w:eastAsia="zh-CN" w:bidi="ar-SA"/>
              </w:rPr>
              <w:t>本项目使用厂房为</w:t>
            </w:r>
            <w:r>
              <w:rPr>
                <w:rFonts w:hint="eastAsia" w:ascii="宋体" w:hAnsi="宋体" w:cs="宋体"/>
                <w:bCs/>
                <w:color w:val="auto"/>
                <w:spacing w:val="0"/>
                <w:sz w:val="24"/>
                <w:szCs w:val="24"/>
                <w:highlight w:val="none"/>
                <w:shd w:val="clear"/>
                <w:lang w:eastAsia="zh-CN"/>
              </w:rPr>
              <w:t>燎泰新材料</w:t>
            </w:r>
            <w:r>
              <w:rPr>
                <w:rFonts w:hint="eastAsia" w:ascii="宋体" w:hAnsi="宋体" w:cs="宋体"/>
                <w:bCs/>
                <w:color w:val="auto"/>
                <w:spacing w:val="0"/>
                <w:sz w:val="24"/>
                <w:szCs w:val="24"/>
                <w:highlight w:val="none"/>
                <w:shd w:val="clear"/>
                <w:lang w:val="en-US" w:eastAsia="zh-CN"/>
              </w:rPr>
              <w:t>现有</w:t>
            </w:r>
            <w:r>
              <w:rPr>
                <w:rFonts w:hint="eastAsia" w:cs="宋体"/>
                <w:bCs/>
                <w:color w:val="auto"/>
                <w:spacing w:val="0"/>
                <w:sz w:val="24"/>
                <w:szCs w:val="24"/>
                <w:highlight w:val="none"/>
                <w:shd w:val="clear"/>
                <w:lang w:val="en-US" w:eastAsia="zh-CN"/>
              </w:rPr>
              <w:t>厂区内新建一座锅炉房，位于在建工程锅炉房东侧，</w:t>
            </w:r>
            <w:r>
              <w:rPr>
                <w:rFonts w:hint="eastAsia" w:cs="宋体"/>
                <w:bCs/>
                <w:color w:val="auto"/>
                <w:spacing w:val="0"/>
                <w:kern w:val="0"/>
                <w:sz w:val="24"/>
                <w:szCs w:val="24"/>
                <w:highlight w:val="none"/>
                <w:lang w:val="en-US" w:eastAsia="zh-CN" w:bidi="ar-SA"/>
              </w:rPr>
              <w:t>不新增占地，锅炉建筑</w:t>
            </w:r>
            <w:r>
              <w:rPr>
                <w:rFonts w:hint="eastAsia" w:ascii="宋体" w:hAnsi="宋体" w:eastAsia="宋体" w:cs="宋体"/>
                <w:bCs/>
                <w:color w:val="auto"/>
                <w:spacing w:val="0"/>
                <w:kern w:val="0"/>
                <w:sz w:val="24"/>
                <w:szCs w:val="24"/>
                <w:highlight w:val="none"/>
                <w:lang w:val="en-US" w:eastAsia="zh-CN" w:bidi="ar-SA"/>
              </w:rPr>
              <w:t>面积</w:t>
            </w:r>
            <w:r>
              <w:rPr>
                <w:rFonts w:hint="eastAsia" w:ascii="Times New Roman" w:hAnsi="Times New Roman" w:cs="Times New Roman"/>
                <w:color w:val="auto"/>
                <w:spacing w:val="0"/>
                <w:sz w:val="24"/>
                <w:szCs w:val="24"/>
                <w:highlight w:val="none"/>
                <w:lang w:val="en-US" w:eastAsia="zh-CN"/>
              </w:rPr>
              <w:t>330</w:t>
            </w:r>
            <w:r>
              <w:rPr>
                <w:rFonts w:hint="default" w:ascii="Times New Roman" w:hAnsi="Times New Roman" w:cs="Times New Roman"/>
                <w:color w:val="auto"/>
                <w:spacing w:val="0"/>
                <w:sz w:val="24"/>
                <w:szCs w:val="24"/>
                <w:highlight w:val="none"/>
                <w:lang w:val="en-US" w:eastAsia="zh-CN"/>
              </w:rPr>
              <w:t>m</w:t>
            </w:r>
            <w:r>
              <w:rPr>
                <w:rFonts w:hint="default" w:ascii="Times New Roman" w:hAnsi="Times New Roman" w:cs="Times New Roman"/>
                <w:color w:val="auto"/>
                <w:spacing w:val="0"/>
                <w:sz w:val="24"/>
                <w:szCs w:val="24"/>
                <w:highlight w:val="none"/>
                <w:vertAlign w:val="superscript"/>
                <w:lang w:val="en-US" w:eastAsia="zh-CN"/>
              </w:rPr>
              <w:t>2</w:t>
            </w:r>
            <w:r>
              <w:rPr>
                <w:rFonts w:hint="eastAsia" w:ascii="宋体" w:hAnsi="宋体" w:eastAsia="宋体" w:cs="宋体"/>
                <w:color w:val="auto"/>
                <w:spacing w:val="0"/>
                <w:sz w:val="24"/>
                <w:szCs w:val="24"/>
                <w:highlight w:val="none"/>
                <w:lang w:val="en-US" w:eastAsia="zh-CN"/>
              </w:rPr>
              <w:t>。主要建设内容为</w:t>
            </w:r>
            <w:r>
              <w:rPr>
                <w:rFonts w:hint="eastAsia" w:cs="宋体"/>
                <w:color w:val="auto"/>
                <w:spacing w:val="0"/>
                <w:sz w:val="24"/>
                <w:szCs w:val="24"/>
                <w:highlight w:val="none"/>
                <w:lang w:val="en-US" w:eastAsia="zh-CN"/>
              </w:rPr>
              <w:t>新建1台6t/h生物质锅炉及水处理装置</w:t>
            </w:r>
            <w:r>
              <w:rPr>
                <w:rFonts w:hint="eastAsia" w:ascii="宋体" w:hAnsi="宋体" w:eastAsia="宋体" w:cs="宋体"/>
                <w:color w:val="auto"/>
                <w:spacing w:val="0"/>
                <w:sz w:val="24"/>
                <w:szCs w:val="24"/>
                <w:highlight w:val="none"/>
                <w:lang w:val="en-US" w:eastAsia="zh-CN"/>
              </w:rPr>
              <w:t>。</w:t>
            </w:r>
            <w:r>
              <w:rPr>
                <w:rFonts w:hint="eastAsia" w:ascii="宋体" w:hAnsi="宋体" w:eastAsia="宋体" w:cs="宋体"/>
                <w:snapToGrid w:val="0"/>
                <w:color w:val="auto"/>
                <w:spacing w:val="0"/>
                <w:sz w:val="24"/>
                <w:szCs w:val="24"/>
                <w:highlight w:val="none"/>
                <w:lang w:val="en-US" w:eastAsia="zh-CN"/>
              </w:rPr>
              <w:t>本项目工作时长为</w:t>
            </w:r>
            <w:r>
              <w:rPr>
                <w:rFonts w:hint="default" w:ascii="Times New Roman" w:hAnsi="Times New Roman" w:cs="Times New Roman"/>
                <w:snapToGrid w:val="0"/>
                <w:color w:val="auto"/>
                <w:spacing w:val="0"/>
                <w:sz w:val="24"/>
                <w:szCs w:val="24"/>
                <w:highlight w:val="none"/>
                <w:lang w:val="en-US" w:eastAsia="zh-CN"/>
              </w:rPr>
              <w:t>24</w:t>
            </w:r>
            <w:r>
              <w:rPr>
                <w:rFonts w:hint="default" w:ascii="Times New Roman" w:hAnsi="Times New Roman" w:eastAsia="宋体" w:cs="Times New Roman"/>
                <w:snapToGrid w:val="0"/>
                <w:color w:val="auto"/>
                <w:spacing w:val="0"/>
                <w:sz w:val="24"/>
                <w:szCs w:val="24"/>
                <w:highlight w:val="none"/>
                <w:lang w:val="en-US" w:eastAsia="zh-CN"/>
              </w:rPr>
              <w:t>h</w:t>
            </w:r>
            <w:r>
              <w:rPr>
                <w:rFonts w:hint="eastAsia" w:ascii="宋体" w:hAnsi="宋体" w:eastAsia="宋体" w:cs="宋体"/>
                <w:snapToGrid w:val="0"/>
                <w:color w:val="auto"/>
                <w:spacing w:val="0"/>
                <w:sz w:val="24"/>
                <w:szCs w:val="24"/>
                <w:highlight w:val="none"/>
                <w:lang w:val="en-US" w:eastAsia="zh-CN"/>
              </w:rPr>
              <w:t>，采用双班制，</w:t>
            </w:r>
            <w:r>
              <w:rPr>
                <w:rFonts w:hint="eastAsia" w:cs="宋体"/>
                <w:snapToGrid w:val="0"/>
                <w:color w:val="auto"/>
                <w:spacing w:val="0"/>
                <w:sz w:val="24"/>
                <w:szCs w:val="24"/>
                <w:highlight w:val="none"/>
                <w:lang w:val="en-US" w:eastAsia="zh-CN"/>
              </w:rPr>
              <w:t>年运行120天。锅炉房位于西南侧，</w:t>
            </w:r>
            <w:r>
              <w:rPr>
                <w:rFonts w:hint="eastAsia" w:ascii="宋体" w:hAnsi="宋体" w:eastAsia="宋体" w:cs="宋体"/>
                <w:color w:val="auto"/>
                <w:spacing w:val="0"/>
                <w:sz w:val="24"/>
                <w:szCs w:val="24"/>
                <w:highlight w:val="none"/>
              </w:rPr>
              <w:t>从总平面布置上来看，该项目功能区划分比较明确，</w:t>
            </w:r>
            <w:r>
              <w:rPr>
                <w:rFonts w:hint="eastAsia" w:ascii="宋体" w:hAnsi="宋体" w:eastAsia="宋体" w:cs="宋体"/>
                <w:color w:val="auto"/>
                <w:spacing w:val="0"/>
                <w:sz w:val="24"/>
                <w:szCs w:val="24"/>
                <w:highlight w:val="none"/>
                <w:lang w:val="en-US" w:eastAsia="zh-CN"/>
              </w:rPr>
              <w:t>车间</w:t>
            </w:r>
            <w:r>
              <w:rPr>
                <w:rFonts w:hint="eastAsia" w:ascii="宋体" w:hAnsi="宋体" w:eastAsia="宋体" w:cs="宋体"/>
                <w:color w:val="auto"/>
                <w:spacing w:val="0"/>
                <w:sz w:val="24"/>
                <w:szCs w:val="24"/>
                <w:highlight w:val="none"/>
              </w:rPr>
              <w:t>布置合理</w:t>
            </w:r>
            <w:r>
              <w:rPr>
                <w:rFonts w:hint="eastAsia" w:ascii="宋体" w:hAnsi="宋体" w:eastAsia="宋体" w:cs="宋体"/>
                <w:bCs/>
                <w:color w:val="auto"/>
                <w:spacing w:val="0"/>
                <w:kern w:val="0"/>
                <w:sz w:val="24"/>
                <w:szCs w:val="24"/>
                <w:highlight w:val="none"/>
                <w:lang w:val="en-US" w:eastAsia="zh-CN" w:bidi="ar-SA"/>
              </w:rPr>
              <w:t>。平面布置见附图</w:t>
            </w:r>
            <w:r>
              <w:rPr>
                <w:rFonts w:hint="default" w:ascii="Times New Roman" w:hAnsi="Times New Roman" w:eastAsia="宋体" w:cs="Times New Roman"/>
                <w:bCs/>
                <w:color w:val="auto"/>
                <w:spacing w:val="0"/>
                <w:kern w:val="0"/>
                <w:sz w:val="24"/>
                <w:szCs w:val="24"/>
                <w:highlight w:val="none"/>
                <w:lang w:val="en-US" w:eastAsia="zh-CN" w:bidi="ar-SA"/>
              </w:rPr>
              <w:t>2</w:t>
            </w:r>
            <w:r>
              <w:rPr>
                <w:rFonts w:hint="eastAsia" w:ascii="宋体" w:hAnsi="宋体" w:eastAsia="宋体" w:cs="宋体"/>
                <w:bCs/>
                <w:color w:val="auto"/>
                <w:spacing w:val="0"/>
                <w:kern w:val="0"/>
                <w:sz w:val="24"/>
                <w:szCs w:val="24"/>
                <w:highlight w:val="none"/>
                <w:lang w:val="en-US" w:eastAsia="zh-CN" w:bidi="ar-SA"/>
              </w:rPr>
              <w:t>。</w:t>
            </w:r>
          </w:p>
        </w:tc>
      </w:tr>
      <w:tr w14:paraId="3D6172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5" w:type="dxa"/>
            <w:noWrap w:val="0"/>
            <w:vAlign w:val="center"/>
          </w:tcPr>
          <w:p w14:paraId="68B9A736">
            <w:pPr>
              <w:pStyle w:val="33"/>
              <w:spacing w:before="0" w:beforeAutospacing="0" w:after="0" w:afterAutospacing="0" w:line="240" w:lineRule="auto"/>
              <w:ind w:firstLine="0" w:firstLineChars="0"/>
              <w:jc w:val="center"/>
              <w:rPr>
                <w:rFonts w:hint="eastAsia" w:ascii="宋体" w:hAnsi="宋体" w:eastAsia="宋体" w:cs="宋体"/>
                <w:bCs/>
                <w:color w:val="auto"/>
                <w:spacing w:val="0"/>
                <w:highlight w:val="none"/>
              </w:rPr>
            </w:pPr>
            <w:r>
              <w:rPr>
                <w:rFonts w:hint="eastAsia" w:ascii="宋体" w:hAnsi="宋体" w:eastAsia="宋体" w:cs="宋体"/>
                <w:bCs/>
                <w:color w:val="auto"/>
                <w:spacing w:val="0"/>
                <w:highlight w:val="none"/>
              </w:rPr>
              <w:t>工艺流程和产排污环节</w:t>
            </w:r>
          </w:p>
        </w:tc>
        <w:tc>
          <w:tcPr>
            <w:tcW w:w="7987" w:type="dxa"/>
            <w:noWrap w:val="0"/>
            <w:vAlign w:val="top"/>
          </w:tcPr>
          <w:p w14:paraId="66A55F5C">
            <w:pPr>
              <w:tabs>
                <w:tab w:val="left" w:pos="870"/>
              </w:tabs>
              <w:spacing w:line="360" w:lineRule="auto"/>
              <w:ind w:firstLine="0" w:firstLineChars="0"/>
              <w:rPr>
                <w:rFonts w:hint="eastAsia" w:ascii="宋体" w:hAnsi="宋体" w:eastAsia="宋体" w:cs="宋体"/>
                <w:b/>
                <w:bCs w:val="0"/>
                <w:color w:val="auto"/>
                <w:spacing w:val="0"/>
                <w:sz w:val="24"/>
                <w:highlight w:val="none"/>
              </w:rPr>
            </w:pPr>
            <w:r>
              <w:rPr>
                <w:rFonts w:hint="eastAsia" w:ascii="宋体" w:hAnsi="宋体" w:eastAsia="宋体" w:cs="宋体"/>
                <w:b/>
                <w:bCs w:val="0"/>
                <w:color w:val="auto"/>
                <w:spacing w:val="0"/>
                <w:sz w:val="24"/>
                <w:highlight w:val="none"/>
              </w:rPr>
              <w:t>一、施工期工程分析</w:t>
            </w:r>
          </w:p>
          <w:p w14:paraId="52F01BD1">
            <w:pPr>
              <w:spacing w:line="360" w:lineRule="auto"/>
              <w:ind w:firstLine="480" w:firstLineChars="200"/>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本项目</w:t>
            </w:r>
            <w:r>
              <w:rPr>
                <w:rFonts w:hint="eastAsia" w:ascii="Times New Roman" w:hAnsi="Times New Roman" w:cs="Times New Roman"/>
                <w:color w:val="auto"/>
                <w:spacing w:val="0"/>
                <w:sz w:val="24"/>
                <w:highlight w:val="none"/>
                <w:lang w:val="en-US" w:eastAsia="zh-CN"/>
              </w:rPr>
              <w:t>在现有锅炉房东侧</w:t>
            </w:r>
            <w:r>
              <w:rPr>
                <w:rFonts w:hint="eastAsia" w:ascii="Times New Roman" w:hAnsi="Times New Roman" w:eastAsia="宋体" w:cs="Times New Roman"/>
                <w:color w:val="auto"/>
                <w:spacing w:val="0"/>
                <w:sz w:val="24"/>
                <w:highlight w:val="none"/>
                <w:lang w:val="en-US" w:eastAsia="zh-CN"/>
              </w:rPr>
              <w:t>新建一座锅炉房</w:t>
            </w:r>
            <w:r>
              <w:rPr>
                <w:rFonts w:hint="default" w:ascii="Times New Roman" w:hAnsi="Times New Roman" w:eastAsia="宋体" w:cs="Times New Roman"/>
                <w:color w:val="auto"/>
                <w:spacing w:val="0"/>
                <w:sz w:val="24"/>
                <w:highlight w:val="none"/>
              </w:rPr>
              <w:t>，</w:t>
            </w:r>
            <w:r>
              <w:rPr>
                <w:rFonts w:hint="eastAsia" w:ascii="Times New Roman" w:hAnsi="Times New Roman" w:cs="Times New Roman"/>
                <w:color w:val="auto"/>
                <w:spacing w:val="0"/>
                <w:sz w:val="24"/>
                <w:highlight w:val="none"/>
                <w:lang w:val="en-US" w:eastAsia="zh-CN"/>
              </w:rPr>
              <w:t>本项目施工不涉及旧厂房、就设备的拆除，不会产生拆除建筑工业废物及噪声。施工过程仅为新建锅炉房及新建锅炉的安装。</w:t>
            </w:r>
            <w:r>
              <w:rPr>
                <w:rFonts w:hint="default" w:ascii="Times New Roman" w:hAnsi="Times New Roman" w:eastAsia="宋体" w:cs="Times New Roman"/>
                <w:color w:val="auto"/>
                <w:spacing w:val="0"/>
                <w:sz w:val="24"/>
                <w:highlight w:val="none"/>
              </w:rPr>
              <w:t>施工全过程可分为以下几个阶段：清理场地阶段，包括</w:t>
            </w:r>
            <w:r>
              <w:rPr>
                <w:rFonts w:hint="eastAsia" w:ascii="Times New Roman" w:hAnsi="Times New Roman" w:cs="Times New Roman"/>
                <w:color w:val="auto"/>
                <w:spacing w:val="0"/>
                <w:sz w:val="24"/>
                <w:highlight w:val="none"/>
                <w:lang w:eastAsia="zh-CN"/>
              </w:rPr>
              <w:t>基坑排水</w:t>
            </w:r>
            <w:r>
              <w:rPr>
                <w:rFonts w:hint="default" w:ascii="Times New Roman" w:hAnsi="Times New Roman" w:eastAsia="宋体" w:cs="Times New Roman"/>
                <w:color w:val="auto"/>
                <w:spacing w:val="0"/>
                <w:sz w:val="24"/>
                <w:highlight w:val="none"/>
              </w:rPr>
              <w:t>、工程垫地、场地平整等；土石方工程阶段，包括挖槽、运输</w:t>
            </w:r>
            <w:r>
              <w:rPr>
                <w:rFonts w:hint="eastAsia" w:ascii="Times New Roman" w:hAnsi="Times New Roman" w:cs="Times New Roman"/>
                <w:color w:val="auto"/>
                <w:spacing w:val="0"/>
                <w:sz w:val="24"/>
                <w:highlight w:val="none"/>
                <w:lang w:val="en-US" w:eastAsia="zh-CN"/>
              </w:rPr>
              <w:t>工程</w:t>
            </w:r>
            <w:r>
              <w:rPr>
                <w:rFonts w:hint="default" w:ascii="Times New Roman" w:hAnsi="Times New Roman" w:eastAsia="宋体" w:cs="Times New Roman"/>
                <w:color w:val="auto"/>
                <w:spacing w:val="0"/>
                <w:sz w:val="24"/>
                <w:highlight w:val="none"/>
              </w:rPr>
              <w:t>土等；基础及结构施工阶段，包括钢筋工程、砌体工程等；装修工程阶段，包括内装修、外装修等。</w:t>
            </w:r>
          </w:p>
          <w:p w14:paraId="19D1F7C0">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0" w:firstLineChars="0"/>
              <w:jc w:val="center"/>
              <w:textAlignment w:val="auto"/>
              <w:rPr>
                <w:rFonts w:hint="default" w:ascii="宋体" w:hAnsi="宋体" w:eastAsia="宋体" w:cs="宋体"/>
                <w:b w:val="0"/>
                <w:bCs/>
                <w:color w:val="auto"/>
                <w:spacing w:val="0"/>
                <w:sz w:val="24"/>
                <w:highlight w:val="none"/>
                <w:lang w:val="en-US" w:eastAsia="zh-CN"/>
              </w:rPr>
            </w:pPr>
            <w:r>
              <w:rPr>
                <w:rFonts w:hint="default" w:ascii="Times New Roman" w:hAnsi="Times New Roman" w:eastAsia="宋体" w:cs="Times New Roman"/>
                <w:color w:val="auto"/>
                <w:spacing w:val="0"/>
                <w:sz w:val="24"/>
                <w:highlight w:val="none"/>
              </w:rPr>
              <w:object>
                <v:shape id="_x0000_i1026" o:spt="75" type="#_x0000_t75" style="height:43.45pt;width:378.95pt;" o:ole="t" filled="f" o:preferrelative="t" stroked="f" coordsize="21600,21600">
                  <v:path/>
                  <v:fill on="f" focussize="0,0"/>
                  <v:stroke on="f"/>
                  <v:imagedata r:id="rId22" o:title=""/>
                  <o:lock v:ext="edit" aspectratio="f"/>
                  <w10:wrap type="none"/>
                  <w10:anchorlock/>
                </v:shape>
                <o:OLEObject Type="Embed" ProgID="Visio.Drawing.15" ShapeID="_x0000_i1026" DrawAspect="Content" ObjectID="_1468075726" r:id="rId21">
                  <o:LockedField>false</o:LockedField>
                </o:OLEObject>
              </w:object>
            </w:r>
            <w:r>
              <w:rPr>
                <w:rFonts w:hint="default" w:ascii="Times New Roman" w:hAnsi="Times New Roman" w:eastAsia="宋体" w:cs="Times New Roman"/>
                <w:b/>
                <w:bCs w:val="0"/>
                <w:color w:val="auto"/>
                <w:spacing w:val="0"/>
                <w:kern w:val="2"/>
                <w:sz w:val="21"/>
                <w:szCs w:val="21"/>
                <w:highlight w:val="none"/>
                <w:lang w:val="en-US" w:eastAsia="zh-CN" w:bidi="ar-SA"/>
              </w:rPr>
              <w:t>图2-2施工工艺流程图</w:t>
            </w:r>
          </w:p>
          <w:p w14:paraId="32846ABE">
            <w:pPr>
              <w:tabs>
                <w:tab w:val="left" w:pos="870"/>
              </w:tabs>
              <w:spacing w:line="360" w:lineRule="auto"/>
              <w:ind w:firstLine="0" w:firstLineChars="0"/>
              <w:rPr>
                <w:rFonts w:hint="eastAsia" w:ascii="宋体" w:hAnsi="宋体" w:eastAsia="宋体" w:cs="宋体"/>
                <w:b/>
                <w:bCs w:val="0"/>
                <w:color w:val="auto"/>
                <w:spacing w:val="0"/>
                <w:sz w:val="24"/>
                <w:highlight w:val="none"/>
                <w:lang w:val="en-US" w:eastAsia="zh-CN"/>
              </w:rPr>
            </w:pPr>
            <w:r>
              <w:rPr>
                <w:rFonts w:hint="eastAsia" w:ascii="宋体" w:hAnsi="宋体" w:eastAsia="宋体" w:cs="宋体"/>
                <w:b/>
                <w:bCs w:val="0"/>
                <w:color w:val="auto"/>
                <w:spacing w:val="0"/>
                <w:sz w:val="24"/>
                <w:highlight w:val="none"/>
                <w:lang w:val="en-US" w:eastAsia="zh-CN"/>
              </w:rPr>
              <w:t>二、运营期工艺流程</w:t>
            </w:r>
          </w:p>
          <w:p w14:paraId="2E228194">
            <w:pPr>
              <w:ind w:left="0" w:leftChars="0" w:firstLine="0" w:firstLineChars="0"/>
              <w:jc w:val="center"/>
              <w:rPr>
                <w:rFonts w:hint="default" w:ascii="宋体" w:hAnsi="宋体" w:eastAsia="宋体" w:cs="宋体"/>
                <w:b/>
                <w:bCs w:val="0"/>
                <w:color w:val="auto"/>
                <w:spacing w:val="0"/>
                <w:sz w:val="24"/>
                <w:szCs w:val="24"/>
                <w:highlight w:val="none"/>
                <w:lang w:val="en-US" w:eastAsia="zh-CN"/>
              </w:rPr>
            </w:pPr>
            <w:r>
              <w:rPr>
                <w:rFonts w:hint="eastAsia" w:cs="宋体"/>
                <w:b/>
                <w:bCs w:val="0"/>
                <w:color w:val="auto"/>
                <w:spacing w:val="0"/>
                <w:sz w:val="21"/>
                <w:szCs w:val="21"/>
                <w:highlight w:val="none"/>
                <w:lang w:val="en-US" w:eastAsia="zh-CN"/>
              </w:rPr>
              <w:object>
                <v:shape id="_x0000_i1027" o:spt="75" type="#_x0000_t75" style="height:237.4pt;width:388.4pt;" o:ole="t" filled="f" o:preferrelative="t" stroked="f" coordsize="21600,21600">
                  <v:path/>
                  <v:fill on="f" focussize="0,0"/>
                  <v:stroke on="f"/>
                  <v:imagedata r:id="rId24" o:title=""/>
                  <o:lock v:ext="edit" aspectratio="f"/>
                  <w10:wrap type="none"/>
                  <w10:anchorlock/>
                </v:shape>
                <o:OLEObject Type="Embed" ProgID="Visio.Drawing.15" ShapeID="_x0000_i1027" DrawAspect="Content" ObjectID="_1468075727" r:id="rId23">
                  <o:LockedField>false</o:LockedField>
                </o:OLEObject>
              </w:object>
            </w:r>
            <w:r>
              <w:rPr>
                <w:rFonts w:hint="eastAsia" w:cs="宋体"/>
                <w:b/>
                <w:bCs w:val="0"/>
                <w:color w:val="auto"/>
                <w:spacing w:val="0"/>
                <w:sz w:val="21"/>
                <w:szCs w:val="21"/>
                <w:highlight w:val="none"/>
                <w:lang w:val="en-US" w:eastAsia="zh-CN"/>
              </w:rPr>
              <w:t>图</w:t>
            </w:r>
            <w:r>
              <w:rPr>
                <w:rFonts w:hint="default" w:ascii="Times New Roman" w:hAnsi="Times New Roman" w:cs="Times New Roman"/>
                <w:b/>
                <w:bCs w:val="0"/>
                <w:color w:val="auto"/>
                <w:spacing w:val="0"/>
                <w:sz w:val="21"/>
                <w:szCs w:val="21"/>
                <w:highlight w:val="none"/>
                <w:lang w:val="en-US" w:eastAsia="zh-CN"/>
              </w:rPr>
              <w:t>2-3</w:t>
            </w:r>
            <w:r>
              <w:rPr>
                <w:rFonts w:hint="eastAsia" w:cs="宋体"/>
                <w:b/>
                <w:bCs w:val="0"/>
                <w:color w:val="auto"/>
                <w:spacing w:val="0"/>
                <w:sz w:val="21"/>
                <w:szCs w:val="21"/>
                <w:highlight w:val="none"/>
                <w:lang w:val="en-US" w:eastAsia="zh-CN"/>
              </w:rPr>
              <w:t xml:space="preserve"> 锅炉供热工艺流程图</w:t>
            </w:r>
          </w:p>
          <w:p w14:paraId="12296F5D">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ascii="宋体" w:hAnsi="宋体" w:eastAsia="宋体" w:cs="宋体"/>
                <w:b/>
                <w:bCs w:val="0"/>
                <w:color w:val="auto"/>
                <w:spacing w:val="0"/>
                <w:sz w:val="24"/>
                <w:szCs w:val="24"/>
                <w:highlight w:val="none"/>
                <w:lang w:val="en-US" w:eastAsia="zh-CN"/>
              </w:rPr>
              <w:t>三、营运期的主要污染源</w:t>
            </w:r>
          </w:p>
          <w:p w14:paraId="1FC36812">
            <w:pPr>
              <w:keepNext w:val="0"/>
              <w:keepLines w:val="0"/>
              <w:pageBreakBefore w:val="0"/>
              <w:widowControl/>
              <w:kinsoku/>
              <w:wordWrap/>
              <w:overflowPunct/>
              <w:topLinePunct w:val="0"/>
              <w:autoSpaceDE/>
              <w:autoSpaceDN/>
              <w:bidi w:val="0"/>
              <w:adjustRightInd w:val="0"/>
              <w:snapToGrid w:val="0"/>
              <w:jc w:val="left"/>
              <w:textAlignment w:val="auto"/>
              <w:rPr>
                <w:rFonts w:hint="eastAsia" w:ascii="宋体" w:hAnsi="宋体" w:eastAsia="宋体" w:cs="宋体"/>
                <w:color w:val="auto"/>
                <w:spacing w:val="0"/>
                <w:kern w:val="0"/>
                <w:sz w:val="24"/>
                <w:szCs w:val="24"/>
                <w:highlight w:val="none"/>
                <w:lang w:bidi="ar"/>
              </w:rPr>
            </w:pPr>
            <w:r>
              <w:rPr>
                <w:rFonts w:hint="eastAsia" w:ascii="宋体" w:hAnsi="宋体" w:eastAsia="宋体" w:cs="宋体"/>
                <w:color w:val="auto"/>
                <w:spacing w:val="0"/>
                <w:kern w:val="0"/>
                <w:sz w:val="24"/>
                <w:szCs w:val="24"/>
                <w:highlight w:val="none"/>
                <w:lang w:bidi="ar"/>
              </w:rPr>
              <w:t>主要产污环节如下</w:t>
            </w:r>
          </w:p>
          <w:p w14:paraId="7C313E4A">
            <w:pPr>
              <w:pStyle w:val="13"/>
              <w:keepNext w:val="0"/>
              <w:keepLines w:val="0"/>
              <w:pageBreakBefore w:val="0"/>
              <w:widowControl/>
              <w:kinsoku/>
              <w:wordWrap/>
              <w:overflowPunct/>
              <w:topLinePunct w:val="0"/>
              <w:autoSpaceDE/>
              <w:autoSpaceDN/>
              <w:bidi w:val="0"/>
              <w:adjustRightInd w:val="0"/>
              <w:snapToGrid w:val="0"/>
              <w:spacing w:before="0" w:after="0" w:line="360" w:lineRule="auto"/>
              <w:ind w:right="0"/>
              <w:textAlignment w:val="auto"/>
              <w:rPr>
                <w:rFonts w:hint="default" w:ascii="宋体" w:hAnsi="宋体" w:eastAsia="宋体" w:cs="宋体"/>
                <w:color w:val="auto"/>
                <w:spacing w:val="0"/>
                <w:kern w:val="0"/>
                <w:highlight w:val="none"/>
                <w:lang w:val="en-US" w:eastAsia="zh-CN" w:bidi="ar"/>
              </w:rPr>
            </w:pPr>
            <w:r>
              <w:rPr>
                <w:rFonts w:hint="eastAsia" w:ascii="宋体" w:hAnsi="宋体" w:eastAsia="宋体" w:cs="宋体"/>
                <w:color w:val="auto"/>
                <w:spacing w:val="0"/>
                <w:kern w:val="0"/>
                <w:sz w:val="24"/>
                <w:szCs w:val="24"/>
                <w:highlight w:val="none"/>
                <w:lang w:val="en-US" w:eastAsia="zh-CN" w:bidi="ar"/>
              </w:rPr>
              <w:t>废气：本项目在</w:t>
            </w:r>
            <w:r>
              <w:rPr>
                <w:rFonts w:hint="eastAsia" w:ascii="宋体" w:hAnsi="宋体" w:cs="宋体"/>
                <w:color w:val="auto"/>
                <w:spacing w:val="0"/>
                <w:kern w:val="0"/>
                <w:sz w:val="24"/>
                <w:szCs w:val="24"/>
                <w:highlight w:val="none"/>
                <w:lang w:val="en-US" w:eastAsia="zh-CN" w:bidi="ar"/>
              </w:rPr>
              <w:t>锅炉运转产生的废气、生物质颗粒贮存产生的无组织废气和锅炉灰渣贮存产生的无组织废气</w:t>
            </w:r>
            <w:r>
              <w:rPr>
                <w:rFonts w:hint="eastAsia" w:ascii="宋体" w:hAnsi="宋体" w:eastAsia="宋体" w:cs="宋体"/>
                <w:color w:val="auto"/>
                <w:spacing w:val="0"/>
                <w:kern w:val="0"/>
                <w:sz w:val="24"/>
                <w:szCs w:val="24"/>
                <w:highlight w:val="none"/>
                <w:lang w:val="en-US" w:eastAsia="zh-CN" w:bidi="ar"/>
              </w:rPr>
              <w:t>。</w:t>
            </w:r>
            <w:r>
              <w:rPr>
                <w:rFonts w:hint="eastAsia" w:ascii="宋体" w:hAnsi="宋体" w:cs="宋体"/>
                <w:color w:val="auto"/>
                <w:spacing w:val="0"/>
                <w:kern w:val="0"/>
                <w:sz w:val="24"/>
                <w:szCs w:val="24"/>
                <w:highlight w:val="none"/>
                <w:lang w:val="en-US" w:eastAsia="zh-CN" w:bidi="ar"/>
              </w:rPr>
              <w:t>主要为颗粒物、二氧化硫、氮氧化物、烟气黑度、汞及其化合物</w:t>
            </w:r>
          </w:p>
          <w:p w14:paraId="23227F63">
            <w:pPr>
              <w:keepNext w:val="0"/>
              <w:keepLines w:val="0"/>
              <w:pageBreakBefore w:val="0"/>
              <w:widowControl/>
              <w:kinsoku/>
              <w:wordWrap/>
              <w:overflowPunct/>
              <w:topLinePunct w:val="0"/>
              <w:autoSpaceDE/>
              <w:autoSpaceDN/>
              <w:bidi w:val="0"/>
              <w:adjustRightInd w:val="0"/>
              <w:snapToGrid w:val="0"/>
              <w:jc w:val="left"/>
              <w:textAlignment w:val="auto"/>
              <w:rPr>
                <w:rFonts w:hint="eastAsia" w:ascii="宋体" w:hAnsi="宋体" w:eastAsia="宋体" w:cs="宋体"/>
                <w:color w:val="auto"/>
                <w:spacing w:val="0"/>
                <w:kern w:val="0"/>
                <w:highlight w:val="none"/>
                <w:lang w:bidi="ar"/>
              </w:rPr>
            </w:pPr>
            <w:r>
              <w:rPr>
                <w:rFonts w:hint="eastAsia" w:ascii="宋体" w:hAnsi="宋体" w:eastAsia="宋体" w:cs="宋体"/>
                <w:color w:val="auto"/>
                <w:spacing w:val="0"/>
                <w:kern w:val="0"/>
                <w:highlight w:val="none"/>
                <w:lang w:bidi="ar"/>
              </w:rPr>
              <w:t>噪声：</w:t>
            </w:r>
            <w:r>
              <w:rPr>
                <w:rFonts w:hint="eastAsia" w:cs="宋体"/>
                <w:color w:val="auto"/>
                <w:spacing w:val="0"/>
                <w:kern w:val="0"/>
                <w:highlight w:val="none"/>
                <w:lang w:val="en-US" w:eastAsia="zh-CN" w:bidi="ar"/>
              </w:rPr>
              <w:t>锅炉</w:t>
            </w:r>
            <w:r>
              <w:rPr>
                <w:rFonts w:hint="eastAsia" w:ascii="宋体" w:hAnsi="宋体" w:eastAsia="宋体" w:cs="宋体"/>
                <w:color w:val="auto"/>
                <w:spacing w:val="0"/>
                <w:kern w:val="0"/>
                <w:highlight w:val="none"/>
                <w:lang w:bidi="ar"/>
              </w:rPr>
              <w:t>运行噪声；</w:t>
            </w:r>
          </w:p>
          <w:p w14:paraId="2BA80BC2">
            <w:pPr>
              <w:keepNext w:val="0"/>
              <w:keepLines w:val="0"/>
              <w:pageBreakBefore w:val="0"/>
              <w:kinsoku/>
              <w:wordWrap/>
              <w:overflowPunct/>
              <w:topLinePunct w:val="0"/>
              <w:autoSpaceDE/>
              <w:autoSpaceDN/>
              <w:bidi w:val="0"/>
              <w:adjustRightInd w:val="0"/>
              <w:snapToGrid w:val="0"/>
              <w:textAlignment w:val="auto"/>
              <w:rPr>
                <w:rFonts w:hint="eastAsia" w:ascii="宋体" w:hAnsi="宋体" w:eastAsia="宋体" w:cs="宋体"/>
                <w:color w:val="auto"/>
                <w:spacing w:val="0"/>
                <w:kern w:val="0"/>
                <w:highlight w:val="none"/>
                <w:lang w:val="en-US" w:eastAsia="zh-CN" w:bidi="ar"/>
              </w:rPr>
            </w:pPr>
            <w:r>
              <w:rPr>
                <w:rFonts w:hint="eastAsia" w:ascii="宋体" w:hAnsi="宋体" w:eastAsia="宋体" w:cs="宋体"/>
                <w:color w:val="auto"/>
                <w:spacing w:val="0"/>
                <w:kern w:val="0"/>
                <w:highlight w:val="none"/>
                <w:lang w:val="en-US" w:eastAsia="zh-CN" w:bidi="ar"/>
              </w:rPr>
              <w:t>废水：锅炉排污水</w:t>
            </w:r>
            <w:r>
              <w:rPr>
                <w:rFonts w:hint="eastAsia" w:cs="宋体"/>
                <w:color w:val="auto"/>
                <w:spacing w:val="0"/>
                <w:kern w:val="0"/>
                <w:highlight w:val="none"/>
                <w:lang w:val="en-US" w:eastAsia="zh-CN" w:bidi="ar"/>
              </w:rPr>
              <w:t>和软水制备废水</w:t>
            </w:r>
            <w:r>
              <w:rPr>
                <w:rFonts w:hint="eastAsia" w:ascii="宋体" w:hAnsi="宋体" w:eastAsia="宋体" w:cs="宋体"/>
                <w:color w:val="auto"/>
                <w:spacing w:val="0"/>
                <w:kern w:val="0"/>
                <w:highlight w:val="none"/>
                <w:lang w:val="en-US" w:eastAsia="zh-CN" w:bidi="ar"/>
              </w:rPr>
              <w:t>。</w:t>
            </w:r>
          </w:p>
          <w:p w14:paraId="0BA517AE">
            <w:pPr>
              <w:keepNext w:val="0"/>
              <w:keepLines w:val="0"/>
              <w:pageBreakBefore w:val="0"/>
              <w:kinsoku/>
              <w:wordWrap/>
              <w:overflowPunct/>
              <w:topLinePunct w:val="0"/>
              <w:autoSpaceDE/>
              <w:autoSpaceDN/>
              <w:bidi w:val="0"/>
              <w:adjustRightInd w:val="0"/>
              <w:snapToGrid w:val="0"/>
              <w:textAlignment w:val="auto"/>
              <w:rPr>
                <w:rFonts w:hint="eastAsia" w:ascii="宋体" w:hAnsi="宋体" w:eastAsia="宋体" w:cs="宋体"/>
                <w:color w:val="auto"/>
                <w:spacing w:val="0"/>
                <w:highlight w:val="none"/>
                <w:lang w:val="en-US" w:eastAsia="zh-CN"/>
              </w:rPr>
            </w:pPr>
            <w:r>
              <w:rPr>
                <w:rFonts w:hint="eastAsia" w:ascii="宋体" w:hAnsi="宋体" w:eastAsia="宋体" w:cs="宋体"/>
                <w:color w:val="auto"/>
                <w:spacing w:val="0"/>
                <w:kern w:val="0"/>
                <w:highlight w:val="none"/>
                <w:lang w:bidi="ar"/>
              </w:rPr>
              <w:t>固废：</w:t>
            </w:r>
            <w:r>
              <w:rPr>
                <w:rFonts w:hint="eastAsia" w:cs="宋体"/>
                <w:color w:val="auto"/>
                <w:spacing w:val="0"/>
                <w:kern w:val="0"/>
                <w:highlight w:val="none"/>
                <w:lang w:val="en-US" w:eastAsia="zh-CN" w:bidi="ar"/>
              </w:rPr>
              <w:t>软水制备过程产生废离子交换树脂，产生离子交换树脂再生废水。锅炉灰渣、除尘器集尘、废布袋、废机油、废油桶、含油棉纱</w:t>
            </w:r>
            <w:r>
              <w:rPr>
                <w:rFonts w:hint="eastAsia" w:ascii="宋体" w:hAnsi="宋体" w:eastAsia="宋体" w:cs="宋体"/>
                <w:color w:val="auto"/>
                <w:spacing w:val="0"/>
                <w:kern w:val="0"/>
                <w:highlight w:val="none"/>
                <w:lang w:val="en-US" w:eastAsia="zh-CN" w:bidi="ar"/>
              </w:rPr>
              <w:t>。</w:t>
            </w:r>
          </w:p>
        </w:tc>
      </w:tr>
      <w:tr w14:paraId="61AA2C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69" w:hRule="atLeast"/>
          <w:jc w:val="center"/>
        </w:trPr>
        <w:tc>
          <w:tcPr>
            <w:tcW w:w="535" w:type="dxa"/>
            <w:noWrap w:val="0"/>
            <w:vAlign w:val="center"/>
          </w:tcPr>
          <w:p w14:paraId="7C25D7C1">
            <w:pPr>
              <w:pStyle w:val="33"/>
              <w:spacing w:before="0" w:beforeAutospacing="0" w:after="0" w:afterAutospacing="0" w:line="240" w:lineRule="auto"/>
              <w:ind w:firstLine="0" w:firstLineChars="0"/>
              <w:jc w:val="center"/>
              <w:rPr>
                <w:rFonts w:hint="eastAsia" w:ascii="宋体" w:hAnsi="宋体" w:eastAsia="宋体" w:cs="宋体"/>
                <w:bCs/>
                <w:color w:val="auto"/>
                <w:spacing w:val="0"/>
                <w:highlight w:val="none"/>
              </w:rPr>
            </w:pPr>
            <w:r>
              <w:rPr>
                <w:rFonts w:hint="eastAsia" w:ascii="宋体" w:hAnsi="宋体" w:eastAsia="宋体" w:cs="宋体"/>
                <w:bCs/>
                <w:color w:val="auto"/>
                <w:spacing w:val="0"/>
                <w:kern w:val="2"/>
                <w:sz w:val="22"/>
                <w:szCs w:val="18"/>
                <w:highlight w:val="none"/>
              </w:rPr>
              <w:t>与项目有关的原有环境污染问题</w:t>
            </w:r>
          </w:p>
        </w:tc>
        <w:tc>
          <w:tcPr>
            <w:tcW w:w="7987" w:type="dxa"/>
            <w:noWrap w:val="0"/>
            <w:vAlign w:val="center"/>
          </w:tcPr>
          <w:p w14:paraId="72931A8B">
            <w:pPr>
              <w:spacing w:line="360" w:lineRule="auto"/>
              <w:ind w:left="0" w:leftChars="0" w:firstLine="0" w:firstLineChars="0"/>
              <w:jc w:val="left"/>
              <w:rPr>
                <w:rFonts w:hint="eastAsia" w:ascii="宋体" w:hAnsi="宋体" w:eastAsia="宋体" w:cs="宋体"/>
                <w:b/>
                <w:bCs w:val="0"/>
                <w:color w:val="auto"/>
                <w:highlight w:val="none"/>
                <w:lang w:val="en-US" w:eastAsia="zh-CN"/>
              </w:rPr>
            </w:pPr>
            <w:r>
              <w:rPr>
                <w:rFonts w:hint="eastAsia" w:ascii="宋体" w:hAnsi="宋体" w:eastAsia="宋体" w:cs="宋体"/>
                <w:b/>
                <w:bCs w:val="0"/>
                <w:color w:val="auto"/>
                <w:highlight w:val="none"/>
                <w:lang w:val="en-US" w:eastAsia="zh-CN"/>
              </w:rPr>
              <w:t>1.原项目环保手续</w:t>
            </w:r>
          </w:p>
          <w:p w14:paraId="09EDD601">
            <w:pPr>
              <w:spacing w:line="360" w:lineRule="auto"/>
              <w:rPr>
                <w:rFonts w:hint="eastAsia" w:ascii="宋体" w:hAnsi="宋体" w:eastAsia="宋体" w:cs="宋体"/>
                <w:color w:val="auto"/>
                <w:highlight w:val="none"/>
                <w:lang w:val="en-US" w:eastAsia="zh-CN"/>
              </w:rPr>
            </w:pPr>
            <w:r>
              <w:rPr>
                <w:rFonts w:hint="default" w:ascii="Times New Roman" w:hAnsi="Times New Roman" w:cs="Times New Roman"/>
                <w:color w:val="auto"/>
                <w:spacing w:val="0"/>
                <w:highlight w:val="none"/>
                <w:lang w:val="en-US" w:eastAsia="zh-CN"/>
              </w:rPr>
              <w:t>2023</w:t>
            </w:r>
            <w:r>
              <w:rPr>
                <w:rFonts w:hint="eastAsia" w:cs="宋体"/>
                <w:color w:val="auto"/>
                <w:spacing w:val="0"/>
                <w:highlight w:val="none"/>
                <w:lang w:val="en-US" w:eastAsia="zh-CN"/>
              </w:rPr>
              <w:t>年</w:t>
            </w:r>
            <w:r>
              <w:rPr>
                <w:rFonts w:hint="eastAsia" w:ascii="宋体" w:hAnsi="宋体" w:eastAsia="宋体" w:cs="宋体"/>
                <w:color w:val="auto"/>
                <w:spacing w:val="0"/>
                <w:highlight w:val="none"/>
                <w:lang w:val="en-US" w:eastAsia="zh-CN"/>
              </w:rPr>
              <w:t>建设单位委托</w:t>
            </w:r>
            <w:r>
              <w:rPr>
                <w:rFonts w:hint="eastAsia" w:cs="宋体"/>
                <w:color w:val="auto"/>
                <w:spacing w:val="0"/>
                <w:highlight w:val="none"/>
                <w:lang w:val="en-US" w:eastAsia="zh-CN"/>
              </w:rPr>
              <w:t>哈尔滨善成环保科技发展有限公司</w:t>
            </w:r>
            <w:r>
              <w:rPr>
                <w:rFonts w:hint="eastAsia" w:ascii="宋体" w:hAnsi="宋体" w:eastAsia="宋体" w:cs="宋体"/>
                <w:color w:val="auto"/>
                <w:spacing w:val="0"/>
                <w:highlight w:val="none"/>
                <w:lang w:val="en-US" w:eastAsia="zh-CN"/>
              </w:rPr>
              <w:t>编制了</w:t>
            </w:r>
            <w:r>
              <w:rPr>
                <w:rFonts w:hint="eastAsia" w:ascii="宋体" w:hAnsi="宋体" w:cs="宋体"/>
                <w:bCs/>
                <w:color w:val="auto"/>
                <w:spacing w:val="0"/>
                <w:sz w:val="24"/>
                <w:szCs w:val="24"/>
                <w:highlight w:val="none"/>
                <w:shd w:val="clear"/>
                <w:lang w:val="en-US" w:eastAsia="zh-CN"/>
              </w:rPr>
              <w:t>《黑龙江省鸡西市梨树区燎泰高强度着色粉和中间体项目（一期）环境影响报告书》</w:t>
            </w:r>
            <w:r>
              <w:rPr>
                <w:rFonts w:hint="eastAsia" w:ascii="宋体" w:hAnsi="宋体" w:eastAsia="宋体" w:cs="宋体"/>
                <w:color w:val="auto"/>
                <w:spacing w:val="0"/>
                <w:highlight w:val="none"/>
                <w:lang w:val="en-US" w:eastAsia="zh-CN"/>
              </w:rPr>
              <w:t>，</w:t>
            </w:r>
            <w:r>
              <w:rPr>
                <w:rFonts w:hint="eastAsia" w:ascii="宋体" w:hAnsi="宋体" w:eastAsia="宋体" w:cs="宋体"/>
                <w:color w:val="auto"/>
                <w:highlight w:val="none"/>
                <w:lang w:val="en-US" w:eastAsia="zh-CN"/>
              </w:rPr>
              <w:t>于</w:t>
            </w:r>
            <w:r>
              <w:rPr>
                <w:rFonts w:hint="default" w:ascii="Times New Roman" w:hAnsi="Times New Roman" w:cs="Times New Roman"/>
                <w:color w:val="auto"/>
                <w:highlight w:val="none"/>
                <w:lang w:val="en-US" w:eastAsia="zh-CN"/>
              </w:rPr>
              <w:t>2023</w:t>
            </w:r>
            <w:r>
              <w:rPr>
                <w:rFonts w:hint="eastAsia" w:ascii="宋体" w:hAnsi="宋体" w:eastAsia="宋体" w:cs="宋体"/>
                <w:color w:val="auto"/>
                <w:highlight w:val="none"/>
                <w:lang w:val="en-US" w:eastAsia="zh-CN"/>
              </w:rPr>
              <w:t>年</w:t>
            </w:r>
            <w:r>
              <w:rPr>
                <w:rFonts w:hint="default" w:ascii="Times New Roman" w:hAnsi="Times New Roman" w:cs="Times New Roman"/>
                <w:color w:val="auto"/>
                <w:highlight w:val="none"/>
                <w:lang w:val="en-US" w:eastAsia="zh-CN"/>
              </w:rPr>
              <w:t>5</w:t>
            </w:r>
            <w:r>
              <w:rPr>
                <w:rFonts w:hint="eastAsia" w:ascii="宋体" w:hAnsi="宋体" w:eastAsia="宋体" w:cs="宋体"/>
                <w:color w:val="auto"/>
                <w:highlight w:val="none"/>
                <w:lang w:val="en-US" w:eastAsia="zh-CN"/>
              </w:rPr>
              <w:t>月</w:t>
            </w:r>
            <w:r>
              <w:rPr>
                <w:rFonts w:hint="default" w:ascii="Times New Roman" w:hAnsi="Times New Roman" w:cs="Times New Roman"/>
                <w:color w:val="auto"/>
                <w:highlight w:val="none"/>
                <w:lang w:val="en-US" w:eastAsia="zh-CN"/>
              </w:rPr>
              <w:t>15</w:t>
            </w:r>
            <w:r>
              <w:rPr>
                <w:rFonts w:hint="eastAsia" w:ascii="宋体" w:hAnsi="宋体" w:eastAsia="宋体" w:cs="宋体"/>
                <w:color w:val="auto"/>
                <w:highlight w:val="none"/>
                <w:lang w:val="en-US" w:eastAsia="zh-CN"/>
              </w:rPr>
              <w:t>日取得由</w:t>
            </w:r>
            <w:r>
              <w:rPr>
                <w:rFonts w:hint="eastAsia" w:cs="宋体"/>
                <w:color w:val="auto"/>
                <w:highlight w:val="none"/>
                <w:lang w:val="en-US" w:eastAsia="zh-CN"/>
              </w:rPr>
              <w:t>鸡西市</w:t>
            </w:r>
            <w:r>
              <w:rPr>
                <w:rFonts w:hint="eastAsia" w:ascii="宋体" w:hAnsi="宋体" w:eastAsia="宋体" w:cs="宋体"/>
                <w:color w:val="auto"/>
                <w:highlight w:val="none"/>
                <w:lang w:val="en-US" w:eastAsia="zh-CN"/>
              </w:rPr>
              <w:t>生态环境局出具的《关于黑龙江省鸡西市梨树区燎泰高强度着色粉和中间体项目</w:t>
            </w:r>
            <w:r>
              <w:rPr>
                <w:rFonts w:hint="eastAsia" w:cs="宋体"/>
                <w:color w:val="auto"/>
                <w:highlight w:val="none"/>
                <w:lang w:val="en-US" w:eastAsia="zh-CN"/>
              </w:rPr>
              <w:t>（</w:t>
            </w:r>
            <w:r>
              <w:rPr>
                <w:rFonts w:hint="eastAsia" w:ascii="宋体" w:hAnsi="宋体" w:eastAsia="宋体" w:cs="宋体"/>
                <w:color w:val="auto"/>
                <w:highlight w:val="none"/>
                <w:lang w:val="en-US" w:eastAsia="zh-CN"/>
              </w:rPr>
              <w:t>一期</w:t>
            </w:r>
            <w:r>
              <w:rPr>
                <w:rFonts w:hint="eastAsia" w:cs="宋体"/>
                <w:color w:val="auto"/>
                <w:highlight w:val="none"/>
                <w:lang w:val="en-US" w:eastAsia="zh-CN"/>
              </w:rPr>
              <w:t>）</w:t>
            </w:r>
            <w:r>
              <w:rPr>
                <w:rFonts w:hint="eastAsia" w:ascii="宋体" w:hAnsi="宋体" w:eastAsia="宋体" w:cs="宋体"/>
                <w:color w:val="auto"/>
                <w:highlight w:val="none"/>
                <w:lang w:val="en-US" w:eastAsia="zh-CN"/>
              </w:rPr>
              <w:t>环境影响报告书的批复》（</w:t>
            </w:r>
            <w:r>
              <w:rPr>
                <w:rFonts w:hint="eastAsia" w:cs="宋体"/>
                <w:color w:val="auto"/>
                <w:highlight w:val="none"/>
                <w:lang w:val="en-US" w:eastAsia="zh-CN"/>
              </w:rPr>
              <w:t>鸡环审〔</w:t>
            </w:r>
            <w:r>
              <w:rPr>
                <w:rFonts w:hint="default" w:ascii="Times New Roman" w:hAnsi="Times New Roman" w:cs="Times New Roman"/>
                <w:color w:val="auto"/>
                <w:highlight w:val="none"/>
                <w:lang w:val="en-US" w:eastAsia="zh-CN"/>
              </w:rPr>
              <w:t>2023</w:t>
            </w:r>
            <w:r>
              <w:rPr>
                <w:rFonts w:hint="eastAsia" w:cs="宋体"/>
                <w:color w:val="auto"/>
                <w:highlight w:val="none"/>
                <w:lang w:val="en-US" w:eastAsia="zh-CN"/>
              </w:rPr>
              <w:t>〕</w:t>
            </w:r>
            <w:r>
              <w:rPr>
                <w:rFonts w:hint="default" w:ascii="Times New Roman" w:hAnsi="Times New Roman" w:cs="Times New Roman"/>
                <w:color w:val="auto"/>
                <w:highlight w:val="none"/>
                <w:lang w:val="en-US" w:eastAsia="zh-CN"/>
              </w:rPr>
              <w:t>11</w:t>
            </w:r>
            <w:r>
              <w:rPr>
                <w:rFonts w:hint="eastAsia" w:cs="宋体"/>
                <w:color w:val="auto"/>
                <w:highlight w:val="none"/>
                <w:lang w:val="en-US" w:eastAsia="zh-CN"/>
              </w:rPr>
              <w:t>号</w:t>
            </w:r>
            <w:r>
              <w:rPr>
                <w:rFonts w:hint="eastAsia" w:ascii="宋体" w:hAnsi="宋体" w:eastAsia="宋体" w:cs="宋体"/>
                <w:color w:val="auto"/>
                <w:highlight w:val="none"/>
                <w:lang w:val="en-US" w:eastAsia="zh-CN"/>
              </w:rPr>
              <w:t>）。</w:t>
            </w:r>
          </w:p>
          <w:p w14:paraId="37D2D875">
            <w:pPr>
              <w:pStyle w:val="48"/>
              <w:rPr>
                <w:rFonts w:hint="default"/>
                <w:color w:val="auto"/>
                <w:highlight w:val="none"/>
                <w:lang w:val="en-US" w:eastAsia="zh-CN"/>
              </w:rPr>
            </w:pPr>
            <w:r>
              <w:rPr>
                <w:rFonts w:hint="eastAsia"/>
                <w:color w:val="auto"/>
                <w:highlight w:val="none"/>
                <w:lang w:val="en-US" w:eastAsia="zh-CN"/>
              </w:rPr>
              <w:t>现有工程还处于建设阶段，还未正式进入投产运行。未进行排污许可申领工作，未开展突发环境事件应急预案编制及备案工作，未进行竣工环境保护验收工作。</w:t>
            </w:r>
          </w:p>
          <w:p w14:paraId="16A5E0AF">
            <w:pPr>
              <w:spacing w:line="360" w:lineRule="auto"/>
              <w:ind w:left="0" w:leftChars="0" w:firstLine="0" w:firstLineChars="0"/>
              <w:jc w:val="left"/>
              <w:rPr>
                <w:rFonts w:hint="eastAsia" w:ascii="宋体" w:hAnsi="宋体" w:eastAsia="宋体" w:cs="宋体"/>
                <w:b/>
                <w:bCs w:val="0"/>
                <w:color w:val="auto"/>
                <w:highlight w:val="none"/>
                <w:lang w:val="en-US" w:eastAsia="zh-CN"/>
              </w:rPr>
            </w:pPr>
            <w:r>
              <w:rPr>
                <w:rFonts w:hint="eastAsia" w:ascii="宋体" w:hAnsi="宋体" w:eastAsia="宋体" w:cs="宋体"/>
                <w:b/>
                <w:bCs w:val="0"/>
                <w:color w:val="auto"/>
                <w:highlight w:val="none"/>
                <w:lang w:val="en-US" w:eastAsia="zh-CN"/>
              </w:rPr>
              <w:t>2.原项目建设内容</w:t>
            </w:r>
          </w:p>
          <w:p w14:paraId="0A5B01A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宋体" w:hAnsi="宋体" w:eastAsia="宋体" w:cs="宋体"/>
                <w:b w:val="0"/>
                <w:bCs/>
                <w:color w:val="auto"/>
                <w:sz w:val="24"/>
                <w:szCs w:val="24"/>
                <w:highlight w:val="none"/>
                <w:lang w:val="en-US" w:eastAsia="zh-CN"/>
              </w:rPr>
            </w:pPr>
            <w:r>
              <w:rPr>
                <w:rFonts w:hint="eastAsia" w:cs="宋体"/>
                <w:b w:val="0"/>
                <w:bCs/>
                <w:color w:val="auto"/>
                <w:sz w:val="24"/>
                <w:szCs w:val="24"/>
                <w:highlight w:val="none"/>
                <w:lang w:val="en-US" w:eastAsia="zh-CN"/>
              </w:rPr>
              <w:t>本项目在建工程处于建设阶段，未开展竣工环境环保验收。根据现场踏勘，了解现场实际建设情况。具体实际建设情况如下：</w:t>
            </w:r>
          </w:p>
          <w:p w14:paraId="0DF933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val="0"/>
                <w:color w:val="auto"/>
                <w:sz w:val="21"/>
                <w:szCs w:val="21"/>
                <w:highlight w:val="none"/>
                <w:lang w:val="en-US" w:eastAsia="zh-CN"/>
              </w:rPr>
            </w:pPr>
            <w:r>
              <w:rPr>
                <w:rFonts w:hint="eastAsia" w:ascii="宋体" w:hAnsi="宋体" w:eastAsia="宋体" w:cs="宋体"/>
                <w:b/>
                <w:bCs w:val="0"/>
                <w:color w:val="auto"/>
                <w:sz w:val="21"/>
                <w:szCs w:val="21"/>
                <w:highlight w:val="none"/>
                <w:lang w:val="en-US" w:eastAsia="zh-CN"/>
              </w:rPr>
              <w:t xml:space="preserve">表 </w:t>
            </w:r>
            <w:r>
              <w:rPr>
                <w:rFonts w:hint="default" w:ascii="Times New Roman" w:hAnsi="Times New Roman" w:eastAsia="宋体" w:cs="Times New Roman"/>
                <w:b/>
                <w:bCs w:val="0"/>
                <w:color w:val="auto"/>
                <w:sz w:val="21"/>
                <w:szCs w:val="21"/>
                <w:highlight w:val="none"/>
                <w:lang w:val="en-US" w:eastAsia="zh-CN"/>
              </w:rPr>
              <w:t>2-</w:t>
            </w:r>
            <w:r>
              <w:rPr>
                <w:rFonts w:hint="eastAsia" w:ascii="Times New Roman" w:hAnsi="Times New Roman" w:cs="Times New Roman"/>
                <w:b/>
                <w:bCs w:val="0"/>
                <w:color w:val="auto"/>
                <w:sz w:val="21"/>
                <w:szCs w:val="21"/>
                <w:highlight w:val="none"/>
                <w:lang w:val="en-US" w:eastAsia="zh-CN"/>
              </w:rPr>
              <w:t>6</w:t>
            </w:r>
            <w:r>
              <w:rPr>
                <w:rFonts w:hint="eastAsia" w:ascii="宋体" w:hAnsi="宋体" w:eastAsia="宋体" w:cs="宋体"/>
                <w:b/>
                <w:bCs w:val="0"/>
                <w:color w:val="auto"/>
                <w:sz w:val="21"/>
                <w:szCs w:val="21"/>
                <w:highlight w:val="none"/>
                <w:lang w:val="en-US" w:eastAsia="zh-CN"/>
              </w:rPr>
              <w:t xml:space="preserve"> 原有项目建设内容一览表</w:t>
            </w:r>
          </w:p>
          <w:tbl>
            <w:tblPr>
              <w:tblStyle w:val="3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26"/>
              <w:gridCol w:w="6"/>
              <w:gridCol w:w="853"/>
              <w:gridCol w:w="6"/>
              <w:gridCol w:w="866"/>
              <w:gridCol w:w="4206"/>
              <w:gridCol w:w="808"/>
            </w:tblGrid>
            <w:tr w14:paraId="63B0D9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1773" w:type="pct"/>
                  <w:gridSpan w:val="5"/>
                  <w:tcBorders>
                    <w:tl2br w:val="nil"/>
                    <w:tr2bl w:val="nil"/>
                  </w:tcBorders>
                  <w:noWrap w:val="0"/>
                  <w:vAlign w:val="center"/>
                </w:tcPr>
                <w:p w14:paraId="0B13F51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工程类型</w:t>
                  </w:r>
                </w:p>
              </w:tc>
              <w:tc>
                <w:tcPr>
                  <w:tcW w:w="2706" w:type="pct"/>
                  <w:tcBorders>
                    <w:tl2br w:val="nil"/>
                    <w:tr2bl w:val="nil"/>
                  </w:tcBorders>
                  <w:noWrap w:val="0"/>
                  <w:vAlign w:val="center"/>
                </w:tcPr>
                <w:p w14:paraId="3995073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建设内容</w:t>
                  </w:r>
                </w:p>
              </w:tc>
              <w:tc>
                <w:tcPr>
                  <w:tcW w:w="519" w:type="pct"/>
                  <w:tcBorders>
                    <w:tl2br w:val="nil"/>
                    <w:tr2bl w:val="nil"/>
                  </w:tcBorders>
                  <w:noWrap w:val="0"/>
                  <w:vAlign w:val="center"/>
                </w:tcPr>
                <w:p w14:paraId="741F691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实际建设情况</w:t>
                  </w:r>
                </w:p>
              </w:tc>
            </w:tr>
            <w:tr w14:paraId="5CC524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60" w:type="pct"/>
                  <w:vMerge w:val="restart"/>
                  <w:tcBorders>
                    <w:tl2br w:val="nil"/>
                    <w:tr2bl w:val="nil"/>
                  </w:tcBorders>
                  <w:noWrap w:val="0"/>
                  <w:vAlign w:val="center"/>
                </w:tcPr>
                <w:p w14:paraId="10BE3E3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主体工程</w:t>
                  </w:r>
                </w:p>
              </w:tc>
              <w:tc>
                <w:tcPr>
                  <w:tcW w:w="552" w:type="pct"/>
                  <w:gridSpan w:val="2"/>
                  <w:vMerge w:val="restart"/>
                  <w:tcBorders>
                    <w:tl2br w:val="nil"/>
                    <w:tr2bl w:val="nil"/>
                  </w:tcBorders>
                  <w:noWrap w:val="0"/>
                  <w:vAlign w:val="center"/>
                </w:tcPr>
                <w:p w14:paraId="6FABB76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生产车间</w:t>
                  </w:r>
                </w:p>
              </w:tc>
              <w:tc>
                <w:tcPr>
                  <w:tcW w:w="561" w:type="pct"/>
                  <w:gridSpan w:val="2"/>
                  <w:vMerge w:val="restart"/>
                  <w:tcBorders>
                    <w:tl2br w:val="nil"/>
                    <w:tr2bl w:val="nil"/>
                  </w:tcBorders>
                  <w:noWrap w:val="0"/>
                  <w:vAlign w:val="center"/>
                </w:tcPr>
                <w:p w14:paraId="3E0305D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车间（301）</w:t>
                  </w:r>
                </w:p>
              </w:tc>
              <w:tc>
                <w:tcPr>
                  <w:tcW w:w="2706" w:type="pct"/>
                  <w:tcBorders>
                    <w:tl2br w:val="nil"/>
                    <w:tr2bl w:val="nil"/>
                  </w:tcBorders>
                  <w:noWrap w:val="0"/>
                  <w:vAlign w:val="center"/>
                </w:tcPr>
                <w:p w14:paraId="2C479E4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1栋，乙类车间，2层（局部5层），建筑高度最高20</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5m，门式钢架结构，占地面积2964m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，建筑面积4656.6m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；新</w:t>
                  </w:r>
                  <w:r>
                    <w:rPr>
                      <w:rFonts w:hint="default" w:ascii="Times New Roman" w:hAnsi="Times New Roman" w:eastAsia="宋体" w:cs="Times New Roman"/>
                      <w:color w:val="auto"/>
                      <w:sz w:val="21"/>
                      <w:szCs w:val="21"/>
                      <w:highlight w:val="none"/>
                    </w:rPr>
                    <w:t>建</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条</w:t>
                  </w:r>
                  <w:r>
                    <w:rPr>
                      <w:rFonts w:hint="default" w:ascii="Times New Roman" w:hAnsi="Times New Roman" w:eastAsia="宋体" w:cs="Times New Roman"/>
                      <w:color w:val="auto"/>
                      <w:sz w:val="21"/>
                      <w:szCs w:val="21"/>
                      <w:highlight w:val="none"/>
                      <w:lang w:val="en-US" w:eastAsia="zh-CN"/>
                    </w:rPr>
                    <w:t>生产线，分别为1</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4</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二羟基蒽醌生产线</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年产量为6000t/a、1,4</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二羟基蒽醌升华品生产线，年产量为1000t/a；</w:t>
                  </w:r>
                </w:p>
              </w:tc>
              <w:tc>
                <w:tcPr>
                  <w:tcW w:w="519" w:type="pct"/>
                  <w:vMerge w:val="restart"/>
                  <w:tcBorders>
                    <w:tl2br w:val="nil"/>
                    <w:tr2bl w:val="nil"/>
                  </w:tcBorders>
                  <w:noWrap w:val="0"/>
                  <w:vAlign w:val="center"/>
                </w:tcPr>
                <w:p w14:paraId="06BC538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已建成</w:t>
                  </w:r>
                </w:p>
              </w:tc>
            </w:tr>
            <w:tr w14:paraId="70E68C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60" w:type="pct"/>
                  <w:vMerge w:val="continue"/>
                  <w:tcBorders>
                    <w:tl2br w:val="nil"/>
                    <w:tr2bl w:val="nil"/>
                  </w:tcBorders>
                  <w:noWrap w:val="0"/>
                  <w:vAlign w:val="center"/>
                </w:tcPr>
                <w:p w14:paraId="3934984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52" w:type="pct"/>
                  <w:gridSpan w:val="2"/>
                  <w:vMerge w:val="continue"/>
                  <w:tcBorders>
                    <w:tl2br w:val="nil"/>
                    <w:tr2bl w:val="nil"/>
                  </w:tcBorders>
                  <w:noWrap w:val="0"/>
                  <w:vAlign w:val="center"/>
                </w:tcPr>
                <w:p w14:paraId="3123BF2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61" w:type="pct"/>
                  <w:gridSpan w:val="2"/>
                  <w:vMerge w:val="continue"/>
                  <w:tcBorders>
                    <w:tl2br w:val="nil"/>
                    <w:tr2bl w:val="nil"/>
                  </w:tcBorders>
                  <w:noWrap w:val="0"/>
                  <w:vAlign w:val="center"/>
                </w:tcPr>
                <w:p w14:paraId="6FD042B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706" w:type="pct"/>
                  <w:tcBorders>
                    <w:tl2br w:val="nil"/>
                    <w:tr2bl w:val="nil"/>
                  </w:tcBorders>
                  <w:noWrap w:val="0"/>
                  <w:vAlign w:val="center"/>
                </w:tcPr>
                <w:p w14:paraId="53F20F6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配套建设主体工艺设施、车间控制室（302）、附属生产辅设施及废气处理系统、蒽醌废水收集系统；</w:t>
                  </w:r>
                </w:p>
              </w:tc>
              <w:tc>
                <w:tcPr>
                  <w:tcW w:w="519" w:type="pct"/>
                  <w:vMerge w:val="continue"/>
                  <w:tcBorders>
                    <w:tl2br w:val="nil"/>
                    <w:tr2bl w:val="nil"/>
                  </w:tcBorders>
                  <w:noWrap w:val="0"/>
                  <w:vAlign w:val="center"/>
                </w:tcPr>
                <w:p w14:paraId="75D9E2F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4096EF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60" w:type="pct"/>
                  <w:vMerge w:val="continue"/>
                  <w:tcBorders>
                    <w:tl2br w:val="nil"/>
                    <w:tr2bl w:val="nil"/>
                  </w:tcBorders>
                  <w:noWrap w:val="0"/>
                  <w:vAlign w:val="center"/>
                </w:tcPr>
                <w:p w14:paraId="09723FE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1E1D44C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61" w:type="pct"/>
                  <w:gridSpan w:val="2"/>
                  <w:vMerge w:val="restart"/>
                  <w:tcBorders>
                    <w:tl2br w:val="nil"/>
                    <w:tr2bl w:val="nil"/>
                  </w:tcBorders>
                  <w:noWrap w:val="0"/>
                  <w:vAlign w:val="center"/>
                </w:tcPr>
                <w:p w14:paraId="6C16F30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车间（401）</w:t>
                  </w:r>
                </w:p>
              </w:tc>
              <w:tc>
                <w:tcPr>
                  <w:tcW w:w="2706" w:type="pct"/>
                  <w:tcBorders>
                    <w:tl2br w:val="nil"/>
                    <w:tr2bl w:val="nil"/>
                  </w:tcBorders>
                  <w:noWrap w:val="0"/>
                  <w:vAlign w:val="center"/>
                </w:tcPr>
                <w:p w14:paraId="30F3F43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1栋，甲类车间，1层，建筑高度为9.8m，门式钢架结构，占地面积2280m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，建筑面积2280m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新建7条生产线，分别为1条溶剂蓝104/溶剂紫36共线生产线，年产量分别为200t、40t；1条溶剂紫13生产线，年产量400t；1条溶剂绿3生产线，年产量300t；1条溶剂黑3生产线，年产量100t；1条酸性绿25生产线，年产量200t；1条酸性蓝80生产线，年产量200t；</w:t>
                  </w:r>
                </w:p>
              </w:tc>
              <w:tc>
                <w:tcPr>
                  <w:tcW w:w="519" w:type="pct"/>
                  <w:vMerge w:val="restart"/>
                  <w:tcBorders>
                    <w:tl2br w:val="nil"/>
                    <w:tr2bl w:val="nil"/>
                  </w:tcBorders>
                  <w:noWrap w:val="0"/>
                  <w:vAlign w:val="center"/>
                </w:tcPr>
                <w:p w14:paraId="6E32B8C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未建设</w:t>
                  </w:r>
                </w:p>
              </w:tc>
            </w:tr>
            <w:tr w14:paraId="5063C2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60" w:type="pct"/>
                  <w:vMerge w:val="continue"/>
                  <w:tcBorders>
                    <w:tl2br w:val="nil"/>
                    <w:tr2bl w:val="nil"/>
                  </w:tcBorders>
                  <w:noWrap w:val="0"/>
                  <w:vAlign w:val="center"/>
                </w:tcPr>
                <w:p w14:paraId="376D926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41ADE48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61" w:type="pct"/>
                  <w:gridSpan w:val="2"/>
                  <w:vMerge w:val="continue"/>
                  <w:tcBorders>
                    <w:tl2br w:val="nil"/>
                    <w:tr2bl w:val="nil"/>
                  </w:tcBorders>
                  <w:noWrap w:val="0"/>
                  <w:vAlign w:val="center"/>
                </w:tcPr>
                <w:p w14:paraId="6EA9FAE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706" w:type="pct"/>
                  <w:tcBorders>
                    <w:tl2br w:val="nil"/>
                    <w:tr2bl w:val="nil"/>
                  </w:tcBorders>
                  <w:noWrap w:val="0"/>
                  <w:vAlign w:val="center"/>
                </w:tcPr>
                <w:p w14:paraId="1481EE3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配套建设主体工艺设施、附属生产设施及废气处理系统；</w:t>
                  </w:r>
                </w:p>
              </w:tc>
              <w:tc>
                <w:tcPr>
                  <w:tcW w:w="519" w:type="pct"/>
                  <w:vMerge w:val="continue"/>
                  <w:tcBorders>
                    <w:tl2br w:val="nil"/>
                    <w:tr2bl w:val="nil"/>
                  </w:tcBorders>
                  <w:noWrap w:val="0"/>
                  <w:vAlign w:val="center"/>
                </w:tcPr>
                <w:p w14:paraId="033628B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63AF75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60" w:type="pct"/>
                  <w:vMerge w:val="continue"/>
                  <w:tcBorders>
                    <w:tl2br w:val="nil"/>
                    <w:tr2bl w:val="nil"/>
                  </w:tcBorders>
                  <w:noWrap w:val="0"/>
                  <w:vAlign w:val="center"/>
                </w:tcPr>
                <w:p w14:paraId="37EEFE7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5D95D9A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61" w:type="pct"/>
                  <w:gridSpan w:val="2"/>
                  <w:vMerge w:val="restart"/>
                  <w:tcBorders>
                    <w:tl2br w:val="nil"/>
                    <w:tr2bl w:val="nil"/>
                  </w:tcBorders>
                  <w:noWrap w:val="0"/>
                  <w:vAlign w:val="center"/>
                </w:tcPr>
                <w:p w14:paraId="2E6252D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车间（501）</w:t>
                  </w:r>
                </w:p>
              </w:tc>
              <w:tc>
                <w:tcPr>
                  <w:tcW w:w="2706" w:type="pct"/>
                  <w:tcBorders>
                    <w:tl2br w:val="nil"/>
                    <w:tr2bl w:val="nil"/>
                  </w:tcBorders>
                  <w:noWrap w:val="0"/>
                  <w:vAlign w:val="center"/>
                </w:tcPr>
                <w:p w14:paraId="6C30134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1栋，甲类车间，1层，建筑高度为9.8m，门式钢架结构，占地面积2964m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，建筑面积2964m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；新</w:t>
                  </w:r>
                  <w:r>
                    <w:rPr>
                      <w:rFonts w:hint="default" w:ascii="Times New Roman" w:hAnsi="Times New Roman" w:eastAsia="宋体" w:cs="Times New Roman"/>
                      <w:color w:val="auto"/>
                      <w:sz w:val="21"/>
                      <w:szCs w:val="21"/>
                      <w:highlight w:val="none"/>
                    </w:rPr>
                    <w:t>建</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条</w:t>
                  </w:r>
                  <w:r>
                    <w:rPr>
                      <w:rFonts w:hint="default" w:ascii="Times New Roman" w:hAnsi="Times New Roman" w:eastAsia="宋体" w:cs="Times New Roman"/>
                      <w:color w:val="auto"/>
                      <w:sz w:val="21"/>
                      <w:szCs w:val="21"/>
                      <w:highlight w:val="none"/>
                      <w:lang w:val="en-US" w:eastAsia="zh-CN"/>
                    </w:rPr>
                    <w:t>生产线，分别为1条分散蓝359生产线，年产量300t；2条分散黄54生产线，年产量800t；2条分散红60生产线，年产量800t；</w:t>
                  </w:r>
                </w:p>
              </w:tc>
              <w:tc>
                <w:tcPr>
                  <w:tcW w:w="519" w:type="pct"/>
                  <w:vMerge w:val="restart"/>
                  <w:tcBorders>
                    <w:tl2br w:val="nil"/>
                    <w:tr2bl w:val="nil"/>
                  </w:tcBorders>
                  <w:noWrap w:val="0"/>
                  <w:vAlign w:val="center"/>
                </w:tcPr>
                <w:p w14:paraId="786ECF4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已建成</w:t>
                  </w:r>
                </w:p>
              </w:tc>
            </w:tr>
            <w:tr w14:paraId="67A185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021DCFA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2EB5F8B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61" w:type="pct"/>
                  <w:gridSpan w:val="2"/>
                  <w:vMerge w:val="continue"/>
                  <w:tcBorders>
                    <w:tl2br w:val="nil"/>
                    <w:tr2bl w:val="nil"/>
                  </w:tcBorders>
                  <w:noWrap w:val="0"/>
                  <w:vAlign w:val="center"/>
                </w:tcPr>
                <w:p w14:paraId="499B073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706" w:type="pct"/>
                  <w:tcBorders>
                    <w:tl2br w:val="nil"/>
                    <w:tr2bl w:val="nil"/>
                  </w:tcBorders>
                  <w:noWrap w:val="0"/>
                  <w:vAlign w:val="center"/>
                </w:tcPr>
                <w:p w14:paraId="246E4DC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配套建设主体工艺设施、车间控制室（502）、附属生产设施及废气处理系统；</w:t>
                  </w:r>
                </w:p>
              </w:tc>
              <w:tc>
                <w:tcPr>
                  <w:tcW w:w="519" w:type="pct"/>
                  <w:vMerge w:val="continue"/>
                  <w:tcBorders>
                    <w:tl2br w:val="nil"/>
                    <w:tr2bl w:val="nil"/>
                  </w:tcBorders>
                  <w:noWrap w:val="0"/>
                  <w:vAlign w:val="center"/>
                </w:tcPr>
                <w:p w14:paraId="6293BAD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33FE34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60" w:type="pct"/>
                  <w:vMerge w:val="continue"/>
                  <w:tcBorders>
                    <w:tl2br w:val="nil"/>
                    <w:tr2bl w:val="nil"/>
                  </w:tcBorders>
                  <w:noWrap w:val="0"/>
                  <w:vAlign w:val="center"/>
                </w:tcPr>
                <w:p w14:paraId="7B78DB1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2E76416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61" w:type="pct"/>
                  <w:gridSpan w:val="2"/>
                  <w:tcBorders>
                    <w:tl2br w:val="nil"/>
                    <w:tr2bl w:val="nil"/>
                  </w:tcBorders>
                  <w:noWrap w:val="0"/>
                  <w:vAlign w:val="center"/>
                </w:tcPr>
                <w:p w14:paraId="69D83D4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车间（601）</w:t>
                  </w:r>
                </w:p>
              </w:tc>
              <w:tc>
                <w:tcPr>
                  <w:tcW w:w="2706" w:type="pct"/>
                  <w:tcBorders>
                    <w:tl2br w:val="nil"/>
                    <w:tr2bl w:val="nil"/>
                  </w:tcBorders>
                  <w:noWrap w:val="0"/>
                  <w:vAlign w:val="center"/>
                </w:tcPr>
                <w:p w14:paraId="1966A0F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预留建设位置，本期不建设，占地面积约2574m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p>
              </w:tc>
              <w:tc>
                <w:tcPr>
                  <w:tcW w:w="519" w:type="pct"/>
                  <w:tcBorders>
                    <w:tl2br w:val="nil"/>
                    <w:tr2bl w:val="nil"/>
                  </w:tcBorders>
                  <w:noWrap w:val="0"/>
                  <w:vAlign w:val="center"/>
                </w:tcPr>
                <w:p w14:paraId="07CA8FB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未建</w:t>
                  </w:r>
                  <w:r>
                    <w:rPr>
                      <w:rFonts w:hint="eastAsia" w:ascii="Times New Roman" w:hAnsi="Times New Roman" w:cs="Times New Roman"/>
                      <w:color w:val="auto"/>
                      <w:sz w:val="21"/>
                      <w:szCs w:val="21"/>
                      <w:highlight w:val="none"/>
                      <w:lang w:val="en-US" w:eastAsia="zh-CN"/>
                    </w:rPr>
                    <w:t>设</w:t>
                  </w:r>
                </w:p>
              </w:tc>
            </w:tr>
            <w:tr w14:paraId="41CEB3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660" w:type="pct"/>
                  <w:vMerge w:val="continue"/>
                  <w:tcBorders>
                    <w:tl2br w:val="nil"/>
                    <w:tr2bl w:val="nil"/>
                  </w:tcBorders>
                  <w:noWrap w:val="0"/>
                  <w:vAlign w:val="center"/>
                </w:tcPr>
                <w:p w14:paraId="525EBD5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7D54AAC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61" w:type="pct"/>
                  <w:gridSpan w:val="2"/>
                  <w:tcBorders>
                    <w:tl2br w:val="nil"/>
                    <w:tr2bl w:val="nil"/>
                  </w:tcBorders>
                  <w:noWrap w:val="0"/>
                  <w:vAlign w:val="center"/>
                </w:tcPr>
                <w:p w14:paraId="0D96D77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车间（701）</w:t>
                  </w:r>
                </w:p>
              </w:tc>
              <w:tc>
                <w:tcPr>
                  <w:tcW w:w="2706" w:type="pct"/>
                  <w:tcBorders>
                    <w:tl2br w:val="nil"/>
                    <w:tr2bl w:val="nil"/>
                  </w:tcBorders>
                  <w:noWrap w:val="0"/>
                  <w:vAlign w:val="center"/>
                </w:tcPr>
                <w:p w14:paraId="4DB1BB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预留建设位置，本期不建设，占地面积约2574m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p>
              </w:tc>
              <w:tc>
                <w:tcPr>
                  <w:tcW w:w="519" w:type="pct"/>
                  <w:tcBorders>
                    <w:tl2br w:val="nil"/>
                    <w:tr2bl w:val="nil"/>
                  </w:tcBorders>
                  <w:noWrap w:val="0"/>
                  <w:vAlign w:val="center"/>
                </w:tcPr>
                <w:p w14:paraId="33F5F10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未建</w:t>
                  </w:r>
                  <w:r>
                    <w:rPr>
                      <w:rFonts w:hint="eastAsia" w:ascii="Times New Roman" w:hAnsi="Times New Roman" w:cs="Times New Roman"/>
                      <w:color w:val="auto"/>
                      <w:sz w:val="21"/>
                      <w:szCs w:val="21"/>
                      <w:highlight w:val="none"/>
                      <w:lang w:val="en-US" w:eastAsia="zh-CN"/>
                    </w:rPr>
                    <w:t>设</w:t>
                  </w:r>
                </w:p>
              </w:tc>
            </w:tr>
            <w:tr w14:paraId="5920E4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restart"/>
                  <w:tcBorders>
                    <w:tl2br w:val="nil"/>
                    <w:tr2bl w:val="nil"/>
                  </w:tcBorders>
                  <w:noWrap w:val="0"/>
                  <w:vAlign w:val="center"/>
                </w:tcPr>
                <w:p w14:paraId="50C34A1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辅助工程</w:t>
                  </w:r>
                </w:p>
              </w:tc>
              <w:tc>
                <w:tcPr>
                  <w:tcW w:w="552" w:type="pct"/>
                  <w:gridSpan w:val="2"/>
                  <w:vMerge w:val="restart"/>
                  <w:tcBorders>
                    <w:tl2br w:val="nil"/>
                    <w:tr2bl w:val="nil"/>
                  </w:tcBorders>
                  <w:noWrap w:val="0"/>
                  <w:vAlign w:val="center"/>
                </w:tcPr>
                <w:p w14:paraId="1AB2FE7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生产辅助</w:t>
                  </w:r>
                </w:p>
              </w:tc>
              <w:tc>
                <w:tcPr>
                  <w:tcW w:w="561" w:type="pct"/>
                  <w:gridSpan w:val="2"/>
                  <w:tcBorders>
                    <w:tl2br w:val="nil"/>
                    <w:tr2bl w:val="nil"/>
                  </w:tcBorders>
                  <w:noWrap w:val="0"/>
                  <w:vAlign w:val="center"/>
                </w:tcPr>
                <w:p w14:paraId="078D893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车间控制</w:t>
                  </w:r>
                </w:p>
                <w:p w14:paraId="0CC3C04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eastAsia" w:ascii="Times New Roman" w:hAnsi="Times New Roman" w:cs="Times New Roman"/>
                      <w:color w:val="auto"/>
                      <w:spacing w:val="-1"/>
                      <w:kern w:val="0"/>
                      <w:sz w:val="21"/>
                      <w:szCs w:val="21"/>
                      <w:highlight w:val="none"/>
                      <w:lang w:val="en-US" w:eastAsia="zh-CN"/>
                    </w:rPr>
                    <w:t>(</w:t>
                  </w:r>
                  <w:r>
                    <w:rPr>
                      <w:rFonts w:hint="default" w:ascii="Times New Roman" w:hAnsi="Times New Roman" w:eastAsia="宋体" w:cs="Times New Roman"/>
                      <w:color w:val="auto"/>
                      <w:spacing w:val="-1"/>
                      <w:kern w:val="0"/>
                      <w:sz w:val="21"/>
                      <w:szCs w:val="21"/>
                      <w:highlight w:val="none"/>
                      <w:lang w:val="en-US" w:eastAsia="zh-CN"/>
                    </w:rPr>
                    <w:t>302、502</w:t>
                  </w:r>
                  <w:r>
                    <w:rPr>
                      <w:rFonts w:hint="eastAsia" w:ascii="Times New Roman" w:hAnsi="Times New Roman" w:cs="Times New Roman"/>
                      <w:color w:val="auto"/>
                      <w:spacing w:val="-1"/>
                      <w:kern w:val="0"/>
                      <w:sz w:val="21"/>
                      <w:szCs w:val="21"/>
                      <w:highlight w:val="none"/>
                      <w:lang w:val="en-US" w:eastAsia="zh-CN"/>
                    </w:rPr>
                    <w:t>)</w:t>
                  </w:r>
                </w:p>
              </w:tc>
              <w:tc>
                <w:tcPr>
                  <w:tcW w:w="2706" w:type="pct"/>
                  <w:tcBorders>
                    <w:tl2br w:val="nil"/>
                    <w:tr2bl w:val="nil"/>
                  </w:tcBorders>
                  <w:noWrap w:val="0"/>
                  <w:vAlign w:val="center"/>
                </w:tcPr>
                <w:p w14:paraId="2EA6A5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本期建设2栋，控制室（302）、控制室（502）均</w:t>
                  </w:r>
                  <w:r>
                    <w:rPr>
                      <w:rFonts w:hint="eastAsia" w:ascii="Times New Roman" w:hAnsi="Times New Roman" w:cs="Times New Roman"/>
                      <w:color w:val="auto"/>
                      <w:sz w:val="21"/>
                      <w:szCs w:val="21"/>
                      <w:highlight w:val="none"/>
                      <w:lang w:val="en-US" w:eastAsia="zh-CN"/>
                    </w:rPr>
                    <w:t>为</w:t>
                  </w:r>
                  <w:r>
                    <w:rPr>
                      <w:rFonts w:hint="default" w:ascii="Times New Roman" w:hAnsi="Times New Roman" w:eastAsia="宋体" w:cs="Times New Roman"/>
                      <w:color w:val="auto"/>
                      <w:sz w:val="21"/>
                      <w:szCs w:val="21"/>
                      <w:highlight w:val="none"/>
                      <w:lang w:val="en-US" w:eastAsia="zh-CN"/>
                    </w:rPr>
                    <w:t>丁类，1层，建筑高度最高5.1m，框架结构，占地面积244.8m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，建筑面积244.8m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，分别用于车间（301）、车间（501）的生产控制；预留控制室（602）、控制室（702）建设位置；</w:t>
                  </w:r>
                </w:p>
              </w:tc>
              <w:tc>
                <w:tcPr>
                  <w:tcW w:w="519" w:type="pct"/>
                  <w:tcBorders>
                    <w:tl2br w:val="nil"/>
                    <w:tr2bl w:val="nil"/>
                  </w:tcBorders>
                  <w:noWrap w:val="0"/>
                  <w:vAlign w:val="center"/>
                </w:tcPr>
                <w:p w14:paraId="02904B8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未建设</w:t>
                  </w:r>
                </w:p>
              </w:tc>
            </w:tr>
            <w:tr w14:paraId="071314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3B2A841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5570B9E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6573D22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控制中心（101）</w:t>
                  </w:r>
                </w:p>
              </w:tc>
              <w:tc>
                <w:tcPr>
                  <w:tcW w:w="2706" w:type="pct"/>
                  <w:tcBorders>
                    <w:tl2br w:val="nil"/>
                    <w:tr2bl w:val="nil"/>
                  </w:tcBorders>
                  <w:noWrap w:val="0"/>
                  <w:vAlign w:val="center"/>
                </w:tcPr>
                <w:p w14:paraId="561AC7F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1栋，丁类，1层，建筑高度最高6.445m，框架结构，占地面积244.8m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，建筑面积244.8m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，用于辅助公辅设施的自动控制；</w:t>
                  </w:r>
                </w:p>
              </w:tc>
              <w:tc>
                <w:tcPr>
                  <w:tcW w:w="519" w:type="pct"/>
                  <w:tcBorders>
                    <w:tl2br w:val="nil"/>
                    <w:tr2bl w:val="nil"/>
                  </w:tcBorders>
                  <w:noWrap w:val="0"/>
                  <w:vAlign w:val="center"/>
                </w:tcPr>
                <w:p w14:paraId="1A4CA20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土建已建成，设备未安装</w:t>
                  </w:r>
                </w:p>
              </w:tc>
            </w:tr>
            <w:tr w14:paraId="1EA6B4C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2273B87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25E7F3F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352FD1F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变配电站（102）</w:t>
                  </w:r>
                </w:p>
              </w:tc>
              <w:tc>
                <w:tcPr>
                  <w:tcW w:w="2706" w:type="pct"/>
                  <w:tcBorders>
                    <w:tl2br w:val="nil"/>
                    <w:tr2bl w:val="nil"/>
                  </w:tcBorders>
                  <w:noWrap w:val="0"/>
                  <w:vAlign w:val="center"/>
                </w:tcPr>
                <w:p w14:paraId="0FDD31A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1栋，丁类，1层，建筑高度最高6.445m，框架结构，占地面积594m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，建筑面积594m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，用于全厂配电；</w:t>
                  </w:r>
                </w:p>
              </w:tc>
              <w:tc>
                <w:tcPr>
                  <w:tcW w:w="519" w:type="pct"/>
                  <w:tcBorders>
                    <w:tl2br w:val="nil"/>
                    <w:tr2bl w:val="nil"/>
                  </w:tcBorders>
                  <w:noWrap w:val="0"/>
                  <w:vAlign w:val="center"/>
                </w:tcPr>
                <w:p w14:paraId="6C2465A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已建成</w:t>
                  </w:r>
                </w:p>
              </w:tc>
            </w:tr>
            <w:tr w14:paraId="50D903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1B46483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6959342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vMerge w:val="restart"/>
                  <w:tcBorders>
                    <w:tl2br w:val="nil"/>
                    <w:tr2bl w:val="nil"/>
                  </w:tcBorders>
                  <w:noWrap w:val="0"/>
                  <w:vAlign w:val="center"/>
                </w:tcPr>
                <w:p w14:paraId="10AEEB8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消防、循环水系统（103、104）</w:t>
                  </w:r>
                </w:p>
              </w:tc>
              <w:tc>
                <w:tcPr>
                  <w:tcW w:w="2706" w:type="pct"/>
                  <w:tcBorders>
                    <w:tl2br w:val="nil"/>
                    <w:tr2bl w:val="nil"/>
                  </w:tcBorders>
                  <w:noWrap w:val="0"/>
                  <w:vAlign w:val="center"/>
                </w:tcPr>
                <w:p w14:paraId="46CBD9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设置消防、循环水泵站（103）</w:t>
                  </w:r>
                  <w:r>
                    <w:rPr>
                      <w:rFonts w:hint="default" w:ascii="Times New Roman" w:hAnsi="Times New Roman" w:eastAsia="宋体" w:cs="Times New Roman"/>
                      <w:color w:val="auto"/>
                      <w:sz w:val="21"/>
                      <w:szCs w:val="21"/>
                      <w:highlight w:val="none"/>
                      <w:lang w:val="en-US" w:eastAsia="zh-CN"/>
                    </w:rPr>
                    <w:t>1栋，戊类，2层（地上1层地下1层），建筑高度为5.748m，框架结构，占地面积276.9m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，建筑面积475.8m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；内设</w:t>
                  </w:r>
                  <w:r>
                    <w:rPr>
                      <w:rFonts w:hint="default" w:ascii="Times New Roman" w:hAnsi="Times New Roman" w:eastAsia="宋体" w:cs="Times New Roman"/>
                      <w:color w:val="auto"/>
                      <w:sz w:val="21"/>
                      <w:szCs w:val="21"/>
                      <w:highlight w:val="none"/>
                    </w:rPr>
                    <w:t>1台型号为 XBD7.6/60-200的电动消防冷却水泵</w:t>
                  </w:r>
                  <w:r>
                    <w:rPr>
                      <w:rFonts w:hint="default" w:ascii="Times New Roman" w:hAnsi="Times New Roman" w:eastAsia="宋体" w:cs="Times New Roman"/>
                      <w:color w:val="auto"/>
                      <w:sz w:val="21"/>
                      <w:szCs w:val="21"/>
                      <w:highlight w:val="none"/>
                      <w:lang w:val="en-US" w:eastAsia="zh-CN"/>
                    </w:rPr>
                    <w:t>用于消防，1台型号为65RXL-10的循环水泵用于工艺循环水系统 ；</w:t>
                  </w:r>
                </w:p>
              </w:tc>
              <w:tc>
                <w:tcPr>
                  <w:tcW w:w="519" w:type="pct"/>
                  <w:vMerge w:val="restart"/>
                  <w:tcBorders>
                    <w:tl2br w:val="nil"/>
                    <w:tr2bl w:val="nil"/>
                  </w:tcBorders>
                  <w:noWrap w:val="0"/>
                  <w:vAlign w:val="center"/>
                </w:tcPr>
                <w:p w14:paraId="4F240F8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土建已建成，设备未安装</w:t>
                  </w:r>
                </w:p>
              </w:tc>
            </w:tr>
            <w:tr w14:paraId="526C3A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56E0A99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40E7E57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vMerge w:val="continue"/>
                  <w:tcBorders>
                    <w:tl2br w:val="nil"/>
                    <w:tr2bl w:val="nil"/>
                  </w:tcBorders>
                  <w:noWrap w:val="0"/>
                  <w:vAlign w:val="center"/>
                </w:tcPr>
                <w:p w14:paraId="11E40A4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p>
              </w:tc>
              <w:tc>
                <w:tcPr>
                  <w:tcW w:w="2706" w:type="pct"/>
                  <w:tcBorders>
                    <w:tl2br w:val="nil"/>
                    <w:tr2bl w:val="nil"/>
                  </w:tcBorders>
                  <w:noWrap w:val="0"/>
                  <w:vAlign w:val="center"/>
                </w:tcPr>
                <w:p w14:paraId="0D7165D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设置2座</w:t>
                  </w:r>
                  <w:r>
                    <w:rPr>
                      <w:rFonts w:hint="default" w:ascii="Times New Roman" w:hAnsi="Times New Roman" w:eastAsia="宋体" w:cs="Times New Roman"/>
                      <w:color w:val="auto"/>
                      <w:spacing w:val="-1"/>
                      <w:kern w:val="0"/>
                      <w:sz w:val="21"/>
                      <w:szCs w:val="21"/>
                      <w:highlight w:val="none"/>
                      <w:lang w:val="en-US" w:eastAsia="zh-CN"/>
                    </w:rPr>
                    <w:t>消防、循环水池（104），地上池体，有效容积为1200m</w:t>
                  </w:r>
                  <w:r>
                    <w:rPr>
                      <w:rFonts w:hint="default" w:ascii="Times New Roman" w:hAnsi="Times New Roman" w:eastAsia="宋体" w:cs="Times New Roman"/>
                      <w:color w:val="auto"/>
                      <w:spacing w:val="-1"/>
                      <w:kern w:val="0"/>
                      <w:sz w:val="21"/>
                      <w:szCs w:val="21"/>
                      <w:highlight w:val="none"/>
                      <w:vertAlign w:val="superscript"/>
                      <w:lang w:val="en-US" w:eastAsia="zh-CN"/>
                    </w:rPr>
                    <w:t>3</w:t>
                  </w:r>
                  <w:r>
                    <w:rPr>
                      <w:rFonts w:hint="default" w:ascii="Times New Roman" w:hAnsi="Times New Roman" w:eastAsia="宋体" w:cs="Times New Roman"/>
                      <w:color w:val="auto"/>
                      <w:spacing w:val="-1"/>
                      <w:kern w:val="0"/>
                      <w:sz w:val="21"/>
                      <w:szCs w:val="21"/>
                      <w:highlight w:val="none"/>
                      <w:lang w:val="en-US" w:eastAsia="zh-CN"/>
                    </w:rPr>
                    <w:t>，钢筋砼结构，占地面积为819.89</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，用于厂区消防、循环水的储存；</w:t>
                  </w:r>
                </w:p>
              </w:tc>
              <w:tc>
                <w:tcPr>
                  <w:tcW w:w="519" w:type="pct"/>
                  <w:vMerge w:val="continue"/>
                  <w:tcBorders>
                    <w:tl2br w:val="nil"/>
                    <w:tr2bl w:val="nil"/>
                  </w:tcBorders>
                  <w:noWrap w:val="0"/>
                  <w:vAlign w:val="center"/>
                </w:tcPr>
                <w:p w14:paraId="6CE70FE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3EBEF4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57" w:hRule="atLeast"/>
                <w:jc w:val="center"/>
              </w:trPr>
              <w:tc>
                <w:tcPr>
                  <w:tcW w:w="660" w:type="pct"/>
                  <w:vMerge w:val="continue"/>
                  <w:tcBorders>
                    <w:tl2br w:val="nil"/>
                    <w:tr2bl w:val="nil"/>
                  </w:tcBorders>
                  <w:noWrap w:val="0"/>
                  <w:vAlign w:val="center"/>
                </w:tcPr>
                <w:p w14:paraId="144DDF8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5DB7CB7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vMerge w:val="restart"/>
                  <w:tcBorders>
                    <w:tl2br w:val="nil"/>
                    <w:tr2bl w:val="nil"/>
                  </w:tcBorders>
                  <w:noWrap w:val="0"/>
                  <w:vAlign w:val="center"/>
                </w:tcPr>
                <w:p w14:paraId="2E3A369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生产供热系统（105、106、107）</w:t>
                  </w:r>
                </w:p>
              </w:tc>
              <w:tc>
                <w:tcPr>
                  <w:tcW w:w="2706" w:type="pct"/>
                  <w:tcBorders>
                    <w:tl2br w:val="nil"/>
                    <w:tr2bl w:val="nil"/>
                  </w:tcBorders>
                  <w:noWrap w:val="0"/>
                  <w:vAlign w:val="center"/>
                </w:tcPr>
                <w:p w14:paraId="69EA44D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设置锅炉房（105）1栋，丙类，1层，建筑高度为11.65m，框架结构，占地面积</w:t>
                  </w:r>
                  <w:r>
                    <w:rPr>
                      <w:rFonts w:hint="default" w:ascii="Times New Roman" w:hAnsi="Times New Roman" w:eastAsia="宋体" w:cs="Times New Roman"/>
                      <w:color w:val="auto"/>
                      <w:spacing w:val="-1"/>
                      <w:kern w:val="0"/>
                      <w:sz w:val="21"/>
                      <w:szCs w:val="21"/>
                      <w:highlight w:val="none"/>
                      <w:lang w:val="en-US" w:eastAsia="zh-CN"/>
                    </w:rPr>
                    <w:t>122.62</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，建筑面积122.62m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；内设1台型号为YLW-4200SCⅢ的导热油炉（折算为6t/h），额定热功率为4200</w:t>
                  </w:r>
                  <w:r>
                    <w:rPr>
                      <w:rFonts w:hint="eastAsia" w:ascii="Times New Roman" w:hAnsi="Times New Roman" w:cs="Times New Roman"/>
                      <w:color w:val="auto"/>
                      <w:sz w:val="21"/>
                      <w:szCs w:val="21"/>
                      <w:highlight w:val="none"/>
                      <w:lang w:val="en-US" w:eastAsia="zh-CN"/>
                    </w:rPr>
                    <w:t>kW</w:t>
                  </w:r>
                  <w:r>
                    <w:rPr>
                      <w:rFonts w:hint="default" w:ascii="Times New Roman" w:hAnsi="Times New Roman" w:eastAsia="宋体" w:cs="Times New Roman"/>
                      <w:color w:val="auto"/>
                      <w:sz w:val="21"/>
                      <w:szCs w:val="21"/>
                      <w:highlight w:val="none"/>
                      <w:lang w:val="en-US" w:eastAsia="zh-CN"/>
                    </w:rPr>
                    <w:t>（360万大卡），导热油炉根据实际生产情况全年间歇式运行，最大运行时数为7920h；</w:t>
                  </w:r>
                </w:p>
              </w:tc>
              <w:tc>
                <w:tcPr>
                  <w:tcW w:w="519" w:type="pct"/>
                  <w:vMerge w:val="restart"/>
                  <w:tcBorders>
                    <w:tl2br w:val="nil"/>
                    <w:tr2bl w:val="nil"/>
                  </w:tcBorders>
                  <w:noWrap w:val="0"/>
                  <w:vAlign w:val="center"/>
                </w:tcPr>
                <w:p w14:paraId="7F62E7F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已建成、风机未安装</w:t>
                  </w:r>
                </w:p>
              </w:tc>
            </w:tr>
            <w:tr w14:paraId="7B215D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379A578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6FCBF1C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vMerge w:val="continue"/>
                  <w:tcBorders>
                    <w:tl2br w:val="nil"/>
                    <w:tr2bl w:val="nil"/>
                  </w:tcBorders>
                  <w:noWrap w:val="0"/>
                  <w:vAlign w:val="center"/>
                </w:tcPr>
                <w:p w14:paraId="4F9A427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p>
              </w:tc>
              <w:tc>
                <w:tcPr>
                  <w:tcW w:w="2706" w:type="pct"/>
                  <w:tcBorders>
                    <w:tl2br w:val="nil"/>
                    <w:tr2bl w:val="nil"/>
                  </w:tcBorders>
                  <w:noWrap w:val="0"/>
                  <w:vAlign w:val="center"/>
                </w:tcPr>
                <w:p w14:paraId="5C779CA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设置引风机间（106）1栋，丁类，1层，建筑高度为6.65m框架结构，占地面积</w:t>
                  </w:r>
                  <w:r>
                    <w:rPr>
                      <w:rFonts w:hint="default" w:ascii="Times New Roman" w:hAnsi="Times New Roman" w:eastAsia="宋体" w:cs="Times New Roman"/>
                      <w:color w:val="auto"/>
                      <w:spacing w:val="-1"/>
                      <w:kern w:val="0"/>
                      <w:sz w:val="21"/>
                      <w:szCs w:val="21"/>
                      <w:highlight w:val="none"/>
                      <w:lang w:val="en-US" w:eastAsia="zh-CN"/>
                    </w:rPr>
                    <w:t>112</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，建筑面积112m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；内设锅炉引风机1台；</w:t>
                  </w:r>
                </w:p>
              </w:tc>
              <w:tc>
                <w:tcPr>
                  <w:tcW w:w="519" w:type="pct"/>
                  <w:vMerge w:val="continue"/>
                  <w:tcBorders>
                    <w:tl2br w:val="nil"/>
                    <w:tr2bl w:val="nil"/>
                  </w:tcBorders>
                  <w:noWrap w:val="0"/>
                  <w:vAlign w:val="center"/>
                </w:tcPr>
                <w:p w14:paraId="124AB90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4C3F8B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01FADD4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449FF3E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vMerge w:val="continue"/>
                  <w:tcBorders>
                    <w:tl2br w:val="nil"/>
                    <w:tr2bl w:val="nil"/>
                  </w:tcBorders>
                  <w:noWrap w:val="0"/>
                  <w:vAlign w:val="center"/>
                </w:tcPr>
                <w:p w14:paraId="1083E60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p>
              </w:tc>
              <w:tc>
                <w:tcPr>
                  <w:tcW w:w="2706" w:type="pct"/>
                  <w:tcBorders>
                    <w:tl2br w:val="nil"/>
                    <w:tr2bl w:val="nil"/>
                  </w:tcBorders>
                  <w:noWrap w:val="0"/>
                  <w:vAlign w:val="center"/>
                </w:tcPr>
                <w:p w14:paraId="20F7F11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设置烟囱（107）1座，露天，35m高；</w:t>
                  </w:r>
                </w:p>
              </w:tc>
              <w:tc>
                <w:tcPr>
                  <w:tcW w:w="519" w:type="pct"/>
                  <w:vMerge w:val="continue"/>
                  <w:tcBorders>
                    <w:tl2br w:val="nil"/>
                    <w:tr2bl w:val="nil"/>
                  </w:tcBorders>
                  <w:noWrap w:val="0"/>
                  <w:vAlign w:val="center"/>
                </w:tcPr>
                <w:p w14:paraId="376172B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358E39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5640D55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0F948A7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3AEF330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卸车泵房栈桥（801、802）</w:t>
                  </w:r>
                </w:p>
              </w:tc>
              <w:tc>
                <w:tcPr>
                  <w:tcW w:w="2706" w:type="pct"/>
                  <w:tcBorders>
                    <w:tl2br w:val="nil"/>
                    <w:tr2bl w:val="nil"/>
                  </w:tcBorders>
                  <w:noWrap w:val="0"/>
                  <w:vAlign w:val="center"/>
                </w:tcPr>
                <w:p w14:paraId="373CBAB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罐区设置1座卸车栈桥与泵房，占地面积分别为392m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、75m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，主要为液体物料发烟硫酸、浓硫酸、盐酸、甲醇和液碱卸车泵入储罐；</w:t>
                  </w:r>
                </w:p>
              </w:tc>
              <w:tc>
                <w:tcPr>
                  <w:tcW w:w="519" w:type="pct"/>
                  <w:tcBorders>
                    <w:tl2br w:val="nil"/>
                    <w:tr2bl w:val="nil"/>
                  </w:tcBorders>
                  <w:noWrap w:val="0"/>
                  <w:vAlign w:val="center"/>
                </w:tcPr>
                <w:p w14:paraId="55D3D21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未建</w:t>
                  </w:r>
                  <w:r>
                    <w:rPr>
                      <w:rFonts w:hint="eastAsia" w:ascii="Times New Roman" w:hAnsi="Times New Roman" w:cs="Times New Roman"/>
                      <w:color w:val="auto"/>
                      <w:sz w:val="21"/>
                      <w:szCs w:val="21"/>
                      <w:highlight w:val="none"/>
                      <w:lang w:val="en-US" w:eastAsia="zh-CN"/>
                    </w:rPr>
                    <w:t>成，建设中</w:t>
                  </w:r>
                </w:p>
              </w:tc>
            </w:tr>
            <w:tr w14:paraId="102C72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10E8AD7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07D4BCC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p>
              </w:tc>
              <w:tc>
                <w:tcPr>
                  <w:tcW w:w="561" w:type="pct"/>
                  <w:gridSpan w:val="2"/>
                  <w:vMerge w:val="restart"/>
                  <w:tcBorders>
                    <w:tl2br w:val="nil"/>
                    <w:tr2bl w:val="nil"/>
                  </w:tcBorders>
                  <w:noWrap w:val="0"/>
                  <w:vAlign w:val="center"/>
                </w:tcPr>
                <w:p w14:paraId="0A15A1F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r>
                    <w:rPr>
                      <w:rFonts w:hint="default" w:ascii="Times New Roman" w:hAnsi="Times New Roman" w:eastAsia="宋体" w:cs="Times New Roman"/>
                      <w:color w:val="auto"/>
                      <w:spacing w:val="-1"/>
                      <w:kern w:val="0"/>
                      <w:sz w:val="21"/>
                      <w:szCs w:val="21"/>
                      <w:highlight w:val="none"/>
                    </w:rPr>
                    <w:t>空压、制氮系统</w:t>
                  </w:r>
                </w:p>
              </w:tc>
              <w:tc>
                <w:tcPr>
                  <w:tcW w:w="2706" w:type="pct"/>
                  <w:tcBorders>
                    <w:tl2br w:val="nil"/>
                    <w:tr2bl w:val="nil"/>
                  </w:tcBorders>
                  <w:noWrap w:val="0"/>
                  <w:vAlign w:val="center"/>
                </w:tcPr>
                <w:p w14:paraId="54A34EA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设置</w:t>
                  </w:r>
                  <w:r>
                    <w:rPr>
                      <w:rFonts w:hint="default" w:ascii="Times New Roman" w:hAnsi="Times New Roman" w:eastAsia="宋体" w:cs="Times New Roman"/>
                      <w:color w:val="auto"/>
                      <w:sz w:val="21"/>
                      <w:szCs w:val="21"/>
                      <w:highlight w:val="none"/>
                    </w:rPr>
                    <w:t>2台空压机；型号分别为：DA-37、DA-55，</w:t>
                  </w:r>
                  <w:r>
                    <w:rPr>
                      <w:rFonts w:hint="default" w:ascii="Times New Roman" w:hAnsi="Times New Roman" w:eastAsia="宋体" w:cs="Times New Roman"/>
                      <w:color w:val="auto"/>
                      <w:sz w:val="21"/>
                      <w:szCs w:val="21"/>
                      <w:highlight w:val="none"/>
                      <w:lang w:val="en-US" w:eastAsia="zh-CN"/>
                    </w:rPr>
                    <w:t>其中</w:t>
                  </w:r>
                  <w:r>
                    <w:rPr>
                      <w:rFonts w:hint="default" w:ascii="Times New Roman" w:hAnsi="Times New Roman" w:eastAsia="宋体" w:cs="Times New Roman"/>
                      <w:color w:val="auto"/>
                      <w:sz w:val="21"/>
                      <w:szCs w:val="21"/>
                      <w:highlight w:val="none"/>
                    </w:rPr>
                    <w:t>DA-37产气量为6.28m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/min，DA-55产气量为9.8m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/min，空气干燥器（型号：DAD-8HTF）1套</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处理空气量为8.5m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/min</w:t>
                  </w:r>
                  <w:r>
                    <w:rPr>
                      <w:rFonts w:hint="default" w:ascii="Times New Roman" w:hAnsi="Times New Roman" w:eastAsia="宋体" w:cs="Times New Roman"/>
                      <w:color w:val="auto"/>
                      <w:sz w:val="21"/>
                      <w:szCs w:val="21"/>
                      <w:highlight w:val="none"/>
                      <w:lang w:eastAsia="zh-CN"/>
                    </w:rPr>
                    <w:t>；</w:t>
                  </w:r>
                </w:p>
              </w:tc>
              <w:tc>
                <w:tcPr>
                  <w:tcW w:w="519" w:type="pct"/>
                  <w:vMerge w:val="restart"/>
                  <w:tcBorders>
                    <w:tl2br w:val="nil"/>
                    <w:tr2bl w:val="nil"/>
                  </w:tcBorders>
                  <w:noWrap w:val="0"/>
                  <w:vAlign w:val="center"/>
                </w:tcPr>
                <w:p w14:paraId="3E214AC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未建</w:t>
                  </w:r>
                  <w:r>
                    <w:rPr>
                      <w:rFonts w:hint="eastAsia" w:ascii="Times New Roman" w:hAnsi="Times New Roman" w:cs="Times New Roman"/>
                      <w:color w:val="auto"/>
                      <w:sz w:val="21"/>
                      <w:szCs w:val="21"/>
                      <w:highlight w:val="none"/>
                      <w:lang w:val="en-US" w:eastAsia="zh-CN"/>
                    </w:rPr>
                    <w:t>成，建设中</w:t>
                  </w:r>
                </w:p>
              </w:tc>
            </w:tr>
            <w:tr w14:paraId="231428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2182633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12B4789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p>
              </w:tc>
              <w:tc>
                <w:tcPr>
                  <w:tcW w:w="561" w:type="pct"/>
                  <w:gridSpan w:val="2"/>
                  <w:vMerge w:val="continue"/>
                  <w:tcBorders>
                    <w:tl2br w:val="nil"/>
                    <w:tr2bl w:val="nil"/>
                  </w:tcBorders>
                  <w:noWrap w:val="0"/>
                  <w:vAlign w:val="center"/>
                </w:tcPr>
                <w:p w14:paraId="0F0540D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p>
              </w:tc>
              <w:tc>
                <w:tcPr>
                  <w:tcW w:w="2706" w:type="pct"/>
                  <w:tcBorders>
                    <w:tl2br w:val="nil"/>
                    <w:tr2bl w:val="nil"/>
                  </w:tcBorders>
                  <w:noWrap w:val="0"/>
                  <w:vAlign w:val="center"/>
                </w:tcPr>
                <w:p w14:paraId="411885A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设置1套THN-100C制氮设备及空压净化组件，制氮</w:t>
                  </w:r>
                  <w:r>
                    <w:rPr>
                      <w:rFonts w:hint="eastAsia" w:ascii="Times New Roman" w:hAnsi="Times New Roman" w:cs="Times New Roman"/>
                      <w:color w:val="auto"/>
                      <w:sz w:val="21"/>
                      <w:szCs w:val="21"/>
                      <w:highlight w:val="none"/>
                      <w:lang w:val="en-US" w:eastAsia="zh-CN"/>
                    </w:rPr>
                    <w:t>气</w:t>
                  </w:r>
                  <w:r>
                    <w:rPr>
                      <w:rFonts w:hint="default" w:ascii="Times New Roman" w:hAnsi="Times New Roman" w:eastAsia="宋体" w:cs="Times New Roman"/>
                      <w:color w:val="auto"/>
                      <w:sz w:val="21"/>
                      <w:szCs w:val="21"/>
                      <w:highlight w:val="none"/>
                      <w:lang w:val="en-US" w:eastAsia="zh-CN"/>
                    </w:rPr>
                    <w:t>能力为100Nm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 xml:space="preserve">/h、0.6Mpa、纯度99.99%； </w:t>
                  </w:r>
                </w:p>
              </w:tc>
              <w:tc>
                <w:tcPr>
                  <w:tcW w:w="519" w:type="pct"/>
                  <w:vMerge w:val="continue"/>
                  <w:tcBorders>
                    <w:tl2br w:val="nil"/>
                    <w:tr2bl w:val="nil"/>
                  </w:tcBorders>
                  <w:noWrap w:val="0"/>
                  <w:vAlign w:val="center"/>
                </w:tcPr>
                <w:p w14:paraId="6CBE439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78CF38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5" w:hRule="atLeast"/>
                <w:jc w:val="center"/>
              </w:trPr>
              <w:tc>
                <w:tcPr>
                  <w:tcW w:w="660" w:type="pct"/>
                  <w:vMerge w:val="continue"/>
                  <w:tcBorders>
                    <w:tl2br w:val="nil"/>
                    <w:tr2bl w:val="nil"/>
                  </w:tcBorders>
                  <w:noWrap w:val="0"/>
                  <w:vAlign w:val="center"/>
                </w:tcPr>
                <w:p w14:paraId="402EE13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4A6F2CA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p>
              </w:tc>
              <w:tc>
                <w:tcPr>
                  <w:tcW w:w="561" w:type="pct"/>
                  <w:gridSpan w:val="2"/>
                  <w:tcBorders>
                    <w:tl2br w:val="nil"/>
                    <w:tr2bl w:val="nil"/>
                  </w:tcBorders>
                  <w:noWrap w:val="0"/>
                  <w:vAlign w:val="center"/>
                </w:tcPr>
                <w:p w14:paraId="52FFF70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r>
                    <w:rPr>
                      <w:rFonts w:hint="default" w:ascii="Times New Roman" w:hAnsi="Times New Roman" w:eastAsia="宋体" w:cs="Times New Roman"/>
                      <w:color w:val="auto"/>
                      <w:spacing w:val="-1"/>
                      <w:kern w:val="0"/>
                      <w:sz w:val="21"/>
                      <w:szCs w:val="21"/>
                      <w:highlight w:val="none"/>
                      <w:lang w:val="en-US" w:eastAsia="zh-CN"/>
                    </w:rPr>
                    <w:t>制冷、冰系统</w:t>
                  </w:r>
                </w:p>
              </w:tc>
              <w:tc>
                <w:tcPr>
                  <w:tcW w:w="2706" w:type="pct"/>
                  <w:tcBorders>
                    <w:tl2br w:val="nil"/>
                    <w:tr2bl w:val="nil"/>
                  </w:tcBorders>
                  <w:noWrap w:val="0"/>
                  <w:vAlign w:val="center"/>
                </w:tcPr>
                <w:p w14:paraId="19A7124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设置1套制冷系统，供-15℃冷冻盐水，冷冻盐水采用螺杆盐水机组，用R22做制冷剂；设置1套</w:t>
                  </w:r>
                  <w:r>
                    <w:rPr>
                      <w:rFonts w:hint="eastAsia" w:ascii="Times New Roman" w:hAnsi="Times New Roman" w:cs="Times New Roman"/>
                      <w:color w:val="auto"/>
                      <w:sz w:val="21"/>
                      <w:szCs w:val="21"/>
                      <w:highlight w:val="none"/>
                      <w:lang w:val="en-US" w:eastAsia="zh-CN"/>
                    </w:rPr>
                    <w:t>制冰机</w:t>
                  </w:r>
                  <w:r>
                    <w:rPr>
                      <w:rFonts w:hint="default" w:ascii="Times New Roman" w:hAnsi="Times New Roman" w:eastAsia="宋体" w:cs="Times New Roman"/>
                      <w:color w:val="auto"/>
                      <w:sz w:val="21"/>
                      <w:szCs w:val="21"/>
                      <w:highlight w:val="none"/>
                      <w:lang w:val="en-US" w:eastAsia="zh-CN"/>
                    </w:rPr>
                    <w:t>，制冷量250万kcal/h，年用冷量1.74×1010kcal，</w:t>
                  </w:r>
                </w:p>
              </w:tc>
              <w:tc>
                <w:tcPr>
                  <w:tcW w:w="519" w:type="pct"/>
                  <w:tcBorders>
                    <w:tl2br w:val="nil"/>
                    <w:tr2bl w:val="nil"/>
                  </w:tcBorders>
                  <w:noWrap w:val="0"/>
                  <w:vAlign w:val="center"/>
                </w:tcPr>
                <w:p w14:paraId="6C0AD09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未建</w:t>
                  </w:r>
                  <w:r>
                    <w:rPr>
                      <w:rFonts w:hint="eastAsia" w:ascii="Times New Roman" w:hAnsi="Times New Roman" w:cs="Times New Roman"/>
                      <w:color w:val="auto"/>
                      <w:sz w:val="21"/>
                      <w:szCs w:val="21"/>
                      <w:highlight w:val="none"/>
                      <w:lang w:val="en-US" w:eastAsia="zh-CN"/>
                    </w:rPr>
                    <w:t>成，建设中</w:t>
                  </w:r>
                </w:p>
              </w:tc>
            </w:tr>
            <w:tr w14:paraId="004C50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4BBCE0E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56FF0EB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p>
              </w:tc>
              <w:tc>
                <w:tcPr>
                  <w:tcW w:w="561" w:type="pct"/>
                  <w:gridSpan w:val="2"/>
                  <w:tcBorders>
                    <w:tl2br w:val="nil"/>
                    <w:tr2bl w:val="nil"/>
                  </w:tcBorders>
                  <w:noWrap w:val="0"/>
                  <w:vAlign w:val="center"/>
                </w:tcPr>
                <w:p w14:paraId="11A6160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r>
                    <w:rPr>
                      <w:rFonts w:hint="default" w:ascii="Times New Roman" w:hAnsi="Times New Roman" w:eastAsia="宋体" w:cs="Times New Roman"/>
                      <w:color w:val="auto"/>
                      <w:spacing w:val="-1"/>
                      <w:kern w:val="0"/>
                      <w:sz w:val="21"/>
                      <w:szCs w:val="21"/>
                      <w:highlight w:val="none"/>
                    </w:rPr>
                    <w:t>化验室</w:t>
                  </w:r>
                </w:p>
              </w:tc>
              <w:tc>
                <w:tcPr>
                  <w:tcW w:w="2706" w:type="pct"/>
                  <w:tcBorders>
                    <w:tl2br w:val="nil"/>
                    <w:tr2bl w:val="nil"/>
                  </w:tcBorders>
                  <w:noWrap w:val="0"/>
                  <w:vAlign w:val="center"/>
                </w:tcPr>
                <w:p w14:paraId="5EC30F6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设置1间化验室，</w:t>
                  </w:r>
                  <w:r>
                    <w:rPr>
                      <w:rFonts w:hint="default" w:ascii="Times New Roman" w:hAnsi="Times New Roman" w:eastAsia="宋体" w:cs="Times New Roman"/>
                      <w:color w:val="auto"/>
                      <w:kern w:val="0"/>
                      <w:sz w:val="21"/>
                      <w:szCs w:val="21"/>
                      <w:highlight w:val="none"/>
                      <w:lang w:val="en-US" w:eastAsia="zh-CN"/>
                    </w:rPr>
                    <w:t>配备产品检测设备、标准温度计、气象色谱仪、箱式电阻炉、电热恒温鼓风干燥箱等检测设备；用于成品的质量检验；</w:t>
                  </w:r>
                </w:p>
              </w:tc>
              <w:tc>
                <w:tcPr>
                  <w:tcW w:w="519" w:type="pct"/>
                  <w:tcBorders>
                    <w:tl2br w:val="nil"/>
                    <w:tr2bl w:val="nil"/>
                  </w:tcBorders>
                  <w:noWrap w:val="0"/>
                  <w:vAlign w:val="center"/>
                </w:tcPr>
                <w:p w14:paraId="0781682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未建</w:t>
                  </w:r>
                  <w:r>
                    <w:rPr>
                      <w:rFonts w:hint="eastAsia" w:ascii="Times New Roman" w:hAnsi="Times New Roman" w:cs="Times New Roman"/>
                      <w:color w:val="auto"/>
                      <w:sz w:val="21"/>
                      <w:szCs w:val="21"/>
                      <w:highlight w:val="none"/>
                      <w:lang w:val="en-US" w:eastAsia="zh-CN"/>
                    </w:rPr>
                    <w:t>成，建设中</w:t>
                  </w:r>
                </w:p>
              </w:tc>
            </w:tr>
            <w:tr w14:paraId="3E60D4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568359E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restart"/>
                  <w:tcBorders>
                    <w:tl2br w:val="nil"/>
                    <w:tr2bl w:val="nil"/>
                  </w:tcBorders>
                  <w:noWrap w:val="0"/>
                  <w:vAlign w:val="center"/>
                </w:tcPr>
                <w:p w14:paraId="2889DCF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r>
                    <w:rPr>
                      <w:rFonts w:hint="default" w:ascii="Times New Roman" w:hAnsi="Times New Roman" w:eastAsia="宋体" w:cs="Times New Roman"/>
                      <w:color w:val="auto"/>
                      <w:spacing w:val="-1"/>
                      <w:kern w:val="0"/>
                      <w:sz w:val="21"/>
                      <w:szCs w:val="21"/>
                      <w:highlight w:val="none"/>
                    </w:rPr>
                    <w:t>生活辅助</w:t>
                  </w:r>
                </w:p>
              </w:tc>
              <w:tc>
                <w:tcPr>
                  <w:tcW w:w="561" w:type="pct"/>
                  <w:gridSpan w:val="2"/>
                  <w:tcBorders>
                    <w:tl2br w:val="nil"/>
                    <w:tr2bl w:val="nil"/>
                  </w:tcBorders>
                  <w:noWrap w:val="0"/>
                  <w:vAlign w:val="center"/>
                </w:tcPr>
                <w:p w14:paraId="37588C1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综合办公楼</w:t>
                  </w:r>
                </w:p>
              </w:tc>
              <w:tc>
                <w:tcPr>
                  <w:tcW w:w="2706" w:type="pct"/>
                  <w:tcBorders>
                    <w:tl2br w:val="nil"/>
                    <w:tr2bl w:val="nil"/>
                  </w:tcBorders>
                  <w:noWrap w:val="0"/>
                  <w:vAlign w:val="center"/>
                </w:tcPr>
                <w:p w14:paraId="59F3A09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1栋</w:t>
                  </w:r>
                  <w:r>
                    <w:rPr>
                      <w:rFonts w:hint="default" w:ascii="Times New Roman" w:hAnsi="Times New Roman" w:eastAsia="宋体"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rPr>
                    <w:t>层</w:t>
                  </w:r>
                  <w:r>
                    <w:rPr>
                      <w:rFonts w:hint="default" w:ascii="Times New Roman" w:hAnsi="Times New Roman" w:eastAsia="宋体" w:cs="Times New Roman"/>
                      <w:color w:val="auto"/>
                      <w:spacing w:val="-1"/>
                      <w:kern w:val="0"/>
                      <w:sz w:val="21"/>
                      <w:szCs w:val="21"/>
                      <w:highlight w:val="none"/>
                    </w:rPr>
                    <w:t>，</w:t>
                  </w:r>
                  <w:r>
                    <w:rPr>
                      <w:rFonts w:hint="default" w:ascii="Times New Roman" w:hAnsi="Times New Roman" w:eastAsia="宋体" w:cs="Times New Roman"/>
                      <w:color w:val="auto"/>
                      <w:kern w:val="0"/>
                      <w:sz w:val="21"/>
                      <w:szCs w:val="21"/>
                      <w:highlight w:val="none"/>
                    </w:rPr>
                    <w:t>占地面积</w:t>
                  </w:r>
                  <w:r>
                    <w:rPr>
                      <w:rFonts w:hint="default" w:ascii="Times New Roman" w:hAnsi="Times New Roman" w:eastAsia="宋体" w:cs="Times New Roman"/>
                      <w:color w:val="auto"/>
                      <w:kern w:val="0"/>
                      <w:sz w:val="21"/>
                      <w:szCs w:val="21"/>
                      <w:highlight w:val="none"/>
                      <w:lang w:val="en-US" w:eastAsia="zh-CN"/>
                    </w:rPr>
                    <w:t>500</w:t>
                  </w:r>
                  <w:r>
                    <w:rPr>
                      <w:rFonts w:hint="default" w:ascii="Times New Roman" w:hAnsi="Times New Roman" w:eastAsia="宋体" w:cs="Times New Roman"/>
                      <w:color w:val="auto"/>
                      <w:kern w:val="0"/>
                      <w:sz w:val="21"/>
                      <w:szCs w:val="21"/>
                      <w:highlight w:val="none"/>
                    </w:rPr>
                    <w:t>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spacing w:val="-1"/>
                      <w:kern w:val="0"/>
                      <w:sz w:val="21"/>
                      <w:szCs w:val="21"/>
                      <w:highlight w:val="none"/>
                    </w:rPr>
                    <w:t>，用于日常办公及厂区管理；</w:t>
                  </w:r>
                </w:p>
              </w:tc>
              <w:tc>
                <w:tcPr>
                  <w:tcW w:w="519" w:type="pct"/>
                  <w:tcBorders>
                    <w:tl2br w:val="nil"/>
                    <w:tr2bl w:val="nil"/>
                  </w:tcBorders>
                  <w:noWrap w:val="0"/>
                  <w:vAlign w:val="center"/>
                </w:tcPr>
                <w:p w14:paraId="3491ECB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已建成</w:t>
                  </w:r>
                </w:p>
              </w:tc>
            </w:tr>
            <w:tr w14:paraId="3A8123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75B3B80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6AA00E6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p>
              </w:tc>
              <w:tc>
                <w:tcPr>
                  <w:tcW w:w="561" w:type="pct"/>
                  <w:gridSpan w:val="2"/>
                  <w:tcBorders>
                    <w:tl2br w:val="nil"/>
                    <w:tr2bl w:val="nil"/>
                  </w:tcBorders>
                  <w:noWrap w:val="0"/>
                  <w:vAlign w:val="center"/>
                </w:tcPr>
                <w:p w14:paraId="73FDC13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食堂</w:t>
                  </w:r>
                </w:p>
              </w:tc>
              <w:tc>
                <w:tcPr>
                  <w:tcW w:w="2706" w:type="pct"/>
                  <w:tcBorders>
                    <w:tl2br w:val="nil"/>
                    <w:tr2bl w:val="nil"/>
                  </w:tcBorders>
                  <w:noWrap w:val="0"/>
                  <w:vAlign w:val="center"/>
                </w:tcPr>
                <w:p w14:paraId="75CFC7C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1栋</w:t>
                  </w:r>
                  <w:r>
                    <w:rPr>
                      <w:rFonts w:hint="default" w:ascii="Times New Roman" w:hAnsi="Times New Roman" w:eastAsia="宋体"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层，占地面积</w:t>
                  </w:r>
                  <w:r>
                    <w:rPr>
                      <w:rFonts w:hint="default" w:ascii="Times New Roman" w:hAnsi="Times New Roman" w:eastAsia="宋体" w:cs="Times New Roman"/>
                      <w:color w:val="auto"/>
                      <w:kern w:val="0"/>
                      <w:sz w:val="21"/>
                      <w:szCs w:val="21"/>
                      <w:highlight w:val="none"/>
                      <w:lang w:val="en-US" w:eastAsia="zh-CN"/>
                    </w:rPr>
                    <w:t>60</w:t>
                  </w:r>
                  <w:r>
                    <w:rPr>
                      <w:rFonts w:hint="default" w:ascii="Times New Roman" w:hAnsi="Times New Roman" w:eastAsia="宋体" w:cs="Times New Roman"/>
                      <w:color w:val="auto"/>
                      <w:kern w:val="0"/>
                      <w:sz w:val="21"/>
                      <w:szCs w:val="21"/>
                      <w:highlight w:val="none"/>
                    </w:rPr>
                    <w:t>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，用于职工日常生活；</w:t>
                  </w:r>
                </w:p>
              </w:tc>
              <w:tc>
                <w:tcPr>
                  <w:tcW w:w="519" w:type="pct"/>
                  <w:tcBorders>
                    <w:tl2br w:val="nil"/>
                    <w:tr2bl w:val="nil"/>
                  </w:tcBorders>
                  <w:noWrap w:val="0"/>
                  <w:vAlign w:val="center"/>
                </w:tcPr>
                <w:p w14:paraId="4303E15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已建成</w:t>
                  </w:r>
                </w:p>
              </w:tc>
            </w:tr>
            <w:tr w14:paraId="3B24DE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00515B1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4364F66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p>
              </w:tc>
              <w:tc>
                <w:tcPr>
                  <w:tcW w:w="561" w:type="pct"/>
                  <w:gridSpan w:val="2"/>
                  <w:tcBorders>
                    <w:tl2br w:val="nil"/>
                    <w:tr2bl w:val="nil"/>
                  </w:tcBorders>
                  <w:noWrap w:val="0"/>
                  <w:vAlign w:val="center"/>
                </w:tcPr>
                <w:p w14:paraId="10AAF41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门卫</w:t>
                  </w:r>
                  <w:r>
                    <w:rPr>
                      <w:rFonts w:hint="default" w:ascii="Times New Roman" w:hAnsi="Times New Roman" w:eastAsia="宋体" w:cs="Times New Roman"/>
                      <w:color w:val="auto"/>
                      <w:sz w:val="21"/>
                      <w:szCs w:val="21"/>
                      <w:highlight w:val="none"/>
                      <w:lang w:val="en-US" w:eastAsia="zh-CN"/>
                    </w:rPr>
                    <w:t>及车库</w:t>
                  </w:r>
                </w:p>
              </w:tc>
              <w:tc>
                <w:tcPr>
                  <w:tcW w:w="2706" w:type="pct"/>
                  <w:tcBorders>
                    <w:tl2br w:val="nil"/>
                    <w:tr2bl w:val="nil"/>
                  </w:tcBorders>
                  <w:noWrap w:val="0"/>
                  <w:vAlign w:val="center"/>
                </w:tcPr>
                <w:p w14:paraId="438BAFE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栋1层，占地面积</w:t>
                  </w:r>
                  <w:r>
                    <w:rPr>
                      <w:rFonts w:hint="default" w:ascii="Times New Roman" w:hAnsi="Times New Roman" w:eastAsia="宋体" w:cs="Times New Roman"/>
                      <w:color w:val="auto"/>
                      <w:kern w:val="0"/>
                      <w:sz w:val="21"/>
                      <w:szCs w:val="21"/>
                      <w:highlight w:val="none"/>
                      <w:lang w:val="en-US" w:eastAsia="zh-CN"/>
                    </w:rPr>
                    <w:t>80</w:t>
                  </w:r>
                  <w:r>
                    <w:rPr>
                      <w:rFonts w:hint="default" w:ascii="Times New Roman" w:hAnsi="Times New Roman" w:eastAsia="宋体" w:cs="Times New Roman"/>
                      <w:color w:val="auto"/>
                      <w:kern w:val="0"/>
                      <w:sz w:val="21"/>
                      <w:szCs w:val="21"/>
                      <w:highlight w:val="none"/>
                    </w:rPr>
                    <w:t>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rPr>
                    <w:t>，</w:t>
                  </w:r>
                  <w:r>
                    <w:rPr>
                      <w:rFonts w:hint="default" w:ascii="Times New Roman" w:hAnsi="Times New Roman" w:eastAsia="宋体" w:cs="Times New Roman"/>
                      <w:color w:val="auto"/>
                      <w:kern w:val="0"/>
                      <w:sz w:val="21"/>
                      <w:szCs w:val="21"/>
                      <w:highlight w:val="none"/>
                      <w:lang w:val="en-US" w:eastAsia="zh-CN"/>
                    </w:rPr>
                    <w:t>用于厂区管理及车辆调度、停放</w:t>
                  </w:r>
                  <w:r>
                    <w:rPr>
                      <w:rFonts w:hint="default" w:ascii="Times New Roman" w:hAnsi="Times New Roman" w:eastAsia="宋体" w:cs="Times New Roman"/>
                      <w:color w:val="auto"/>
                      <w:kern w:val="0"/>
                      <w:sz w:val="21"/>
                      <w:szCs w:val="21"/>
                      <w:highlight w:val="none"/>
                    </w:rPr>
                    <w:t>；</w:t>
                  </w:r>
                </w:p>
              </w:tc>
              <w:tc>
                <w:tcPr>
                  <w:tcW w:w="519" w:type="pct"/>
                  <w:tcBorders>
                    <w:tl2br w:val="nil"/>
                    <w:tr2bl w:val="nil"/>
                  </w:tcBorders>
                  <w:noWrap w:val="0"/>
                  <w:vAlign w:val="center"/>
                </w:tcPr>
                <w:p w14:paraId="5A049DC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已建成</w:t>
                  </w:r>
                </w:p>
              </w:tc>
            </w:tr>
            <w:tr w14:paraId="37BD9A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41867B2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5EF6060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p>
              </w:tc>
              <w:tc>
                <w:tcPr>
                  <w:tcW w:w="561" w:type="pct"/>
                  <w:gridSpan w:val="2"/>
                  <w:tcBorders>
                    <w:tl2br w:val="nil"/>
                    <w:tr2bl w:val="nil"/>
                  </w:tcBorders>
                  <w:noWrap w:val="0"/>
                  <w:vAlign w:val="center"/>
                </w:tcPr>
                <w:p w14:paraId="46174C2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围墙</w:t>
                  </w:r>
                </w:p>
              </w:tc>
              <w:tc>
                <w:tcPr>
                  <w:tcW w:w="2706" w:type="pct"/>
                  <w:tcBorders>
                    <w:tl2br w:val="nil"/>
                    <w:tr2bl w:val="nil"/>
                  </w:tcBorders>
                  <w:noWrap w:val="0"/>
                  <w:vAlign w:val="center"/>
                </w:tcPr>
                <w:p w14:paraId="6B3F390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厂区四周设置2.2m高围墙，总长度约1298m；</w:t>
                  </w:r>
                </w:p>
              </w:tc>
              <w:tc>
                <w:tcPr>
                  <w:tcW w:w="519" w:type="pct"/>
                  <w:tcBorders>
                    <w:tl2br w:val="nil"/>
                    <w:tr2bl w:val="nil"/>
                  </w:tcBorders>
                  <w:noWrap w:val="0"/>
                  <w:vAlign w:val="center"/>
                </w:tcPr>
                <w:p w14:paraId="2676B2CD">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未建设</w:t>
                  </w:r>
                </w:p>
              </w:tc>
            </w:tr>
            <w:tr w14:paraId="6CD38A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restart"/>
                  <w:tcBorders>
                    <w:tl2br w:val="nil"/>
                    <w:tr2bl w:val="nil"/>
                  </w:tcBorders>
                  <w:noWrap w:val="0"/>
                  <w:vAlign w:val="center"/>
                </w:tcPr>
                <w:p w14:paraId="6FDC7890">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储运工程</w:t>
                  </w:r>
                </w:p>
              </w:tc>
              <w:tc>
                <w:tcPr>
                  <w:tcW w:w="552" w:type="pct"/>
                  <w:gridSpan w:val="2"/>
                  <w:vMerge w:val="restart"/>
                  <w:tcBorders>
                    <w:tl2br w:val="nil"/>
                    <w:tr2bl w:val="nil"/>
                  </w:tcBorders>
                  <w:noWrap w:val="0"/>
                  <w:vAlign w:val="center"/>
                </w:tcPr>
                <w:p w14:paraId="0B588DCA">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原辅物</w:t>
                  </w:r>
                </w:p>
                <w:p w14:paraId="7BD62323">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料</w:t>
                  </w:r>
                  <w:r>
                    <w:rPr>
                      <w:rFonts w:hint="default" w:ascii="Times New Roman" w:hAnsi="Times New Roman" w:eastAsia="宋体" w:cs="Times New Roman"/>
                      <w:color w:val="auto"/>
                      <w:sz w:val="21"/>
                      <w:szCs w:val="21"/>
                      <w:highlight w:val="none"/>
                    </w:rPr>
                    <w:t>储存</w:t>
                  </w:r>
                </w:p>
              </w:tc>
              <w:tc>
                <w:tcPr>
                  <w:tcW w:w="561" w:type="pct"/>
                  <w:gridSpan w:val="2"/>
                  <w:vMerge w:val="restart"/>
                  <w:tcBorders>
                    <w:tl2br w:val="nil"/>
                    <w:tr2bl w:val="nil"/>
                  </w:tcBorders>
                  <w:noWrap w:val="0"/>
                  <w:vAlign w:val="center"/>
                </w:tcPr>
                <w:p w14:paraId="188B214D">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罐区（803、804）</w:t>
                  </w:r>
                </w:p>
              </w:tc>
              <w:tc>
                <w:tcPr>
                  <w:tcW w:w="2706" w:type="pct"/>
                  <w:tcBorders>
                    <w:tl2br w:val="nil"/>
                    <w:tr2bl w:val="nil"/>
                  </w:tcBorders>
                  <w:noWrap w:val="0"/>
                  <w:vAlign w:val="center"/>
                </w:tcPr>
                <w:p w14:paraId="342DF803">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占地面积为265.36m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，本期共设置6座半地下卧式储罐，其中发烟硫酸储罐2座，单罐容积50m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；浓硫酸储罐1座，单罐容积50m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，盐酸储罐1座，单罐容积50m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，液碱储罐1座，单罐容积50m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，甲醇储罐1座，单罐容积50m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lang w:eastAsia="zh-CN"/>
                    </w:rPr>
                    <w:t>；</w:t>
                  </w:r>
                </w:p>
              </w:tc>
              <w:tc>
                <w:tcPr>
                  <w:tcW w:w="519" w:type="pct"/>
                  <w:vMerge w:val="restart"/>
                  <w:tcBorders>
                    <w:tl2br w:val="nil"/>
                    <w:tr2bl w:val="nil"/>
                  </w:tcBorders>
                  <w:noWrap w:val="0"/>
                  <w:vAlign w:val="center"/>
                </w:tcPr>
                <w:p w14:paraId="376FF490">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仅硫酸储罐完成建设，其余</w:t>
                  </w:r>
                  <w:r>
                    <w:rPr>
                      <w:rFonts w:hint="default" w:ascii="Times New Roman" w:hAnsi="Times New Roman" w:eastAsia="宋体" w:cs="Times New Roman"/>
                      <w:color w:val="auto"/>
                      <w:sz w:val="21"/>
                      <w:szCs w:val="21"/>
                      <w:highlight w:val="none"/>
                      <w:lang w:val="en-US" w:eastAsia="zh-CN"/>
                    </w:rPr>
                    <w:t>未建设</w:t>
                  </w:r>
                </w:p>
              </w:tc>
            </w:tr>
            <w:tr w14:paraId="463882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14F074C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1A460BCC">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vMerge w:val="continue"/>
                  <w:tcBorders>
                    <w:tl2br w:val="nil"/>
                    <w:tr2bl w:val="nil"/>
                  </w:tcBorders>
                  <w:noWrap w:val="0"/>
                  <w:vAlign w:val="center"/>
                </w:tcPr>
                <w:p w14:paraId="57F86F67">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2706" w:type="pct"/>
                  <w:tcBorders>
                    <w:tl2br w:val="nil"/>
                    <w:tr2bl w:val="nil"/>
                  </w:tcBorders>
                  <w:noWrap w:val="0"/>
                  <w:vAlign w:val="center"/>
                </w:tcPr>
                <w:p w14:paraId="7DA269FD">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罐区配套建设围堰，约1.2m高，总</w:t>
                  </w:r>
                  <w:r>
                    <w:rPr>
                      <w:rFonts w:hint="default" w:ascii="Times New Roman" w:hAnsi="Times New Roman" w:eastAsia="宋体" w:cs="Times New Roman"/>
                      <w:color w:val="auto"/>
                      <w:sz w:val="21"/>
                      <w:szCs w:val="21"/>
                      <w:highlight w:val="none"/>
                    </w:rPr>
                    <w:t>容积</w:t>
                  </w:r>
                  <w:r>
                    <w:rPr>
                      <w:rFonts w:hint="default" w:ascii="Times New Roman" w:hAnsi="Times New Roman" w:eastAsia="宋体" w:cs="Times New Roman"/>
                      <w:color w:val="auto"/>
                      <w:sz w:val="21"/>
                      <w:szCs w:val="21"/>
                      <w:highlight w:val="none"/>
                      <w:lang w:val="en-US" w:eastAsia="zh-CN"/>
                    </w:rPr>
                    <w:t>为225</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，有效容积按90%计为</w:t>
                  </w:r>
                  <w:r>
                    <w:rPr>
                      <w:rFonts w:hint="default" w:ascii="Times New Roman" w:hAnsi="Times New Roman" w:eastAsia="宋体" w:cs="Times New Roman"/>
                      <w:color w:val="auto"/>
                      <w:sz w:val="21"/>
                      <w:szCs w:val="21"/>
                      <w:highlight w:val="none"/>
                      <w:lang w:val="en-US" w:eastAsia="zh-CN"/>
                    </w:rPr>
                    <w:t>202.5</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kern w:val="0"/>
                      <w:sz w:val="21"/>
                      <w:szCs w:val="21"/>
                      <w:highlight w:val="none"/>
                      <w:lang w:eastAsia="zh-CN"/>
                    </w:rPr>
                    <w:t>；</w:t>
                  </w:r>
                </w:p>
              </w:tc>
              <w:tc>
                <w:tcPr>
                  <w:tcW w:w="519" w:type="pct"/>
                  <w:vMerge w:val="continue"/>
                  <w:tcBorders>
                    <w:tl2br w:val="nil"/>
                    <w:tr2bl w:val="nil"/>
                  </w:tcBorders>
                  <w:noWrap w:val="0"/>
                  <w:vAlign w:val="center"/>
                </w:tcPr>
                <w:p w14:paraId="47F83B8D">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4A0BA0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337CC48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5FFBB2B2">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6ED81D7A">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仓库（201）</w:t>
                  </w:r>
                </w:p>
              </w:tc>
              <w:tc>
                <w:tcPr>
                  <w:tcW w:w="2706" w:type="pct"/>
                  <w:tcBorders>
                    <w:tl2br w:val="nil"/>
                    <w:tr2bl w:val="nil"/>
                  </w:tcBorders>
                  <w:noWrap w:val="0"/>
                  <w:vAlign w:val="center"/>
                </w:tcPr>
                <w:p w14:paraId="1984E387">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1栋，甲类仓库，</w:t>
                  </w:r>
                  <w:r>
                    <w:rPr>
                      <w:rFonts w:hint="default" w:ascii="Times New Roman" w:hAnsi="Times New Roman" w:eastAsia="宋体" w:cs="Times New Roman"/>
                      <w:color w:val="auto"/>
                      <w:sz w:val="21"/>
                      <w:szCs w:val="21"/>
                      <w:highlight w:val="none"/>
                      <w:lang w:val="en-US" w:eastAsia="zh-CN"/>
                    </w:rPr>
                    <w:t>1层，建筑高度最高6.663m，门式钢架结构，占地面积645m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，建筑面积645m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为化学危险品储存仓库，主要储存三甲基苯胺、对甲苯胺、苯胺、对氯苯酚、氢氧化钾溶液、DMF、乙醇、丁醇、丙酮、一氯丙酮、冰醋酸、氨水、氢氧化钠（固）、乙胺、氰化钠、次氯酸钠、二氧化硫、三氯乙醛、溴素、苯酐、1，8-二氯蒽醌、1，8</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二氨基萘、甲萘胺、1</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氨基蒽醌、溴氨酸等，</w:t>
                  </w:r>
                  <w:r>
                    <w:rPr>
                      <w:rFonts w:hint="default" w:ascii="Times New Roman" w:hAnsi="Times New Roman" w:eastAsia="宋体" w:cs="Times New Roman"/>
                      <w:color w:val="auto"/>
                      <w:sz w:val="21"/>
                      <w:szCs w:val="21"/>
                      <w:highlight w:val="none"/>
                    </w:rPr>
                    <w:t>各原（辅）料最大储存量</w:t>
                  </w:r>
                  <w:r>
                    <w:rPr>
                      <w:rFonts w:hint="default" w:ascii="Times New Roman" w:hAnsi="Times New Roman" w:eastAsia="宋体" w:cs="Times New Roman"/>
                      <w:color w:val="auto"/>
                      <w:sz w:val="21"/>
                      <w:szCs w:val="21"/>
                      <w:highlight w:val="none"/>
                      <w:lang w:val="en-US" w:eastAsia="zh-CN"/>
                    </w:rPr>
                    <w:t>可以保证各</w:t>
                  </w:r>
                  <w:r>
                    <w:rPr>
                      <w:rFonts w:hint="default" w:ascii="Times New Roman" w:hAnsi="Times New Roman" w:eastAsia="宋体" w:cs="Times New Roman"/>
                      <w:color w:val="auto"/>
                      <w:sz w:val="21"/>
                      <w:szCs w:val="21"/>
                      <w:highlight w:val="none"/>
                    </w:rPr>
                    <w:t>生产线</w:t>
                  </w:r>
                  <w:r>
                    <w:rPr>
                      <w:rFonts w:hint="default" w:ascii="Times New Roman" w:hAnsi="Times New Roman" w:eastAsia="宋体" w:cs="Times New Roman"/>
                      <w:color w:val="auto"/>
                      <w:sz w:val="21"/>
                      <w:szCs w:val="21"/>
                      <w:highlight w:val="none"/>
                      <w:lang w:val="en-US" w:eastAsia="zh-CN"/>
                    </w:rPr>
                    <w:t>20</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个</w:t>
                  </w:r>
                  <w:r>
                    <w:rPr>
                      <w:rFonts w:hint="default" w:ascii="Times New Roman" w:hAnsi="Times New Roman" w:eastAsia="宋体" w:cs="Times New Roman"/>
                      <w:color w:val="auto"/>
                      <w:sz w:val="21"/>
                      <w:szCs w:val="21"/>
                      <w:highlight w:val="none"/>
                      <w:lang w:val="en-US" w:eastAsia="zh-CN"/>
                    </w:rPr>
                    <w:t>批次</w:t>
                  </w:r>
                  <w:r>
                    <w:rPr>
                      <w:rFonts w:hint="default" w:ascii="Times New Roman" w:hAnsi="Times New Roman" w:eastAsia="宋体" w:cs="Times New Roman"/>
                      <w:color w:val="auto"/>
                      <w:sz w:val="21"/>
                      <w:szCs w:val="21"/>
                      <w:highlight w:val="none"/>
                    </w:rPr>
                    <w:t>所需用量</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各物料根据其性质以袋装、桶装（溴素为钢罐、二氧化硫以钢瓶）方式进行贮存；</w:t>
                  </w:r>
                </w:p>
              </w:tc>
              <w:tc>
                <w:tcPr>
                  <w:tcW w:w="519" w:type="pct"/>
                  <w:tcBorders>
                    <w:tl2br w:val="nil"/>
                    <w:tr2bl w:val="nil"/>
                  </w:tcBorders>
                  <w:noWrap w:val="0"/>
                  <w:vAlign w:val="center"/>
                </w:tcPr>
                <w:p w14:paraId="34044879">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已建设</w:t>
                  </w:r>
                </w:p>
              </w:tc>
            </w:tr>
            <w:tr w14:paraId="30C030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72B6588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3EFBA666">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652F317D">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仓库（203）</w:t>
                  </w:r>
                </w:p>
              </w:tc>
              <w:tc>
                <w:tcPr>
                  <w:tcW w:w="2706" w:type="pct"/>
                  <w:tcBorders>
                    <w:tl2br w:val="nil"/>
                    <w:tr2bl w:val="nil"/>
                  </w:tcBorders>
                  <w:noWrap w:val="0"/>
                  <w:vAlign w:val="center"/>
                </w:tcPr>
                <w:p w14:paraId="48552C1F">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1栋，丙类仓库，</w:t>
                  </w:r>
                  <w:r>
                    <w:rPr>
                      <w:rFonts w:hint="default" w:ascii="Times New Roman" w:hAnsi="Times New Roman" w:eastAsia="宋体" w:cs="Times New Roman"/>
                      <w:color w:val="auto"/>
                      <w:sz w:val="21"/>
                      <w:szCs w:val="21"/>
                      <w:highlight w:val="none"/>
                      <w:lang w:val="en-US" w:eastAsia="zh-CN"/>
                    </w:rPr>
                    <w:t>建筑高度最高9.36m，门式钢架结构，占地面积2193m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，建筑面积2193m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，为</w:t>
                  </w:r>
                  <w:r>
                    <w:rPr>
                      <w:rFonts w:hint="eastAsia" w:ascii="Times New Roman" w:hAnsi="Times New Roman" w:cs="Times New Roman"/>
                      <w:color w:val="auto"/>
                      <w:sz w:val="21"/>
                      <w:szCs w:val="21"/>
                      <w:highlight w:val="none"/>
                      <w:lang w:val="en-US" w:eastAsia="zh-CN"/>
                    </w:rPr>
                    <w:t>其他</w:t>
                  </w:r>
                  <w:r>
                    <w:rPr>
                      <w:rFonts w:hint="default" w:ascii="Times New Roman" w:hAnsi="Times New Roman" w:eastAsia="宋体" w:cs="Times New Roman"/>
                      <w:color w:val="auto"/>
                      <w:sz w:val="21"/>
                      <w:szCs w:val="21"/>
                      <w:highlight w:val="none"/>
                      <w:lang w:val="en-US" w:eastAsia="zh-CN"/>
                    </w:rPr>
                    <w:t>原辅料及成品储存仓库，主要储存硼酸、碳酸钠、醋酸钠、亚硝酸钠、氯化钠、保险粉、氧化钙、扩散剂MF、乌洛托品等原辅料及13种产品</w:t>
                  </w:r>
                  <w:r>
                    <w:rPr>
                      <w:rFonts w:hint="default" w:ascii="Times New Roman" w:hAnsi="Times New Roman" w:eastAsia="宋体" w:cs="Times New Roman"/>
                      <w:color w:val="auto"/>
                      <w:kern w:val="0"/>
                      <w:sz w:val="21"/>
                      <w:szCs w:val="21"/>
                      <w:highlight w:val="none"/>
                    </w:rPr>
                    <w:t>。</w:t>
                  </w:r>
                  <w:r>
                    <w:rPr>
                      <w:rFonts w:hint="default" w:ascii="Times New Roman" w:hAnsi="Times New Roman" w:eastAsia="宋体" w:cs="Times New Roman"/>
                      <w:color w:val="auto"/>
                      <w:sz w:val="21"/>
                      <w:szCs w:val="21"/>
                      <w:highlight w:val="none"/>
                    </w:rPr>
                    <w:t>各原（辅）料最大储存量</w:t>
                  </w:r>
                  <w:r>
                    <w:rPr>
                      <w:rFonts w:hint="default" w:ascii="Times New Roman" w:hAnsi="Times New Roman" w:eastAsia="宋体" w:cs="Times New Roman"/>
                      <w:color w:val="auto"/>
                      <w:sz w:val="21"/>
                      <w:szCs w:val="21"/>
                      <w:highlight w:val="none"/>
                      <w:lang w:val="en-US" w:eastAsia="zh-CN"/>
                    </w:rPr>
                    <w:t>可以保证各</w:t>
                  </w:r>
                  <w:r>
                    <w:rPr>
                      <w:rFonts w:hint="default" w:ascii="Times New Roman" w:hAnsi="Times New Roman" w:eastAsia="宋体" w:cs="Times New Roman"/>
                      <w:color w:val="auto"/>
                      <w:sz w:val="21"/>
                      <w:szCs w:val="21"/>
                      <w:highlight w:val="none"/>
                    </w:rPr>
                    <w:t>生产线</w:t>
                  </w:r>
                  <w:r>
                    <w:rPr>
                      <w:rFonts w:hint="default" w:ascii="Times New Roman" w:hAnsi="Times New Roman" w:eastAsia="宋体" w:cs="Times New Roman"/>
                      <w:color w:val="auto"/>
                      <w:sz w:val="21"/>
                      <w:szCs w:val="21"/>
                      <w:highlight w:val="none"/>
                      <w:lang w:val="en-US" w:eastAsia="zh-CN"/>
                    </w:rPr>
                    <w:t>20</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个</w:t>
                  </w:r>
                  <w:r>
                    <w:rPr>
                      <w:rFonts w:hint="default" w:ascii="Times New Roman" w:hAnsi="Times New Roman" w:eastAsia="宋体" w:cs="Times New Roman"/>
                      <w:color w:val="auto"/>
                      <w:sz w:val="21"/>
                      <w:szCs w:val="21"/>
                      <w:highlight w:val="none"/>
                      <w:lang w:val="en-US" w:eastAsia="zh-CN"/>
                    </w:rPr>
                    <w:t>批次</w:t>
                  </w:r>
                  <w:r>
                    <w:rPr>
                      <w:rFonts w:hint="default" w:ascii="Times New Roman" w:hAnsi="Times New Roman" w:eastAsia="宋体" w:cs="Times New Roman"/>
                      <w:color w:val="auto"/>
                      <w:sz w:val="21"/>
                      <w:szCs w:val="21"/>
                      <w:highlight w:val="none"/>
                    </w:rPr>
                    <w:t>所需用量</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各物料根据其性质以袋装、桶装方式进行贮存；</w:t>
                  </w:r>
                </w:p>
              </w:tc>
              <w:tc>
                <w:tcPr>
                  <w:tcW w:w="519" w:type="pct"/>
                  <w:tcBorders>
                    <w:tl2br w:val="nil"/>
                    <w:tr2bl w:val="nil"/>
                  </w:tcBorders>
                  <w:noWrap w:val="0"/>
                  <w:vAlign w:val="center"/>
                </w:tcPr>
                <w:p w14:paraId="48F03FAB">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已建设</w:t>
                  </w:r>
                </w:p>
              </w:tc>
            </w:tr>
            <w:tr w14:paraId="011C02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37A9EED5">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tcBorders>
                    <w:tl2br w:val="nil"/>
                    <w:tr2bl w:val="nil"/>
                  </w:tcBorders>
                  <w:noWrap w:val="0"/>
                  <w:vAlign w:val="center"/>
                </w:tcPr>
                <w:p w14:paraId="70A84FD2">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危废储存</w:t>
                  </w:r>
                </w:p>
              </w:tc>
              <w:tc>
                <w:tcPr>
                  <w:tcW w:w="561" w:type="pct"/>
                  <w:gridSpan w:val="2"/>
                  <w:tcBorders>
                    <w:tl2br w:val="nil"/>
                    <w:tr2bl w:val="nil"/>
                  </w:tcBorders>
                  <w:noWrap w:val="0"/>
                  <w:vAlign w:val="center"/>
                </w:tcPr>
                <w:p w14:paraId="2560CAE4">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仓库（202）</w:t>
                  </w:r>
                </w:p>
              </w:tc>
              <w:tc>
                <w:tcPr>
                  <w:tcW w:w="2706" w:type="pct"/>
                  <w:tcBorders>
                    <w:tl2br w:val="nil"/>
                    <w:tr2bl w:val="nil"/>
                  </w:tcBorders>
                  <w:noWrap w:val="0"/>
                  <w:vAlign w:val="center"/>
                </w:tcPr>
                <w:p w14:paraId="0C9DF4B7">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1栋，丙类仓库，1层，</w:t>
                  </w:r>
                  <w:r>
                    <w:rPr>
                      <w:rFonts w:hint="default" w:ascii="Times New Roman" w:hAnsi="Times New Roman" w:eastAsia="宋体" w:cs="Times New Roman"/>
                      <w:color w:val="auto"/>
                      <w:sz w:val="21"/>
                      <w:szCs w:val="21"/>
                      <w:highlight w:val="none"/>
                      <w:lang w:val="en-US" w:eastAsia="zh-CN"/>
                    </w:rPr>
                    <w:t>建筑高度最高6.538m，门式钢架结构，占地面积430m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，建筑面积430m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，为危险废物储存仓库，主要储存工艺固废、需鉴定的固废、废气废水治理环节产生的危废及实验废液等，最大贮存量为500t，运转周期为35次/a；</w:t>
                  </w:r>
                </w:p>
              </w:tc>
              <w:tc>
                <w:tcPr>
                  <w:tcW w:w="519" w:type="pct"/>
                  <w:tcBorders>
                    <w:tl2br w:val="nil"/>
                    <w:tr2bl w:val="nil"/>
                  </w:tcBorders>
                  <w:noWrap w:val="0"/>
                  <w:vAlign w:val="center"/>
                </w:tcPr>
                <w:p w14:paraId="4B126C4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已建设</w:t>
                  </w:r>
                </w:p>
              </w:tc>
            </w:tr>
            <w:tr w14:paraId="3DC184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78B95DB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tcBorders>
                    <w:tl2br w:val="nil"/>
                    <w:tr2bl w:val="nil"/>
                  </w:tcBorders>
                  <w:noWrap w:val="0"/>
                  <w:vAlign w:val="center"/>
                </w:tcPr>
                <w:p w14:paraId="1FD3CE2D">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燃料灰</w:t>
                  </w:r>
                </w:p>
                <w:p w14:paraId="29A71CFC">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渣储存</w:t>
                  </w:r>
                </w:p>
              </w:tc>
              <w:tc>
                <w:tcPr>
                  <w:tcW w:w="561" w:type="pct"/>
                  <w:gridSpan w:val="2"/>
                  <w:tcBorders>
                    <w:tl2br w:val="nil"/>
                    <w:tr2bl w:val="nil"/>
                  </w:tcBorders>
                  <w:noWrap w:val="0"/>
                  <w:vAlign w:val="center"/>
                </w:tcPr>
                <w:p w14:paraId="0659D2B9">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仓库（204）</w:t>
                  </w:r>
                </w:p>
              </w:tc>
              <w:tc>
                <w:tcPr>
                  <w:tcW w:w="2706" w:type="pct"/>
                  <w:tcBorders>
                    <w:tl2br w:val="nil"/>
                    <w:tr2bl w:val="nil"/>
                  </w:tcBorders>
                  <w:noWrap w:val="0"/>
                  <w:vAlign w:val="center"/>
                </w:tcPr>
                <w:p w14:paraId="3C85D953">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1栋，丙类仓库，</w:t>
                  </w:r>
                  <w:r>
                    <w:rPr>
                      <w:rFonts w:hint="default" w:ascii="Times New Roman" w:hAnsi="Times New Roman" w:eastAsia="宋体" w:cs="Times New Roman"/>
                      <w:color w:val="auto"/>
                      <w:sz w:val="21"/>
                      <w:szCs w:val="21"/>
                      <w:highlight w:val="none"/>
                      <w:lang w:val="en-US" w:eastAsia="zh-CN"/>
                    </w:rPr>
                    <w:t>建筑高度最高6.608m，门式钢架结构，占地面积722.5m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，建筑面积722.5m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，为生物质成型燃料及锅炉灰渣储存方库，最大储存量为650t燃料及80t灰渣，运转周期为11次/a；</w:t>
                  </w:r>
                </w:p>
              </w:tc>
              <w:tc>
                <w:tcPr>
                  <w:tcW w:w="519" w:type="pct"/>
                  <w:tcBorders>
                    <w:tl2br w:val="nil"/>
                    <w:tr2bl w:val="nil"/>
                  </w:tcBorders>
                  <w:noWrap w:val="0"/>
                  <w:vAlign w:val="center"/>
                </w:tcPr>
                <w:p w14:paraId="275E5B26">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建设中</w:t>
                  </w:r>
                </w:p>
              </w:tc>
            </w:tr>
            <w:tr w14:paraId="359D78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3FF2E9D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tcBorders>
                    <w:tl2br w:val="nil"/>
                    <w:tr2bl w:val="nil"/>
                  </w:tcBorders>
                  <w:noWrap w:val="0"/>
                  <w:vAlign w:val="center"/>
                </w:tcPr>
                <w:p w14:paraId="3A55B603">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一般包</w:t>
                  </w:r>
                </w:p>
                <w:p w14:paraId="57CAED99">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装储存</w:t>
                  </w:r>
                </w:p>
              </w:tc>
              <w:tc>
                <w:tcPr>
                  <w:tcW w:w="561" w:type="pct"/>
                  <w:gridSpan w:val="2"/>
                  <w:tcBorders>
                    <w:tl2br w:val="nil"/>
                    <w:tr2bl w:val="nil"/>
                  </w:tcBorders>
                  <w:noWrap w:val="0"/>
                  <w:vAlign w:val="center"/>
                </w:tcPr>
                <w:p w14:paraId="601AA4AD">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戊类堆场（205~209）</w:t>
                  </w:r>
                </w:p>
              </w:tc>
              <w:tc>
                <w:tcPr>
                  <w:tcW w:w="2706" w:type="pct"/>
                  <w:tcBorders>
                    <w:tl2br w:val="nil"/>
                    <w:tr2bl w:val="nil"/>
                  </w:tcBorders>
                  <w:noWrap w:val="0"/>
                  <w:vAlign w:val="center"/>
                </w:tcPr>
                <w:p w14:paraId="47BE33CD">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厂区设置5处戊类堆场，其中</w:t>
                  </w:r>
                  <w:r>
                    <w:rPr>
                      <w:rFonts w:hint="default" w:ascii="Times New Roman" w:hAnsi="Times New Roman" w:eastAsia="宋体" w:cs="Times New Roman"/>
                      <w:color w:val="auto"/>
                      <w:sz w:val="21"/>
                      <w:szCs w:val="21"/>
                      <w:highlight w:val="none"/>
                      <w:lang w:val="en-US" w:eastAsia="zh-CN"/>
                    </w:rPr>
                    <w:t>205堆场占地面积为1274.61m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，206堆场</w:t>
                  </w:r>
                  <w:r>
                    <w:rPr>
                      <w:rFonts w:hint="eastAsia" w:ascii="Times New Roman" w:hAnsi="Times New Roman" w:cs="Times New Roman"/>
                      <w:color w:val="auto"/>
                      <w:sz w:val="21"/>
                      <w:szCs w:val="21"/>
                      <w:highlight w:val="none"/>
                      <w:lang w:val="en-US" w:eastAsia="zh-CN"/>
                    </w:rPr>
                    <w:t>占地面积</w:t>
                  </w:r>
                  <w:r>
                    <w:rPr>
                      <w:rFonts w:hint="default" w:ascii="Times New Roman" w:hAnsi="Times New Roman" w:eastAsia="宋体" w:cs="Times New Roman"/>
                      <w:color w:val="auto"/>
                      <w:sz w:val="21"/>
                      <w:szCs w:val="21"/>
                      <w:highlight w:val="none"/>
                      <w:lang w:val="en-US" w:eastAsia="zh-CN"/>
                    </w:rPr>
                    <w:t>为315m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，207堆场占地面积为763.67m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，208堆场占地面积为1595.71m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，209堆场占地面积为970.5m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，均为堆置非危险化学品类原、辅料的周转桶；</w:t>
                  </w:r>
                </w:p>
              </w:tc>
              <w:tc>
                <w:tcPr>
                  <w:tcW w:w="519" w:type="pct"/>
                  <w:tcBorders>
                    <w:tl2br w:val="nil"/>
                    <w:tr2bl w:val="nil"/>
                  </w:tcBorders>
                  <w:noWrap w:val="0"/>
                  <w:vAlign w:val="center"/>
                </w:tcPr>
                <w:p w14:paraId="0F301F2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未建设</w:t>
                  </w:r>
                </w:p>
              </w:tc>
            </w:tr>
            <w:tr w14:paraId="2DED07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1D4F483F">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restart"/>
                  <w:tcBorders>
                    <w:tl2br w:val="nil"/>
                    <w:tr2bl w:val="nil"/>
                  </w:tcBorders>
                  <w:noWrap w:val="0"/>
                  <w:vAlign w:val="center"/>
                </w:tcPr>
                <w:p w14:paraId="15943897">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运输</w:t>
                  </w:r>
                </w:p>
              </w:tc>
              <w:tc>
                <w:tcPr>
                  <w:tcW w:w="561" w:type="pct"/>
                  <w:gridSpan w:val="2"/>
                  <w:tcBorders>
                    <w:tl2br w:val="nil"/>
                    <w:tr2bl w:val="nil"/>
                  </w:tcBorders>
                  <w:noWrap w:val="0"/>
                  <w:vAlign w:val="center"/>
                </w:tcPr>
                <w:p w14:paraId="515B8905">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运输方式</w:t>
                  </w:r>
                </w:p>
              </w:tc>
              <w:tc>
                <w:tcPr>
                  <w:tcW w:w="2706" w:type="pct"/>
                  <w:tcBorders>
                    <w:tl2br w:val="nil"/>
                    <w:tr2bl w:val="nil"/>
                  </w:tcBorders>
                  <w:noWrap w:val="0"/>
                  <w:vAlign w:val="center"/>
                </w:tcPr>
                <w:p w14:paraId="0E0D39A5">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厂内原（辅）料采用专用化学品运输车辆进行运输，全过程封闭运往指定</w:t>
                  </w:r>
                  <w:r>
                    <w:rPr>
                      <w:rFonts w:hint="default" w:ascii="Times New Roman" w:hAnsi="Times New Roman" w:eastAsia="宋体" w:cs="Times New Roman"/>
                      <w:color w:val="auto"/>
                      <w:kern w:val="0"/>
                      <w:sz w:val="21"/>
                      <w:szCs w:val="21"/>
                      <w:highlight w:val="none"/>
                      <w:lang w:val="en-US" w:eastAsia="zh-CN"/>
                    </w:rPr>
                    <w:t>车间</w:t>
                  </w:r>
                  <w:r>
                    <w:rPr>
                      <w:rFonts w:hint="default" w:ascii="Times New Roman" w:hAnsi="Times New Roman" w:eastAsia="宋体" w:cs="Times New Roman"/>
                      <w:color w:val="auto"/>
                      <w:kern w:val="0"/>
                      <w:sz w:val="21"/>
                      <w:szCs w:val="21"/>
                      <w:highlight w:val="none"/>
                      <w:lang w:eastAsia="zh-CN"/>
                    </w:rPr>
                    <w:t>；</w:t>
                  </w:r>
                </w:p>
              </w:tc>
              <w:tc>
                <w:tcPr>
                  <w:tcW w:w="519" w:type="pct"/>
                  <w:vMerge w:val="restart"/>
                  <w:tcBorders>
                    <w:tl2br w:val="nil"/>
                    <w:tr2bl w:val="nil"/>
                  </w:tcBorders>
                  <w:noWrap w:val="0"/>
                  <w:vAlign w:val="center"/>
                </w:tcPr>
                <w:p w14:paraId="2B1F9B1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7DECBC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49D1D80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0713E88A">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00A85F97">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厂外运输</w:t>
                  </w:r>
                </w:p>
              </w:tc>
              <w:tc>
                <w:tcPr>
                  <w:tcW w:w="2706" w:type="pct"/>
                  <w:tcBorders>
                    <w:tl2br w:val="nil"/>
                    <w:tr2bl w:val="nil"/>
                  </w:tcBorders>
                  <w:noWrap w:val="0"/>
                  <w:vAlign w:val="center"/>
                </w:tcPr>
                <w:p w14:paraId="59CF17D2">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原辅料由供应商负责运输至厂内仓库，产品由社会车辆运出；</w:t>
                  </w:r>
                </w:p>
              </w:tc>
              <w:tc>
                <w:tcPr>
                  <w:tcW w:w="519" w:type="pct"/>
                  <w:vMerge w:val="continue"/>
                  <w:tcBorders>
                    <w:tl2br w:val="nil"/>
                    <w:tr2bl w:val="nil"/>
                  </w:tcBorders>
                  <w:noWrap w:val="0"/>
                  <w:vAlign w:val="center"/>
                </w:tcPr>
                <w:p w14:paraId="7FA397D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4EAECC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restart"/>
                  <w:tcBorders>
                    <w:tl2br w:val="nil"/>
                    <w:tr2bl w:val="nil"/>
                  </w:tcBorders>
                  <w:noWrap w:val="0"/>
                  <w:vAlign w:val="center"/>
                </w:tcPr>
                <w:p w14:paraId="734C9ABE">
                  <w:pPr>
                    <w:keepNext w:val="0"/>
                    <w:keepLines w:val="0"/>
                    <w:pageBreakBefore w:val="0"/>
                    <w:widowControl w:val="0"/>
                    <w:wordWrap/>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公用工程</w:t>
                  </w:r>
                </w:p>
              </w:tc>
              <w:tc>
                <w:tcPr>
                  <w:tcW w:w="552" w:type="pct"/>
                  <w:gridSpan w:val="2"/>
                  <w:vMerge w:val="restart"/>
                  <w:tcBorders>
                    <w:tl2br w:val="nil"/>
                    <w:tr2bl w:val="nil"/>
                  </w:tcBorders>
                  <w:noWrap w:val="0"/>
                  <w:vAlign w:val="center"/>
                </w:tcPr>
                <w:p w14:paraId="10304CD0">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给水</w:t>
                  </w:r>
                </w:p>
              </w:tc>
              <w:tc>
                <w:tcPr>
                  <w:tcW w:w="561" w:type="pct"/>
                  <w:gridSpan w:val="2"/>
                  <w:vMerge w:val="restart"/>
                  <w:tcBorders>
                    <w:tl2br w:val="nil"/>
                    <w:tr2bl w:val="nil"/>
                  </w:tcBorders>
                  <w:noWrap w:val="0"/>
                  <w:vAlign w:val="center"/>
                </w:tcPr>
                <w:p w14:paraId="03A2EA5D">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用水量、水源</w:t>
                  </w:r>
                </w:p>
              </w:tc>
              <w:tc>
                <w:tcPr>
                  <w:tcW w:w="2706" w:type="pct"/>
                  <w:tcBorders>
                    <w:tl2br w:val="nil"/>
                    <w:tr2bl w:val="nil"/>
                  </w:tcBorders>
                  <w:noWrap w:val="0"/>
                  <w:vAlign w:val="center"/>
                </w:tcPr>
                <w:p w14:paraId="171ECF4D">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总用水量为536.305m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d，193446.895m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a；其中工艺用水量为477.4m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d，冲洗用水量为24.75m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d，公辅及环保设施用水量为20.155m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d，生活用水量为36m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d，其它未预见水量为28m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d；</w:t>
                  </w:r>
                </w:p>
              </w:tc>
              <w:tc>
                <w:tcPr>
                  <w:tcW w:w="519" w:type="pct"/>
                  <w:vMerge w:val="restart"/>
                  <w:tcBorders>
                    <w:tl2br w:val="nil"/>
                    <w:tr2bl w:val="nil"/>
                  </w:tcBorders>
                  <w:noWrap w:val="0"/>
                  <w:vAlign w:val="center"/>
                </w:tcPr>
                <w:p w14:paraId="46BCDA4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已建成</w:t>
                  </w:r>
                </w:p>
              </w:tc>
            </w:tr>
            <w:tr w14:paraId="5839FC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757545FA">
                  <w:pPr>
                    <w:keepNext w:val="0"/>
                    <w:keepLines w:val="0"/>
                    <w:pageBreakBefore w:val="0"/>
                    <w:widowControl w:val="0"/>
                    <w:wordWrap/>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2AFE5DD8">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vMerge w:val="continue"/>
                  <w:tcBorders>
                    <w:tl2br w:val="nil"/>
                    <w:tr2bl w:val="nil"/>
                  </w:tcBorders>
                  <w:noWrap w:val="0"/>
                  <w:vAlign w:val="center"/>
                </w:tcPr>
                <w:p w14:paraId="24867B47">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706" w:type="pct"/>
                  <w:tcBorders>
                    <w:tl2br w:val="nil"/>
                    <w:tr2bl w:val="nil"/>
                  </w:tcBorders>
                  <w:noWrap w:val="0"/>
                  <w:vAlign w:val="center"/>
                </w:tcPr>
                <w:p w14:paraId="57FC55D8">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sz w:val="21"/>
                      <w:szCs w:val="21"/>
                      <w:highlight w:val="none"/>
                    </w:rPr>
                    <w:t>生产、生活、消防水源均采用</w:t>
                  </w:r>
                  <w:r>
                    <w:rPr>
                      <w:rFonts w:hint="default" w:ascii="Times New Roman" w:hAnsi="Times New Roman" w:eastAsia="宋体" w:cs="Times New Roman"/>
                      <w:color w:val="auto"/>
                      <w:sz w:val="21"/>
                      <w:szCs w:val="21"/>
                      <w:highlight w:val="none"/>
                      <w:lang w:val="en-US" w:eastAsia="zh-CN"/>
                    </w:rPr>
                    <w:t>园区集中供水</w:t>
                  </w:r>
                  <w:r>
                    <w:rPr>
                      <w:rFonts w:hint="default" w:ascii="Times New Roman" w:hAnsi="Times New Roman" w:eastAsia="宋体" w:cs="Times New Roman"/>
                      <w:color w:val="auto"/>
                      <w:sz w:val="21"/>
                      <w:szCs w:val="21"/>
                      <w:highlight w:val="none"/>
                    </w:rPr>
                    <w:t>，水源接自园区供水管网，供水管径DN200，供水压力为0.3MPa</w:t>
                  </w:r>
                  <w:r>
                    <w:rPr>
                      <w:rFonts w:hint="default" w:ascii="Times New Roman" w:hAnsi="Times New Roman" w:eastAsia="宋体" w:cs="Times New Roman"/>
                      <w:color w:val="auto"/>
                      <w:sz w:val="21"/>
                      <w:szCs w:val="21"/>
                      <w:highlight w:val="none"/>
                      <w:lang w:eastAsia="zh-CN"/>
                    </w:rPr>
                    <w:t>；</w:t>
                  </w:r>
                </w:p>
              </w:tc>
              <w:tc>
                <w:tcPr>
                  <w:tcW w:w="519" w:type="pct"/>
                  <w:vMerge w:val="continue"/>
                  <w:tcBorders>
                    <w:tl2br w:val="nil"/>
                    <w:tr2bl w:val="nil"/>
                  </w:tcBorders>
                  <w:noWrap w:val="0"/>
                  <w:vAlign w:val="center"/>
                </w:tcPr>
                <w:p w14:paraId="3125A2EE">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7B991A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5080FAA6">
                  <w:pPr>
                    <w:keepNext w:val="0"/>
                    <w:keepLines w:val="0"/>
                    <w:pageBreakBefore w:val="0"/>
                    <w:widowControl w:val="0"/>
                    <w:wordWrap/>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restart"/>
                  <w:tcBorders>
                    <w:tl2br w:val="nil"/>
                    <w:tr2bl w:val="nil"/>
                  </w:tcBorders>
                  <w:noWrap w:val="0"/>
                  <w:vAlign w:val="center"/>
                </w:tcPr>
                <w:p w14:paraId="44B45DFB">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排水</w:t>
                  </w:r>
                </w:p>
              </w:tc>
              <w:tc>
                <w:tcPr>
                  <w:tcW w:w="561" w:type="pct"/>
                  <w:gridSpan w:val="2"/>
                  <w:vMerge w:val="restart"/>
                  <w:tcBorders>
                    <w:tl2br w:val="nil"/>
                    <w:tr2bl w:val="nil"/>
                  </w:tcBorders>
                  <w:noWrap w:val="0"/>
                  <w:vAlign w:val="center"/>
                </w:tcPr>
                <w:p w14:paraId="79048916">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排水量及排水去向</w:t>
                  </w:r>
                </w:p>
              </w:tc>
              <w:tc>
                <w:tcPr>
                  <w:tcW w:w="2706" w:type="pct"/>
                  <w:tcBorders>
                    <w:tl2br w:val="nil"/>
                    <w:tr2bl w:val="nil"/>
                  </w:tcBorders>
                  <w:noWrap w:val="0"/>
                  <w:vAlign w:val="center"/>
                </w:tcPr>
                <w:p w14:paraId="3E9B631F">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rPr>
                    <w:t>总排水量为639.075</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d</w:t>
                  </w:r>
                  <w:r>
                    <w:rPr>
                      <w:rFonts w:hint="default" w:ascii="Times New Roman" w:hAnsi="Times New Roman" w:eastAsia="宋体" w:cs="Times New Roman"/>
                      <w:color w:val="auto"/>
                      <w:kern w:val="0"/>
                      <w:sz w:val="21"/>
                      <w:szCs w:val="21"/>
                      <w:highlight w:val="none"/>
                    </w:rPr>
                    <w:t>；210894.75</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a；其中生产排水量为610.275m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/d，生活排水量为9504m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d；</w:t>
                  </w:r>
                </w:p>
              </w:tc>
              <w:tc>
                <w:tcPr>
                  <w:tcW w:w="519" w:type="pct"/>
                  <w:vMerge w:val="restart"/>
                  <w:tcBorders>
                    <w:tl2br w:val="nil"/>
                    <w:tr2bl w:val="nil"/>
                  </w:tcBorders>
                  <w:noWrap w:val="0"/>
                  <w:vAlign w:val="center"/>
                </w:tcPr>
                <w:p w14:paraId="2672277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已建成</w:t>
                  </w:r>
                </w:p>
              </w:tc>
            </w:tr>
            <w:tr w14:paraId="72BCA8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0" w:type="pct"/>
                  <w:vMerge w:val="continue"/>
                  <w:tcBorders>
                    <w:tl2br w:val="nil"/>
                    <w:tr2bl w:val="nil"/>
                  </w:tcBorders>
                  <w:noWrap w:val="0"/>
                  <w:vAlign w:val="center"/>
                </w:tcPr>
                <w:p w14:paraId="10C24423">
                  <w:pPr>
                    <w:keepNext w:val="0"/>
                    <w:keepLines w:val="0"/>
                    <w:pageBreakBefore w:val="0"/>
                    <w:widowControl w:val="0"/>
                    <w:wordWrap/>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7BED2924">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vMerge w:val="continue"/>
                  <w:tcBorders>
                    <w:tl2br w:val="nil"/>
                    <w:tr2bl w:val="nil"/>
                  </w:tcBorders>
                  <w:noWrap w:val="0"/>
                  <w:vAlign w:val="center"/>
                </w:tcPr>
                <w:p w14:paraId="3C9F832B">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2706" w:type="pct"/>
                  <w:tcBorders>
                    <w:tl2br w:val="nil"/>
                    <w:tr2bl w:val="nil"/>
                  </w:tcBorders>
                  <w:noWrap w:val="0"/>
                  <w:vAlign w:val="center"/>
                </w:tcPr>
                <w:p w14:paraId="034BEB11">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生活污水直接经化粪池处理后排入园区管网；生产</w:t>
                  </w:r>
                  <w:r>
                    <w:rPr>
                      <w:rFonts w:hint="default" w:ascii="Times New Roman" w:hAnsi="Times New Roman" w:eastAsia="宋体" w:cs="Times New Roman"/>
                      <w:color w:val="auto"/>
                      <w:sz w:val="21"/>
                      <w:szCs w:val="21"/>
                      <w:highlight w:val="none"/>
                      <w:lang w:val="en-US" w:eastAsia="zh-CN"/>
                    </w:rPr>
                    <w:t>废水采用</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分质分类</w:t>
                  </w:r>
                  <w:r>
                    <w:rPr>
                      <w:rFonts w:hint="eastAsia" w:ascii="宋体" w:hAnsi="宋体" w:eastAsia="宋体" w:cs="宋体"/>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收集方式，通过开启阀门放料至接收槽排入相应的地下污水管线根据TDS浓度送入多效浓缩蒸发除盐系统除盐后按pH分别进入污水处理站中的酸性、碱性废水池，废水经酸析后与碱性废水进入酸碱中和池中和调节pH，经中和后的废水进入厂区污水处理主工艺系统处理达标排入园区污水处理厂进一步处理达标后，通过牧羊场沟</w:t>
                  </w:r>
                  <w:r>
                    <w:rPr>
                      <w:rFonts w:hint="default" w:ascii="Times New Roman" w:hAnsi="Times New Roman" w:eastAsia="宋体" w:cs="Times New Roman"/>
                      <w:color w:val="auto"/>
                      <w:sz w:val="21"/>
                      <w:szCs w:val="21"/>
                      <w:highlight w:val="none"/>
                    </w:rPr>
                    <w:t>排入</w:t>
                  </w:r>
                  <w:r>
                    <w:rPr>
                      <w:rFonts w:hint="default" w:ascii="Times New Roman" w:hAnsi="Times New Roman" w:eastAsia="宋体" w:cs="Times New Roman"/>
                      <w:color w:val="auto"/>
                      <w:sz w:val="21"/>
                      <w:szCs w:val="21"/>
                      <w:highlight w:val="none"/>
                      <w:lang w:val="en-US" w:eastAsia="zh-CN"/>
                    </w:rPr>
                    <w:t>穆棱河；</w:t>
                  </w:r>
                </w:p>
              </w:tc>
              <w:tc>
                <w:tcPr>
                  <w:tcW w:w="519" w:type="pct"/>
                  <w:vMerge w:val="continue"/>
                  <w:tcBorders>
                    <w:tl2br w:val="nil"/>
                    <w:tr2bl w:val="nil"/>
                  </w:tcBorders>
                  <w:noWrap w:val="0"/>
                  <w:vAlign w:val="center"/>
                </w:tcPr>
                <w:p w14:paraId="200FDF0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0C67B7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restart"/>
                  <w:tcBorders>
                    <w:tl2br w:val="nil"/>
                    <w:tr2bl w:val="nil"/>
                  </w:tcBorders>
                  <w:noWrap w:val="0"/>
                  <w:vAlign w:val="center"/>
                </w:tcPr>
                <w:p w14:paraId="5B228CE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公用工程</w:t>
                  </w:r>
                </w:p>
              </w:tc>
              <w:tc>
                <w:tcPr>
                  <w:tcW w:w="552" w:type="pct"/>
                  <w:gridSpan w:val="2"/>
                  <w:vMerge w:val="restart"/>
                  <w:tcBorders>
                    <w:tl2br w:val="nil"/>
                    <w:tr2bl w:val="nil"/>
                  </w:tcBorders>
                  <w:noWrap w:val="0"/>
                  <w:vAlign w:val="center"/>
                </w:tcPr>
                <w:p w14:paraId="3818A294">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供热</w:t>
                  </w:r>
                </w:p>
              </w:tc>
              <w:tc>
                <w:tcPr>
                  <w:tcW w:w="561" w:type="pct"/>
                  <w:gridSpan w:val="2"/>
                  <w:tcBorders>
                    <w:tl2br w:val="nil"/>
                    <w:tr2bl w:val="nil"/>
                  </w:tcBorders>
                  <w:noWrap w:val="0"/>
                  <w:vAlign w:val="center"/>
                </w:tcPr>
                <w:p w14:paraId="27581DE3">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生产供热</w:t>
                  </w:r>
                </w:p>
              </w:tc>
              <w:tc>
                <w:tcPr>
                  <w:tcW w:w="2706" w:type="pct"/>
                  <w:vMerge w:val="restart"/>
                  <w:tcBorders>
                    <w:tl2br w:val="nil"/>
                    <w:tr2bl w:val="nil"/>
                  </w:tcBorders>
                  <w:noWrap w:val="0"/>
                  <w:vAlign w:val="center"/>
                </w:tcPr>
                <w:p w14:paraId="41BE817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bidi="ar"/>
                    </w:rPr>
                    <w:t>生产工艺中涉及到</w:t>
                  </w:r>
                  <w:r>
                    <w:rPr>
                      <w:rFonts w:hint="default" w:ascii="Times New Roman" w:hAnsi="Times New Roman" w:eastAsia="宋体" w:cs="Times New Roman"/>
                      <w:color w:val="auto"/>
                      <w:sz w:val="21"/>
                      <w:szCs w:val="21"/>
                      <w:highlight w:val="none"/>
                      <w:lang w:val="en-US" w:eastAsia="zh-CN" w:bidi="ar"/>
                    </w:rPr>
                    <w:t>高</w:t>
                  </w:r>
                  <w:r>
                    <w:rPr>
                      <w:rFonts w:hint="default" w:ascii="Times New Roman" w:hAnsi="Times New Roman" w:eastAsia="宋体" w:cs="Times New Roman"/>
                      <w:color w:val="auto"/>
                      <w:sz w:val="21"/>
                      <w:szCs w:val="21"/>
                      <w:highlight w:val="none"/>
                      <w:lang w:bidi="ar"/>
                    </w:rPr>
                    <w:t>加热温度需维持</w:t>
                  </w:r>
                  <w:r>
                    <w:rPr>
                      <w:rFonts w:hint="default" w:ascii="Times New Roman" w:hAnsi="Times New Roman" w:eastAsia="宋体" w:cs="Times New Roman"/>
                      <w:color w:val="auto"/>
                      <w:sz w:val="21"/>
                      <w:szCs w:val="21"/>
                      <w:highlight w:val="none"/>
                      <w:lang w:val="en-US" w:eastAsia="zh-CN" w:bidi="ar"/>
                    </w:rPr>
                    <w:t>200</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lang w:val="en-US" w:eastAsia="zh-CN" w:bidi="ar"/>
                    </w:rPr>
                    <w:t>以上</w:t>
                  </w:r>
                  <w:r>
                    <w:rPr>
                      <w:rFonts w:hint="default" w:ascii="Times New Roman" w:hAnsi="Times New Roman" w:eastAsia="宋体" w:cs="Times New Roman"/>
                      <w:color w:val="auto"/>
                      <w:sz w:val="21"/>
                      <w:szCs w:val="21"/>
                      <w:highlight w:val="none"/>
                      <w:lang w:bidi="ar"/>
                    </w:rPr>
                    <w:t>、</w:t>
                  </w:r>
                  <w:r>
                    <w:rPr>
                      <w:rFonts w:hint="default" w:ascii="Times New Roman" w:hAnsi="Times New Roman" w:eastAsia="宋体" w:cs="Times New Roman"/>
                      <w:color w:val="auto"/>
                      <w:sz w:val="21"/>
                      <w:szCs w:val="21"/>
                      <w:highlight w:val="none"/>
                      <w:lang w:val="en-US" w:eastAsia="zh-CN" w:bidi="ar"/>
                    </w:rPr>
                    <w:t>蒸馏</w:t>
                  </w:r>
                  <w:r>
                    <w:rPr>
                      <w:rFonts w:hint="default" w:ascii="Times New Roman" w:hAnsi="Times New Roman" w:eastAsia="宋体" w:cs="Times New Roman"/>
                      <w:color w:val="auto"/>
                      <w:sz w:val="21"/>
                      <w:szCs w:val="21"/>
                      <w:highlight w:val="none"/>
                      <w:lang w:bidi="ar"/>
                    </w:rPr>
                    <w:t>高温加热温度需</w:t>
                  </w:r>
                  <w:r>
                    <w:rPr>
                      <w:rFonts w:hint="default" w:ascii="Times New Roman" w:hAnsi="Times New Roman" w:eastAsia="宋体" w:cs="Times New Roman"/>
                      <w:color w:val="auto"/>
                      <w:sz w:val="21"/>
                      <w:szCs w:val="21"/>
                      <w:highlight w:val="none"/>
                      <w:lang w:val="en-US" w:eastAsia="zh-CN" w:bidi="ar"/>
                    </w:rPr>
                    <w:t>稳定</w:t>
                  </w:r>
                  <w:r>
                    <w:rPr>
                      <w:rFonts w:hint="default" w:ascii="Times New Roman" w:hAnsi="Times New Roman" w:eastAsia="宋体" w:cs="Times New Roman"/>
                      <w:color w:val="auto"/>
                      <w:sz w:val="21"/>
                      <w:szCs w:val="21"/>
                      <w:highlight w:val="none"/>
                      <w:lang w:bidi="ar"/>
                    </w:rPr>
                    <w:t>维持110~12</w:t>
                  </w:r>
                  <w:r>
                    <w:rPr>
                      <w:rFonts w:hint="default" w:ascii="Times New Roman" w:hAnsi="Times New Roman" w:eastAsia="宋体" w:cs="Times New Roman"/>
                      <w:color w:val="auto"/>
                      <w:sz w:val="21"/>
                      <w:szCs w:val="21"/>
                      <w:highlight w:val="none"/>
                      <w:lang w:val="en-US" w:eastAsia="zh-CN" w:bidi="ar"/>
                    </w:rPr>
                    <w:t>5</w:t>
                  </w:r>
                  <w:r>
                    <w:rPr>
                      <w:rFonts w:hint="default" w:ascii="Times New Roman" w:hAnsi="Times New Roman" w:eastAsia="宋体" w:cs="Times New Roman"/>
                      <w:color w:val="auto"/>
                      <w:sz w:val="21"/>
                      <w:szCs w:val="21"/>
                      <w:highlight w:val="none"/>
                      <w:lang w:bidi="ar"/>
                    </w:rPr>
                    <w:t>℃，热媒采用导热油</w:t>
                  </w:r>
                  <w:r>
                    <w:rPr>
                      <w:rFonts w:hint="default" w:ascii="Times New Roman" w:hAnsi="Times New Roman" w:eastAsia="宋体"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val="en-US" w:eastAsia="zh-CN" w:bidi="ar"/>
                    </w:rPr>
                    <w:t>由锅炉房1台</w:t>
                  </w:r>
                  <w:r>
                    <w:rPr>
                      <w:rFonts w:hint="default" w:ascii="Times New Roman" w:hAnsi="Times New Roman" w:eastAsia="宋体" w:cs="Times New Roman"/>
                      <w:color w:val="auto"/>
                      <w:sz w:val="21"/>
                      <w:szCs w:val="21"/>
                      <w:highlight w:val="none"/>
                      <w:lang w:val="en-US" w:eastAsia="zh-CN"/>
                    </w:rPr>
                    <w:t>型号为YLW-4200SCⅢ的导热油炉供应；</w:t>
                  </w:r>
                  <w:r>
                    <w:rPr>
                      <w:rFonts w:hint="default" w:ascii="Times New Roman" w:hAnsi="Times New Roman" w:eastAsia="宋体" w:cs="Times New Roman"/>
                      <w:color w:val="auto"/>
                      <w:kern w:val="0"/>
                      <w:sz w:val="21"/>
                      <w:szCs w:val="21"/>
                      <w:highlight w:val="none"/>
                    </w:rPr>
                    <w:t>厂区供热</w:t>
                  </w:r>
                  <w:r>
                    <w:rPr>
                      <w:rFonts w:hint="default" w:ascii="Times New Roman" w:hAnsi="Times New Roman" w:eastAsia="宋体" w:cs="Times New Roman"/>
                      <w:color w:val="auto"/>
                      <w:kern w:val="0"/>
                      <w:sz w:val="21"/>
                      <w:szCs w:val="21"/>
                      <w:highlight w:val="none"/>
                      <w:lang w:val="en-US" w:eastAsia="zh-CN"/>
                    </w:rPr>
                    <w:t>及生产所用的蒸汽</w:t>
                  </w:r>
                  <w:r>
                    <w:rPr>
                      <w:rFonts w:hint="eastAsia" w:ascii="Times New Roman" w:hAnsi="Times New Roman" w:cs="Times New Roman"/>
                      <w:color w:val="auto"/>
                      <w:kern w:val="0"/>
                      <w:sz w:val="21"/>
                      <w:szCs w:val="21"/>
                      <w:highlight w:val="none"/>
                      <w:lang w:val="en-US" w:eastAsia="zh-CN"/>
                    </w:rPr>
                    <w:t>由</w:t>
                  </w:r>
                  <w:r>
                    <w:rPr>
                      <w:rFonts w:hint="default" w:ascii="Times New Roman" w:hAnsi="Times New Roman" w:eastAsia="宋体" w:cs="Times New Roman"/>
                      <w:color w:val="auto"/>
                      <w:sz w:val="21"/>
                      <w:szCs w:val="21"/>
                      <w:highlight w:val="none"/>
                      <w:lang w:val="en-US" w:eastAsia="zh-CN"/>
                    </w:rPr>
                    <w:t>园区集中供汽；</w:t>
                  </w:r>
                </w:p>
              </w:tc>
              <w:tc>
                <w:tcPr>
                  <w:tcW w:w="519" w:type="pct"/>
                  <w:vMerge w:val="restart"/>
                  <w:tcBorders>
                    <w:tl2br w:val="nil"/>
                    <w:tr2bl w:val="nil"/>
                  </w:tcBorders>
                  <w:noWrap w:val="0"/>
                  <w:vAlign w:val="center"/>
                </w:tcPr>
                <w:p w14:paraId="0E369214">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导热油炉已建成，厂区供热及蒸汽利用集中供热，本项目建设锅炉作为煤矸石电厂停产期使用。</w:t>
                  </w:r>
                </w:p>
              </w:tc>
            </w:tr>
            <w:tr w14:paraId="6C03AD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0F1F775D">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3A3D8D36">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0D6CF918">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生活及厂房供热</w:t>
                  </w:r>
                </w:p>
              </w:tc>
              <w:tc>
                <w:tcPr>
                  <w:tcW w:w="2706" w:type="pct"/>
                  <w:vMerge w:val="continue"/>
                  <w:tcBorders>
                    <w:tl2br w:val="nil"/>
                    <w:tr2bl w:val="nil"/>
                  </w:tcBorders>
                  <w:noWrap w:val="0"/>
                  <w:vAlign w:val="center"/>
                </w:tcPr>
                <w:p w14:paraId="3B5035D9">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519" w:type="pct"/>
                  <w:vMerge w:val="continue"/>
                  <w:tcBorders>
                    <w:tl2br w:val="nil"/>
                    <w:tr2bl w:val="nil"/>
                  </w:tcBorders>
                  <w:noWrap w:val="0"/>
                  <w:vAlign w:val="center"/>
                </w:tcPr>
                <w:p w14:paraId="364D94F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76DCBD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25F167F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tcBorders>
                    <w:tl2br w:val="nil"/>
                    <w:tr2bl w:val="nil"/>
                  </w:tcBorders>
                  <w:noWrap w:val="0"/>
                  <w:vAlign w:val="center"/>
                </w:tcPr>
                <w:p w14:paraId="02D12A1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供汽</w:t>
                  </w:r>
                </w:p>
              </w:tc>
              <w:tc>
                <w:tcPr>
                  <w:tcW w:w="561" w:type="pct"/>
                  <w:gridSpan w:val="2"/>
                  <w:tcBorders>
                    <w:tl2br w:val="nil"/>
                    <w:tr2bl w:val="nil"/>
                  </w:tcBorders>
                  <w:noWrap w:val="0"/>
                  <w:vAlign w:val="center"/>
                </w:tcPr>
                <w:p w14:paraId="2E3C692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生产用汽</w:t>
                  </w:r>
                </w:p>
              </w:tc>
              <w:tc>
                <w:tcPr>
                  <w:tcW w:w="2706" w:type="pct"/>
                  <w:vMerge w:val="continue"/>
                  <w:tcBorders>
                    <w:tl2br w:val="nil"/>
                    <w:tr2bl w:val="nil"/>
                  </w:tcBorders>
                  <w:noWrap w:val="0"/>
                  <w:vAlign w:val="center"/>
                </w:tcPr>
                <w:p w14:paraId="5EFD0F1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19" w:type="pct"/>
                  <w:vMerge w:val="continue"/>
                  <w:tcBorders>
                    <w:tl2br w:val="nil"/>
                    <w:tr2bl w:val="nil"/>
                  </w:tcBorders>
                  <w:noWrap w:val="0"/>
                  <w:vAlign w:val="center"/>
                </w:tcPr>
                <w:p w14:paraId="387EFCF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6D68B3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0F7DD25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tcBorders>
                    <w:tl2br w:val="nil"/>
                    <w:tr2bl w:val="nil"/>
                  </w:tcBorders>
                  <w:noWrap w:val="0"/>
                  <w:vAlign w:val="center"/>
                </w:tcPr>
                <w:p w14:paraId="68A2B2FF">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供电</w:t>
                  </w:r>
                </w:p>
              </w:tc>
              <w:tc>
                <w:tcPr>
                  <w:tcW w:w="561" w:type="pct"/>
                  <w:gridSpan w:val="2"/>
                  <w:tcBorders>
                    <w:tl2br w:val="nil"/>
                    <w:tr2bl w:val="nil"/>
                  </w:tcBorders>
                  <w:noWrap w:val="0"/>
                  <w:vAlign w:val="center"/>
                </w:tcPr>
                <w:p w14:paraId="2901E42D">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电源</w:t>
                  </w:r>
                </w:p>
              </w:tc>
              <w:tc>
                <w:tcPr>
                  <w:tcW w:w="2706" w:type="pct"/>
                  <w:tcBorders>
                    <w:tl2br w:val="nil"/>
                    <w:tr2bl w:val="nil"/>
                  </w:tcBorders>
                  <w:noWrap w:val="0"/>
                  <w:vAlign w:val="center"/>
                </w:tcPr>
                <w:p w14:paraId="5E88A35E">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工业园区两路10KV供电线路，进线方向设在厂区北侧厂区总配电室内。厂区总配电室内</w:t>
                  </w:r>
                  <w:r>
                    <w:rPr>
                      <w:rFonts w:hint="eastAsia" w:ascii="Times New Roman" w:hAnsi="Times New Roman" w:cs="Times New Roman"/>
                      <w:color w:val="auto"/>
                      <w:kern w:val="0"/>
                      <w:sz w:val="21"/>
                      <w:szCs w:val="21"/>
                      <w:highlight w:val="none"/>
                      <w:lang w:eastAsia="zh-CN"/>
                    </w:rPr>
                    <w:t>设置</w:t>
                  </w:r>
                  <w:r>
                    <w:rPr>
                      <w:rFonts w:hint="default" w:ascii="Times New Roman" w:hAnsi="Times New Roman" w:eastAsia="宋体" w:cs="Times New Roman"/>
                      <w:color w:val="auto"/>
                      <w:kern w:val="0"/>
                      <w:sz w:val="21"/>
                      <w:szCs w:val="21"/>
                      <w:highlight w:val="none"/>
                    </w:rPr>
                    <w:t>KYN28-10型高压配电柜，经总配电间引出至厂区各区域配电室，0.4kV低压侧线路为整个厂区供电，为厂内生产及生活供电；</w:t>
                  </w:r>
                </w:p>
              </w:tc>
              <w:tc>
                <w:tcPr>
                  <w:tcW w:w="519" w:type="pct"/>
                  <w:tcBorders>
                    <w:tl2br w:val="nil"/>
                    <w:tr2bl w:val="nil"/>
                  </w:tcBorders>
                  <w:noWrap w:val="0"/>
                  <w:vAlign w:val="center"/>
                </w:tcPr>
                <w:p w14:paraId="375C11BE">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已建设</w:t>
                  </w:r>
                </w:p>
              </w:tc>
            </w:tr>
            <w:tr w14:paraId="336315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361C903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tcBorders>
                    <w:tl2br w:val="nil"/>
                    <w:tr2bl w:val="nil"/>
                  </w:tcBorders>
                  <w:noWrap w:val="0"/>
                  <w:vAlign w:val="center"/>
                </w:tcPr>
                <w:p w14:paraId="198CA4BD">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消防</w:t>
                  </w:r>
                </w:p>
              </w:tc>
              <w:tc>
                <w:tcPr>
                  <w:tcW w:w="561" w:type="pct"/>
                  <w:gridSpan w:val="2"/>
                  <w:tcBorders>
                    <w:tl2br w:val="nil"/>
                    <w:tr2bl w:val="nil"/>
                  </w:tcBorders>
                  <w:noWrap w:val="0"/>
                  <w:vAlign w:val="center"/>
                </w:tcPr>
                <w:p w14:paraId="61B2574B">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厂内消防系统</w:t>
                  </w:r>
                </w:p>
              </w:tc>
              <w:tc>
                <w:tcPr>
                  <w:tcW w:w="2706" w:type="pct"/>
                  <w:tcBorders>
                    <w:tl2br w:val="nil"/>
                    <w:tr2bl w:val="nil"/>
                  </w:tcBorders>
                  <w:noWrap w:val="0"/>
                  <w:vAlign w:val="center"/>
                </w:tcPr>
                <w:p w14:paraId="18726133">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新建2座有效容积为600m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rPr>
                    <w:t>的消防水池，总有效容积为1200m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设1台型号为 XBD7.6/60-200的电动消防冷却水泵</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厂区生产车间及其它建筑物内配</w:t>
                  </w:r>
                  <w:r>
                    <w:rPr>
                      <w:rFonts w:hint="default" w:ascii="Times New Roman" w:hAnsi="Times New Roman" w:eastAsia="宋体" w:cs="Times New Roman"/>
                      <w:color w:val="auto"/>
                      <w:sz w:val="21"/>
                      <w:szCs w:val="21"/>
                      <w:highlight w:val="none"/>
                    </w:rPr>
                    <w:t>磷酸铵盐干粉灭火器</w:t>
                  </w:r>
                  <w:r>
                    <w:rPr>
                      <w:rFonts w:hint="default" w:ascii="Times New Roman" w:hAnsi="Times New Roman" w:eastAsia="宋体" w:cs="Times New Roman"/>
                      <w:color w:val="auto"/>
                      <w:sz w:val="21"/>
                      <w:szCs w:val="21"/>
                      <w:highlight w:val="none"/>
                      <w:lang w:eastAsia="zh-CN"/>
                    </w:rPr>
                    <w:t>；</w:t>
                  </w:r>
                </w:p>
              </w:tc>
              <w:tc>
                <w:tcPr>
                  <w:tcW w:w="519" w:type="pct"/>
                  <w:tcBorders>
                    <w:tl2br w:val="nil"/>
                    <w:tr2bl w:val="nil"/>
                  </w:tcBorders>
                  <w:noWrap w:val="0"/>
                  <w:vAlign w:val="center"/>
                </w:tcPr>
                <w:p w14:paraId="3C6B2265">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土建已建设</w:t>
                  </w:r>
                </w:p>
              </w:tc>
            </w:tr>
            <w:tr w14:paraId="02D264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1F5D03F6">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tcBorders>
                    <w:tl2br w:val="nil"/>
                    <w:tr2bl w:val="nil"/>
                  </w:tcBorders>
                  <w:noWrap w:val="0"/>
                  <w:vAlign w:val="center"/>
                </w:tcPr>
                <w:p w14:paraId="7F4114D2">
                  <w:pPr>
                    <w:keepNext w:val="0"/>
                    <w:keepLines w:val="0"/>
                    <w:pageBreakBefore w:val="0"/>
                    <w:kinsoku w:val="0"/>
                    <w:wordWrap/>
                    <w:overflowPunct w:val="0"/>
                    <w:topLinePunct w:val="0"/>
                    <w:autoSpaceDE w:val="0"/>
                    <w:autoSpaceDN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排风</w:t>
                  </w:r>
                </w:p>
              </w:tc>
              <w:tc>
                <w:tcPr>
                  <w:tcW w:w="561" w:type="pct"/>
                  <w:gridSpan w:val="2"/>
                  <w:tcBorders>
                    <w:tl2br w:val="nil"/>
                    <w:tr2bl w:val="nil"/>
                  </w:tcBorders>
                  <w:noWrap w:val="0"/>
                  <w:vAlign w:val="center"/>
                </w:tcPr>
                <w:p w14:paraId="78041874">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装置及频次</w:t>
                  </w:r>
                </w:p>
              </w:tc>
              <w:tc>
                <w:tcPr>
                  <w:tcW w:w="2706" w:type="pct"/>
                  <w:tcBorders>
                    <w:tl2br w:val="nil"/>
                    <w:tr2bl w:val="nil"/>
                  </w:tcBorders>
                  <w:noWrap w:val="0"/>
                  <w:vAlign w:val="center"/>
                </w:tcPr>
                <w:p w14:paraId="1EF00E5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机械式排风系统，</w:t>
                  </w:r>
                  <w:r>
                    <w:rPr>
                      <w:rFonts w:hint="default" w:ascii="Times New Roman" w:hAnsi="Times New Roman" w:eastAsia="宋体" w:cs="Times New Roman"/>
                      <w:color w:val="auto"/>
                      <w:sz w:val="21"/>
                      <w:szCs w:val="21"/>
                      <w:highlight w:val="none"/>
                    </w:rPr>
                    <w:t>污水处理设置机械通风装置</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通风换气量</w:t>
                  </w:r>
                  <w:r>
                    <w:rPr>
                      <w:rFonts w:hint="default" w:ascii="Times New Roman" w:hAnsi="Times New Roman" w:eastAsia="宋体" w:cs="Times New Roman"/>
                      <w:color w:val="auto"/>
                      <w:sz w:val="21"/>
                      <w:szCs w:val="21"/>
                      <w:highlight w:val="none"/>
                      <w:lang w:val="en-US" w:eastAsia="zh-CN"/>
                    </w:rPr>
                    <w:t>为</w:t>
                  </w:r>
                  <w:r>
                    <w:rPr>
                      <w:rFonts w:hint="default" w:ascii="Times New Roman" w:hAnsi="Times New Roman" w:eastAsia="宋体" w:cs="Times New Roman"/>
                      <w:color w:val="auto"/>
                      <w:sz w:val="21"/>
                      <w:szCs w:val="21"/>
                      <w:highlight w:val="none"/>
                    </w:rPr>
                    <w:t>8次/</w:t>
                  </w:r>
                  <w:r>
                    <w:rPr>
                      <w:rFonts w:hint="default" w:ascii="Times New Roman" w:hAnsi="Times New Roman" w:eastAsia="宋体"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甲类生产车间、乙类生产车间、甲类仓库、设置事故通风装置，通风换气量按12次/</w:t>
                  </w:r>
                  <w:r>
                    <w:rPr>
                      <w:rFonts w:hint="default" w:ascii="Times New Roman" w:hAnsi="Times New Roman" w:eastAsia="宋体"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lang w:eastAsia="zh-CN"/>
                    </w:rPr>
                    <w:t>；</w:t>
                  </w:r>
                </w:p>
              </w:tc>
              <w:tc>
                <w:tcPr>
                  <w:tcW w:w="519" w:type="pct"/>
                  <w:tcBorders>
                    <w:tl2br w:val="nil"/>
                    <w:tr2bl w:val="nil"/>
                  </w:tcBorders>
                  <w:noWrap w:val="0"/>
                  <w:vAlign w:val="center"/>
                </w:tcPr>
                <w:p w14:paraId="3EBFEBF9">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未建设</w:t>
                  </w:r>
                </w:p>
              </w:tc>
            </w:tr>
            <w:tr w14:paraId="6A2562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85" w:hRule="atLeast"/>
                <w:jc w:val="center"/>
              </w:trPr>
              <w:tc>
                <w:tcPr>
                  <w:tcW w:w="660" w:type="pct"/>
                  <w:vMerge w:val="restart"/>
                  <w:tcBorders>
                    <w:tl2br w:val="nil"/>
                    <w:tr2bl w:val="nil"/>
                  </w:tcBorders>
                  <w:noWrap w:val="0"/>
                  <w:vAlign w:val="center"/>
                </w:tcPr>
                <w:p w14:paraId="534AA865">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依托工程</w:t>
                  </w:r>
                </w:p>
              </w:tc>
              <w:tc>
                <w:tcPr>
                  <w:tcW w:w="552" w:type="pct"/>
                  <w:gridSpan w:val="2"/>
                  <w:tcBorders>
                    <w:tl2br w:val="nil"/>
                    <w:tr2bl w:val="nil"/>
                  </w:tcBorders>
                  <w:noWrap w:val="0"/>
                  <w:vAlign w:val="center"/>
                </w:tcPr>
                <w:p w14:paraId="438D39C4">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w:t>
                  </w:r>
                </w:p>
                <w:p w14:paraId="03584518">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依托</w:t>
                  </w:r>
                </w:p>
              </w:tc>
              <w:tc>
                <w:tcPr>
                  <w:tcW w:w="561" w:type="pct"/>
                  <w:gridSpan w:val="2"/>
                  <w:tcBorders>
                    <w:tl2br w:val="nil"/>
                    <w:tr2bl w:val="nil"/>
                  </w:tcBorders>
                  <w:noWrap w:val="0"/>
                  <w:vAlign w:val="center"/>
                </w:tcPr>
                <w:p w14:paraId="3AEADCA0">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梨树工业谷</w:t>
                  </w:r>
                </w:p>
                <w:p w14:paraId="7E089FB7">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污水处理厂</w:t>
                  </w:r>
                </w:p>
              </w:tc>
              <w:tc>
                <w:tcPr>
                  <w:tcW w:w="2706" w:type="pct"/>
                  <w:tcBorders>
                    <w:tl2br w:val="nil"/>
                    <w:tr2bl w:val="nil"/>
                  </w:tcBorders>
                  <w:noWrap w:val="0"/>
                  <w:vAlign w:val="center"/>
                </w:tcPr>
                <w:p w14:paraId="2AC520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工业谷污水处理厂近期处理规模为0.8万m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/d（本期污水量为639.075m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rPr>
                    <w:t>占处理能力的7.98%</w:t>
                  </w:r>
                  <w:r>
                    <w:rPr>
                      <w:rFonts w:hint="default" w:ascii="Times New Roman" w:hAnsi="Times New Roman" w:eastAsia="宋体" w:cs="Times New Roman"/>
                      <w:color w:val="auto"/>
                      <w:sz w:val="21"/>
                      <w:szCs w:val="21"/>
                      <w:highlight w:val="none"/>
                      <w:lang w:val="en-US" w:eastAsia="zh-CN"/>
                    </w:rPr>
                    <w:t>），采用“预处理（粗格栅、提升泵房、细格栅、曝气沉砂）+强化预处理（催化水解酸化）+二级生物处理（多级AO工艺，MBBR）+深度处理（芬顿氧化、高密度沉淀、滤布滤池）+次氯酸钠消毒”的处理工艺；除臭工艺为离子除臭。污水处理厂出水满足《城镇污水处理厂污染物排放标准》（GB18918-2002） 中的一级A标准，排入穆棱河。该污水处理厂目前主体施工已完毕，并</w:t>
                  </w:r>
                  <w:r>
                    <w:rPr>
                      <w:rFonts w:hint="default" w:ascii="Times New Roman" w:hAnsi="Times New Roman" w:eastAsia="宋体" w:cs="Times New Roman"/>
                      <w:color w:val="auto"/>
                      <w:sz w:val="21"/>
                      <w:szCs w:val="21"/>
                      <w:highlight w:val="none"/>
                    </w:rPr>
                    <w:t>由</w:t>
                  </w:r>
                  <w:r>
                    <w:rPr>
                      <w:rFonts w:hint="default" w:ascii="Times New Roman" w:hAnsi="Times New Roman" w:eastAsia="宋体" w:cs="Times New Roman"/>
                      <w:color w:val="auto"/>
                      <w:sz w:val="21"/>
                      <w:szCs w:val="21"/>
                      <w:highlight w:val="none"/>
                      <w:lang w:val="en-US" w:eastAsia="zh-CN"/>
                    </w:rPr>
                    <w:t>水发规划设计有限公司</w:t>
                  </w:r>
                  <w:r>
                    <w:rPr>
                      <w:rFonts w:hint="default" w:ascii="Times New Roman" w:hAnsi="Times New Roman" w:eastAsia="宋体" w:cs="Times New Roman"/>
                      <w:color w:val="auto"/>
                      <w:sz w:val="21"/>
                      <w:szCs w:val="21"/>
                      <w:highlight w:val="none"/>
                    </w:rPr>
                    <w:t>编制完成《梨树工业谷污水处理项目环境影响报告书》</w:t>
                  </w:r>
                  <w:r>
                    <w:rPr>
                      <w:rFonts w:hint="default" w:ascii="Times New Roman" w:hAnsi="Times New Roman" w:eastAsia="宋体" w:cs="Times New Roman"/>
                      <w:color w:val="auto"/>
                      <w:sz w:val="21"/>
                      <w:szCs w:val="21"/>
                      <w:highlight w:val="none"/>
                      <w:lang w:val="en-US" w:eastAsia="zh-CN"/>
                    </w:rPr>
                    <w:t>并上报鸡西市生态环境局进行审批</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预计本工程投产前，污水处理厂可投产并稳定运行；</w:t>
                  </w:r>
                </w:p>
              </w:tc>
              <w:tc>
                <w:tcPr>
                  <w:tcW w:w="519" w:type="pct"/>
                  <w:tcBorders>
                    <w:tl2br w:val="nil"/>
                    <w:tr2bl w:val="nil"/>
                  </w:tcBorders>
                  <w:noWrap w:val="0"/>
                  <w:vAlign w:val="center"/>
                </w:tcPr>
                <w:p w14:paraId="0191A82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已建成，具备依托条件</w:t>
                  </w:r>
                </w:p>
              </w:tc>
            </w:tr>
            <w:tr w14:paraId="4AF93F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85" w:hRule="atLeast"/>
                <w:jc w:val="center"/>
              </w:trPr>
              <w:tc>
                <w:tcPr>
                  <w:tcW w:w="660" w:type="pct"/>
                  <w:vMerge w:val="continue"/>
                  <w:tcBorders>
                    <w:tl2br w:val="nil"/>
                    <w:tr2bl w:val="nil"/>
                  </w:tcBorders>
                  <w:noWrap w:val="0"/>
                  <w:vAlign w:val="center"/>
                </w:tcPr>
                <w:p w14:paraId="7373C355">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52" w:type="pct"/>
                  <w:gridSpan w:val="2"/>
                  <w:tcBorders>
                    <w:tl2br w:val="nil"/>
                    <w:tr2bl w:val="nil"/>
                  </w:tcBorders>
                  <w:noWrap w:val="0"/>
                  <w:vAlign w:val="center"/>
                </w:tcPr>
                <w:p w14:paraId="16AC0D57">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供热供</w:t>
                  </w:r>
                </w:p>
                <w:p w14:paraId="425460D6">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汽依托</w:t>
                  </w:r>
                </w:p>
              </w:tc>
              <w:tc>
                <w:tcPr>
                  <w:tcW w:w="561" w:type="pct"/>
                  <w:gridSpan w:val="2"/>
                  <w:tcBorders>
                    <w:tl2br w:val="nil"/>
                    <w:tr2bl w:val="nil"/>
                  </w:tcBorders>
                  <w:noWrap w:val="0"/>
                  <w:vAlign w:val="center"/>
                </w:tcPr>
                <w:p w14:paraId="5F687DA4">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鸡西盛隆有限责任公司煤矸石电厂</w:t>
                  </w:r>
                </w:p>
              </w:tc>
              <w:tc>
                <w:tcPr>
                  <w:tcW w:w="2706" w:type="pct"/>
                  <w:tcBorders>
                    <w:tl2br w:val="nil"/>
                    <w:tr2bl w:val="nil"/>
                  </w:tcBorders>
                  <w:noWrap w:val="0"/>
                  <w:vAlign w:val="center"/>
                </w:tcPr>
                <w:p w14:paraId="2582D71D">
                  <w:pPr>
                    <w:keepNext w:val="0"/>
                    <w:keepLines w:val="0"/>
                    <w:pageBreakBefore w:val="0"/>
                    <w:widowControl w:val="0"/>
                    <w:kinsoku w:val="0"/>
                    <w:wordWrap/>
                    <w:overflowPunct w:val="0"/>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沈阳焦煤鸡西盛隆有限责任公司煤矸石电厂已建成2台75吨循环流化床锅炉，1台C6-4.9/0.49抽凝式和1台ENK32/45/20抽凝式汽轮发电机组，为园区内企业供汽、供热；</w:t>
                  </w:r>
                </w:p>
              </w:tc>
              <w:tc>
                <w:tcPr>
                  <w:tcW w:w="519" w:type="pct"/>
                  <w:tcBorders>
                    <w:tl2br w:val="nil"/>
                    <w:tr2bl w:val="nil"/>
                  </w:tcBorders>
                  <w:noWrap w:val="0"/>
                  <w:vAlign w:val="center"/>
                </w:tcPr>
                <w:p w14:paraId="6605365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未建设</w:t>
                  </w:r>
                </w:p>
              </w:tc>
            </w:tr>
            <w:tr w14:paraId="3E98AC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restart"/>
                  <w:tcBorders>
                    <w:tl2br w:val="nil"/>
                    <w:tr2bl w:val="nil"/>
                  </w:tcBorders>
                  <w:noWrap w:val="0"/>
                  <w:vAlign w:val="center"/>
                </w:tcPr>
                <w:p w14:paraId="6ADF0F83">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环保工程</w:t>
                  </w:r>
                </w:p>
              </w:tc>
              <w:tc>
                <w:tcPr>
                  <w:tcW w:w="552" w:type="pct"/>
                  <w:gridSpan w:val="2"/>
                  <w:vMerge w:val="restart"/>
                  <w:tcBorders>
                    <w:tl2br w:val="nil"/>
                    <w:tr2bl w:val="nil"/>
                  </w:tcBorders>
                  <w:noWrap w:val="0"/>
                  <w:vAlign w:val="center"/>
                </w:tcPr>
                <w:p w14:paraId="5B311B09">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有无组织</w:t>
                  </w:r>
                  <w:r>
                    <w:rPr>
                      <w:rFonts w:hint="default" w:ascii="Times New Roman" w:hAnsi="Times New Roman" w:eastAsia="宋体" w:cs="Times New Roman"/>
                      <w:color w:val="auto"/>
                      <w:sz w:val="21"/>
                      <w:szCs w:val="21"/>
                      <w:highlight w:val="none"/>
                    </w:rPr>
                    <w:t>废气</w:t>
                  </w:r>
                </w:p>
              </w:tc>
              <w:tc>
                <w:tcPr>
                  <w:tcW w:w="561" w:type="pct"/>
                  <w:gridSpan w:val="2"/>
                  <w:tcBorders>
                    <w:tl2br w:val="nil"/>
                    <w:tr2bl w:val="nil"/>
                  </w:tcBorders>
                  <w:noWrap w:val="0"/>
                  <w:vAlign w:val="center"/>
                </w:tcPr>
                <w:p w14:paraId="737F92E5">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301车间废气</w:t>
                  </w:r>
                </w:p>
              </w:tc>
              <w:tc>
                <w:tcPr>
                  <w:tcW w:w="2706" w:type="pct"/>
                  <w:tcBorders>
                    <w:tl2br w:val="nil"/>
                    <w:tr2bl w:val="nil"/>
                  </w:tcBorders>
                  <w:noWrap w:val="0"/>
                  <w:vAlign w:val="center"/>
                </w:tcPr>
                <w:p w14:paraId="40EF153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车间为全封闭式，反应釜及连接管线设备全封闭，并且釜内采用负压状态。投料、备料工序上方设置集气装置，收集效率为90%，产生的投料废气、烘干（干燥）废气由10000m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/h引风机送入</w:t>
                  </w:r>
                  <w:r>
                    <w:rPr>
                      <w:rFonts w:hint="eastAsia" w:ascii="Times New Roman" w:hAnsi="Times New Roman" w:cs="Times New Roman"/>
                      <w:color w:val="auto"/>
                      <w:sz w:val="21"/>
                      <w:szCs w:val="21"/>
                      <w:highlight w:val="none"/>
                      <w:lang w:val="en-US" w:eastAsia="zh-CN"/>
                    </w:rPr>
                    <w:t>布袋除尘器</w:t>
                  </w:r>
                  <w:r>
                    <w:rPr>
                      <w:rFonts w:hint="default" w:ascii="Times New Roman" w:hAnsi="Times New Roman" w:eastAsia="宋体" w:cs="Times New Roman"/>
                      <w:color w:val="auto"/>
                      <w:sz w:val="21"/>
                      <w:szCs w:val="21"/>
                      <w:highlight w:val="none"/>
                      <w:lang w:val="en-US" w:eastAsia="zh-CN"/>
                    </w:rPr>
                    <w:t>处理后，经26m高排气筒（DA001）排放，高效</w:t>
                  </w:r>
                  <w:r>
                    <w:rPr>
                      <w:rFonts w:hint="eastAsia" w:ascii="Times New Roman" w:hAnsi="Times New Roman" w:cs="Times New Roman"/>
                      <w:color w:val="auto"/>
                      <w:sz w:val="21"/>
                      <w:szCs w:val="21"/>
                      <w:highlight w:val="none"/>
                      <w:lang w:val="en-US" w:eastAsia="zh-CN"/>
                    </w:rPr>
                    <w:t>布袋除尘器</w:t>
                  </w:r>
                  <w:r>
                    <w:rPr>
                      <w:rFonts w:hint="default" w:ascii="Times New Roman" w:hAnsi="Times New Roman" w:eastAsia="宋体" w:cs="Times New Roman"/>
                      <w:color w:val="auto"/>
                      <w:sz w:val="21"/>
                      <w:szCs w:val="21"/>
                      <w:highlight w:val="none"/>
                      <w:lang w:val="en-US" w:eastAsia="zh-CN"/>
                    </w:rPr>
                    <w:t>对颗粒物的去除率可达到99.9%；反应过程产生的酸性废气、有机废气通过10000m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/h引风机送入车间废气处理系统（二级降膜水吸收+二级碱液吸收+除湿除雾+活性炭吸附）后，经26m排气筒（DA002）排放，废气处理系统对硫酸雾、氯化氢的去除效率为99.8%，对NMHC的去除效率为98%；</w:t>
                  </w:r>
                </w:p>
              </w:tc>
              <w:tc>
                <w:tcPr>
                  <w:tcW w:w="519" w:type="pct"/>
                  <w:tcBorders>
                    <w:tl2br w:val="nil"/>
                    <w:tr2bl w:val="nil"/>
                  </w:tcBorders>
                  <w:noWrap w:val="0"/>
                  <w:vAlign w:val="center"/>
                </w:tcPr>
                <w:p w14:paraId="26666F33">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DA001治理措施改为旋风除尘+布袋除尘</w:t>
                  </w:r>
                </w:p>
              </w:tc>
            </w:tr>
            <w:tr w14:paraId="2C8CFE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7787D446">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7D3A7144">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54E3AFE5">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401车间废气</w:t>
                  </w:r>
                </w:p>
              </w:tc>
              <w:tc>
                <w:tcPr>
                  <w:tcW w:w="2706" w:type="pct"/>
                  <w:tcBorders>
                    <w:tl2br w:val="nil"/>
                    <w:tr2bl w:val="nil"/>
                  </w:tcBorders>
                  <w:noWrap w:val="0"/>
                  <w:vAlign w:val="center"/>
                </w:tcPr>
                <w:p w14:paraId="6EEE56F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生产过程中车间为全封闭式，反应釜及连接管线设备全封闭，并且釜内采用负压状态。投料工序上方设置集气装置，收集效率为90%，产生的投料废气、干燥废气由10000m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/h引风机送入</w:t>
                  </w:r>
                  <w:r>
                    <w:rPr>
                      <w:rFonts w:hint="eastAsia" w:ascii="Times New Roman" w:hAnsi="Times New Roman" w:cs="Times New Roman"/>
                      <w:color w:val="auto"/>
                      <w:sz w:val="21"/>
                      <w:szCs w:val="21"/>
                      <w:highlight w:val="none"/>
                      <w:lang w:val="en-US" w:eastAsia="zh-CN"/>
                    </w:rPr>
                    <w:t>布袋除尘器</w:t>
                  </w:r>
                  <w:r>
                    <w:rPr>
                      <w:rFonts w:hint="default" w:ascii="Times New Roman" w:hAnsi="Times New Roman" w:eastAsia="宋体" w:cs="Times New Roman"/>
                      <w:color w:val="auto"/>
                      <w:sz w:val="21"/>
                      <w:szCs w:val="21"/>
                      <w:highlight w:val="none"/>
                      <w:lang w:val="en-US" w:eastAsia="zh-CN"/>
                    </w:rPr>
                    <w:t>处理后，经26m高排气筒（DA003）排放，高效</w:t>
                  </w:r>
                  <w:r>
                    <w:rPr>
                      <w:rFonts w:hint="eastAsia" w:ascii="Times New Roman" w:hAnsi="Times New Roman" w:cs="Times New Roman"/>
                      <w:color w:val="auto"/>
                      <w:sz w:val="21"/>
                      <w:szCs w:val="21"/>
                      <w:highlight w:val="none"/>
                      <w:lang w:val="en-US" w:eastAsia="zh-CN"/>
                    </w:rPr>
                    <w:t>布袋除尘器</w:t>
                  </w:r>
                  <w:r>
                    <w:rPr>
                      <w:rFonts w:hint="default" w:ascii="Times New Roman" w:hAnsi="Times New Roman" w:eastAsia="宋体" w:cs="Times New Roman"/>
                      <w:color w:val="auto"/>
                      <w:sz w:val="21"/>
                      <w:szCs w:val="21"/>
                      <w:highlight w:val="none"/>
                      <w:lang w:val="en-US" w:eastAsia="zh-CN"/>
                    </w:rPr>
                    <w:t>对颗粒物的去除率可达到99.9%；反应釜内产生的酸性废气、有机废气通过30000m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引风机送入车间废气处理系统（二级降膜水吸收+二级碱液吸收+除湿除雾+活性炭吸附）后，经26m排气筒（DA004）排放，废气处理系统对硫酸雾、氯化氢、乙酸的去除效率为99.8%，对苯胺类的去除效率为95%，对NMHC的去除效率为98%；</w:t>
                  </w:r>
                </w:p>
              </w:tc>
              <w:tc>
                <w:tcPr>
                  <w:tcW w:w="519" w:type="pct"/>
                  <w:tcBorders>
                    <w:tl2br w:val="nil"/>
                    <w:tr2bl w:val="nil"/>
                  </w:tcBorders>
                  <w:noWrap w:val="0"/>
                  <w:vAlign w:val="center"/>
                </w:tcPr>
                <w:p w14:paraId="45DCBB0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未建设</w:t>
                  </w:r>
                </w:p>
              </w:tc>
            </w:tr>
            <w:tr w14:paraId="778135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607DC12A">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1DBDCFA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3CE5A02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501车间废气</w:t>
                  </w:r>
                </w:p>
              </w:tc>
              <w:tc>
                <w:tcPr>
                  <w:tcW w:w="2706" w:type="pct"/>
                  <w:tcBorders>
                    <w:tl2br w:val="nil"/>
                    <w:tr2bl w:val="nil"/>
                  </w:tcBorders>
                  <w:noWrap w:val="0"/>
                  <w:vAlign w:val="center"/>
                </w:tcPr>
                <w:p w14:paraId="3B4168B6">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生产过程中车间为全封闭式，反应釜及连接管线设备全封闭，并且釜内采用负压状态。投料工序上方设置集气装置，收集效率为90%，产生的投料废气、干燥废气由10000m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/h引风机送入</w:t>
                  </w:r>
                  <w:r>
                    <w:rPr>
                      <w:rFonts w:hint="eastAsia" w:ascii="Times New Roman" w:hAnsi="Times New Roman" w:cs="Times New Roman"/>
                      <w:color w:val="auto"/>
                      <w:sz w:val="21"/>
                      <w:szCs w:val="21"/>
                      <w:highlight w:val="none"/>
                      <w:lang w:val="en-US" w:eastAsia="zh-CN"/>
                    </w:rPr>
                    <w:t>布袋除尘器</w:t>
                  </w:r>
                  <w:r>
                    <w:rPr>
                      <w:rFonts w:hint="default" w:ascii="Times New Roman" w:hAnsi="Times New Roman" w:eastAsia="宋体" w:cs="Times New Roman"/>
                      <w:color w:val="auto"/>
                      <w:sz w:val="21"/>
                      <w:szCs w:val="21"/>
                      <w:highlight w:val="none"/>
                      <w:lang w:val="en-US" w:eastAsia="zh-CN"/>
                    </w:rPr>
                    <w:t>处理后，经26m高排气筒（DA005）排放，高效</w:t>
                  </w:r>
                  <w:r>
                    <w:rPr>
                      <w:rFonts w:hint="eastAsia" w:ascii="Times New Roman" w:hAnsi="Times New Roman" w:cs="Times New Roman"/>
                      <w:color w:val="auto"/>
                      <w:sz w:val="21"/>
                      <w:szCs w:val="21"/>
                      <w:highlight w:val="none"/>
                      <w:lang w:val="en-US" w:eastAsia="zh-CN"/>
                    </w:rPr>
                    <w:t>布袋除尘器</w:t>
                  </w:r>
                  <w:r>
                    <w:rPr>
                      <w:rFonts w:hint="default" w:ascii="Times New Roman" w:hAnsi="Times New Roman" w:eastAsia="宋体" w:cs="Times New Roman"/>
                      <w:color w:val="auto"/>
                      <w:sz w:val="21"/>
                      <w:szCs w:val="21"/>
                      <w:highlight w:val="none"/>
                      <w:lang w:val="en-US" w:eastAsia="zh-CN"/>
                    </w:rPr>
                    <w:t>对颗粒物的去除率可达到99.9%，反应釜内产生的酸性废气、有机废气通过30000m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引风机送入车间废气处理系统（二级降膜水吸收+二级碱液吸收+除湿除雾+活性炭吸附）后，经26m排气筒（DA006）排放，废气处理系统对硫酸雾、氯化氢、溴化氢、乙酸、二氧化硫、溴的去除效率为99.8%，对苯胺的去除效率为95%，对NMHC的去除效率为98%</w:t>
                  </w:r>
                  <w:r>
                    <w:rPr>
                      <w:rFonts w:hint="default" w:ascii="Times New Roman" w:hAnsi="Times New Roman" w:eastAsia="宋体" w:cs="Times New Roman"/>
                      <w:color w:val="auto"/>
                      <w:spacing w:val="-1"/>
                      <w:kern w:val="0"/>
                      <w:sz w:val="21"/>
                      <w:szCs w:val="21"/>
                      <w:highlight w:val="none"/>
                    </w:rPr>
                    <w:t>；</w:t>
                  </w:r>
                </w:p>
              </w:tc>
              <w:tc>
                <w:tcPr>
                  <w:tcW w:w="519" w:type="pct"/>
                  <w:tcBorders>
                    <w:tl2br w:val="nil"/>
                    <w:tr2bl w:val="nil"/>
                  </w:tcBorders>
                  <w:noWrap w:val="0"/>
                  <w:vAlign w:val="center"/>
                </w:tcPr>
                <w:p w14:paraId="4F9A0236">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已建成，其中投料废气治理措施为旋风除尘器+旋风除尘器+布袋除尘器</w:t>
                  </w:r>
                </w:p>
              </w:tc>
            </w:tr>
            <w:tr w14:paraId="50E2C3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3" w:hRule="atLeast"/>
                <w:jc w:val="center"/>
              </w:trPr>
              <w:tc>
                <w:tcPr>
                  <w:tcW w:w="660" w:type="pct"/>
                  <w:vMerge w:val="continue"/>
                  <w:tcBorders>
                    <w:tl2br w:val="nil"/>
                    <w:tr2bl w:val="nil"/>
                  </w:tcBorders>
                  <w:noWrap w:val="0"/>
                  <w:vAlign w:val="center"/>
                </w:tcPr>
                <w:p w14:paraId="737FED6B">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6EC066FA">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5EDBA01D">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锅炉废气</w:t>
                  </w:r>
                </w:p>
              </w:tc>
              <w:tc>
                <w:tcPr>
                  <w:tcW w:w="2706" w:type="pct"/>
                  <w:tcBorders>
                    <w:tl2br w:val="nil"/>
                    <w:tr2bl w:val="nil"/>
                  </w:tcBorders>
                  <w:noWrap w:val="0"/>
                  <w:vAlign w:val="center"/>
                </w:tcPr>
                <w:p w14:paraId="5AC7572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经脉冲</w:t>
                  </w:r>
                  <w:r>
                    <w:rPr>
                      <w:rFonts w:hint="eastAsia" w:ascii="Times New Roman" w:hAnsi="Times New Roman" w:cs="Times New Roman"/>
                      <w:color w:val="auto"/>
                      <w:sz w:val="21"/>
                      <w:szCs w:val="21"/>
                      <w:highlight w:val="none"/>
                      <w:lang w:val="en-US" w:eastAsia="zh-CN"/>
                    </w:rPr>
                    <w:t>布袋除尘器</w:t>
                  </w:r>
                  <w:r>
                    <w:rPr>
                      <w:rFonts w:hint="default" w:ascii="Times New Roman" w:hAnsi="Times New Roman" w:eastAsia="宋体" w:cs="Times New Roman"/>
                      <w:color w:val="auto"/>
                      <w:sz w:val="21"/>
                      <w:szCs w:val="21"/>
                      <w:highlight w:val="none"/>
                      <w:lang w:val="en-US" w:eastAsia="zh-CN"/>
                    </w:rPr>
                    <w:t>处理后，经35m高排气筒（DA007）排放，</w:t>
                  </w:r>
                  <w:r>
                    <w:rPr>
                      <w:rFonts w:hint="eastAsia" w:ascii="Times New Roman" w:hAnsi="Times New Roman" w:cs="Times New Roman"/>
                      <w:color w:val="auto"/>
                      <w:sz w:val="21"/>
                      <w:szCs w:val="21"/>
                      <w:highlight w:val="none"/>
                      <w:lang w:val="en-US" w:eastAsia="zh-CN"/>
                    </w:rPr>
                    <w:t>脉冲布袋除尘器</w:t>
                  </w:r>
                  <w:r>
                    <w:rPr>
                      <w:rFonts w:hint="default" w:ascii="Times New Roman" w:hAnsi="Times New Roman" w:eastAsia="宋体" w:cs="Times New Roman"/>
                      <w:color w:val="auto"/>
                      <w:sz w:val="21"/>
                      <w:szCs w:val="21"/>
                      <w:highlight w:val="none"/>
                      <w:lang w:val="en-US" w:eastAsia="zh-CN"/>
                    </w:rPr>
                    <w:t>对颗粒物去除效率为99%</w:t>
                  </w:r>
                  <w:r>
                    <w:rPr>
                      <w:rFonts w:hint="default" w:ascii="Times New Roman" w:hAnsi="Times New Roman" w:eastAsia="宋体" w:cs="Times New Roman"/>
                      <w:color w:val="auto"/>
                      <w:sz w:val="21"/>
                      <w:szCs w:val="21"/>
                      <w:highlight w:val="none"/>
                    </w:rPr>
                    <w:t>；</w:t>
                  </w:r>
                </w:p>
              </w:tc>
              <w:tc>
                <w:tcPr>
                  <w:tcW w:w="519" w:type="pct"/>
                  <w:tcBorders>
                    <w:tl2br w:val="nil"/>
                    <w:tr2bl w:val="nil"/>
                  </w:tcBorders>
                  <w:noWrap w:val="0"/>
                  <w:vAlign w:val="center"/>
                </w:tcPr>
                <w:p w14:paraId="43706A4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已建成</w:t>
                  </w:r>
                </w:p>
              </w:tc>
            </w:tr>
            <w:tr w14:paraId="791C05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7A02189F">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3CFC4B59">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357BC013">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污水处理废气</w:t>
                  </w:r>
                </w:p>
              </w:tc>
              <w:tc>
                <w:tcPr>
                  <w:tcW w:w="2706" w:type="pct"/>
                  <w:tcBorders>
                    <w:tl2br w:val="nil"/>
                    <w:tr2bl w:val="nil"/>
                  </w:tcBorders>
                  <w:noWrap w:val="0"/>
                  <w:vAlign w:val="center"/>
                </w:tcPr>
                <w:p w14:paraId="465214B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封闭厂房，各储水构筑池拟采用加盖密封处理，</w:t>
                  </w:r>
                  <w:r>
                    <w:rPr>
                      <w:rFonts w:hint="default" w:ascii="Times New Roman" w:hAnsi="Times New Roman" w:eastAsia="宋体" w:cs="Times New Roman"/>
                      <w:color w:val="auto"/>
                      <w:kern w:val="0"/>
                      <w:sz w:val="21"/>
                      <w:szCs w:val="21"/>
                      <w:highlight w:val="none"/>
                    </w:rPr>
                    <w:t>产生的恶臭气体</w:t>
                  </w:r>
                  <w:r>
                    <w:rPr>
                      <w:rFonts w:hint="default" w:ascii="Times New Roman" w:hAnsi="Times New Roman" w:eastAsia="宋体" w:cs="Times New Roman"/>
                      <w:color w:val="auto"/>
                      <w:kern w:val="0"/>
                      <w:sz w:val="21"/>
                      <w:szCs w:val="21"/>
                      <w:highlight w:val="none"/>
                      <w:lang w:val="en-US" w:eastAsia="zh-CN"/>
                    </w:rPr>
                    <w:t>及多效蒸发除盐系统产生的NMHC</w:t>
                  </w:r>
                  <w:r>
                    <w:rPr>
                      <w:rFonts w:hint="default" w:ascii="Times New Roman" w:hAnsi="Times New Roman" w:eastAsia="宋体" w:cs="Times New Roman"/>
                      <w:color w:val="auto"/>
                      <w:sz w:val="21"/>
                      <w:szCs w:val="21"/>
                      <w:highlight w:val="none"/>
                    </w:rPr>
                    <w:t>设置引风机，将无组织变为有组织废气，收集效率为</w:t>
                  </w:r>
                  <w:r>
                    <w:rPr>
                      <w:rFonts w:hint="default" w:ascii="Times New Roman" w:hAnsi="Times New Roman" w:eastAsia="宋体"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rPr>
                    <w:t>0%，废气经收集后送入</w:t>
                  </w:r>
                  <w:r>
                    <w:rPr>
                      <w:rFonts w:hint="default" w:ascii="Times New Roman" w:hAnsi="Times New Roman" w:eastAsia="宋体" w:cs="Times New Roman"/>
                      <w:color w:val="auto"/>
                      <w:sz w:val="21"/>
                      <w:szCs w:val="21"/>
                      <w:highlight w:val="none"/>
                      <w:lang w:val="en-US" w:eastAsia="zh-CN"/>
                    </w:rPr>
                    <w:t>废气处理系统（一级水吸收+一级碱液吸收+生物除臭+除湿除雾+活性炭吸附）后，经26m排气筒（DA008）排放，废气处理系统对NH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S的去除效率为90%，对</w:t>
                  </w:r>
                  <w:r>
                    <w:rPr>
                      <w:rFonts w:hint="default" w:ascii="Times New Roman" w:hAnsi="Times New Roman" w:eastAsia="宋体" w:cs="Times New Roman"/>
                      <w:color w:val="auto"/>
                      <w:kern w:val="0"/>
                      <w:sz w:val="21"/>
                      <w:szCs w:val="21"/>
                      <w:highlight w:val="none"/>
                      <w:lang w:val="en-US" w:eastAsia="zh-CN"/>
                    </w:rPr>
                    <w:t>NMHC的去除效率为98%；</w:t>
                  </w:r>
                </w:p>
              </w:tc>
              <w:tc>
                <w:tcPr>
                  <w:tcW w:w="519" w:type="pct"/>
                  <w:tcBorders>
                    <w:tl2br w:val="nil"/>
                    <w:tr2bl w:val="nil"/>
                  </w:tcBorders>
                  <w:noWrap w:val="0"/>
                  <w:vAlign w:val="center"/>
                </w:tcPr>
                <w:p w14:paraId="58F81DEA">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已建成</w:t>
                  </w:r>
                </w:p>
              </w:tc>
            </w:tr>
            <w:tr w14:paraId="68A476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4F7F88A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71DA6589">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4B4D491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bCs/>
                      <w:iCs/>
                      <w:color w:val="auto"/>
                      <w:sz w:val="21"/>
                      <w:szCs w:val="21"/>
                      <w:highlight w:val="none"/>
                      <w:lang w:val="en-US" w:eastAsia="zh-CN"/>
                    </w:rPr>
                  </w:pPr>
                  <w:r>
                    <w:rPr>
                      <w:rFonts w:hint="default" w:ascii="Times New Roman" w:hAnsi="Times New Roman" w:eastAsia="宋体" w:cs="Times New Roman"/>
                      <w:bCs/>
                      <w:iCs/>
                      <w:color w:val="auto"/>
                      <w:sz w:val="21"/>
                      <w:szCs w:val="21"/>
                      <w:highlight w:val="none"/>
                      <w:lang w:val="en-US" w:eastAsia="zh-CN"/>
                    </w:rPr>
                    <w:t>危险废物暂存间</w:t>
                  </w:r>
                </w:p>
                <w:p w14:paraId="2FFC72B9">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bCs/>
                      <w:iCs/>
                      <w:color w:val="auto"/>
                      <w:sz w:val="21"/>
                      <w:szCs w:val="21"/>
                      <w:highlight w:val="none"/>
                      <w:lang w:val="en-US" w:eastAsia="zh-CN"/>
                    </w:rPr>
                    <w:t>废气</w:t>
                  </w:r>
                </w:p>
              </w:tc>
              <w:tc>
                <w:tcPr>
                  <w:tcW w:w="2706" w:type="pct"/>
                  <w:tcBorders>
                    <w:tl2br w:val="nil"/>
                    <w:tr2bl w:val="nil"/>
                  </w:tcBorders>
                  <w:noWrap w:val="0"/>
                  <w:vAlign w:val="center"/>
                </w:tcPr>
                <w:p w14:paraId="146A643E">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snapToGrid w:val="0"/>
                      <w:color w:val="auto"/>
                      <w:kern w:val="0"/>
                      <w:sz w:val="21"/>
                      <w:szCs w:val="21"/>
                      <w:highlight w:val="none"/>
                      <w:lang w:val="en-US" w:eastAsia="zh-CN"/>
                    </w:rPr>
                    <w:t>有机气体、酸性气体，</w:t>
                  </w:r>
                  <w:r>
                    <w:rPr>
                      <w:rFonts w:hint="default" w:ascii="Times New Roman" w:hAnsi="Times New Roman" w:eastAsia="宋体" w:cs="Times New Roman"/>
                      <w:color w:val="auto"/>
                      <w:sz w:val="21"/>
                      <w:szCs w:val="21"/>
                      <w:highlight w:val="none"/>
                      <w:lang w:val="en-US" w:eastAsia="zh-CN"/>
                    </w:rPr>
                    <w:t>通过1500m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/h引风机送入车间废气处理系统（二级降膜水吸收+二级碱液吸收+除湿除雾+活性炭吸附）后，经26m排气筒（DA009）排放，废气处理系统对硫酸雾、氯化氢、溴化氢的去除效率为99.8%，对NMHC的去除效率为98%；</w:t>
                  </w:r>
                </w:p>
              </w:tc>
              <w:tc>
                <w:tcPr>
                  <w:tcW w:w="519" w:type="pct"/>
                  <w:tcBorders>
                    <w:tl2br w:val="nil"/>
                    <w:tr2bl w:val="nil"/>
                  </w:tcBorders>
                  <w:noWrap w:val="0"/>
                  <w:vAlign w:val="center"/>
                </w:tcPr>
                <w:p w14:paraId="48E815F4">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已建成</w:t>
                  </w:r>
                </w:p>
              </w:tc>
            </w:tr>
            <w:tr w14:paraId="06BA677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48E8329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5F9FC42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0D4756B3">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bCs/>
                      <w:iCs/>
                      <w:color w:val="auto"/>
                      <w:sz w:val="21"/>
                      <w:szCs w:val="21"/>
                      <w:highlight w:val="none"/>
                      <w:lang w:val="en-US" w:eastAsia="zh-CN"/>
                    </w:rPr>
                  </w:pPr>
                  <w:r>
                    <w:rPr>
                      <w:rFonts w:hint="default" w:ascii="Times New Roman" w:hAnsi="Times New Roman" w:eastAsia="宋体" w:cs="Times New Roman"/>
                      <w:bCs/>
                      <w:iCs/>
                      <w:color w:val="auto"/>
                      <w:sz w:val="21"/>
                      <w:szCs w:val="21"/>
                      <w:highlight w:val="none"/>
                      <w:lang w:val="en-US" w:eastAsia="zh-CN"/>
                    </w:rPr>
                    <w:t>食堂废气</w:t>
                  </w:r>
                </w:p>
              </w:tc>
              <w:tc>
                <w:tcPr>
                  <w:tcW w:w="2706" w:type="pct"/>
                  <w:tcBorders>
                    <w:tl2br w:val="nil"/>
                    <w:tr2bl w:val="nil"/>
                  </w:tcBorders>
                  <w:noWrap w:val="0"/>
                  <w:vAlign w:val="center"/>
                </w:tcPr>
                <w:p w14:paraId="2BDDD1B3">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b w:val="0"/>
                      <w:bCs w:val="0"/>
                      <w:snapToGrid w:val="0"/>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rPr>
                    <w:t>采用高效油烟净化器处理，净化效率为75%，净化后的油烟通过独立烟道高空排放</w:t>
                  </w:r>
                </w:p>
              </w:tc>
              <w:tc>
                <w:tcPr>
                  <w:tcW w:w="519" w:type="pct"/>
                  <w:tcBorders>
                    <w:tl2br w:val="nil"/>
                    <w:tr2bl w:val="nil"/>
                  </w:tcBorders>
                  <w:noWrap w:val="0"/>
                  <w:vAlign w:val="center"/>
                </w:tcPr>
                <w:p w14:paraId="40D5C32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已建设</w:t>
                  </w:r>
                </w:p>
              </w:tc>
            </w:tr>
            <w:tr w14:paraId="363267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09DEFA3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restart"/>
                  <w:tcBorders>
                    <w:tl2br w:val="nil"/>
                    <w:tr2bl w:val="nil"/>
                  </w:tcBorders>
                  <w:noWrap w:val="0"/>
                  <w:vAlign w:val="center"/>
                </w:tcPr>
                <w:p w14:paraId="46495E3D">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无组织废气</w:t>
                  </w:r>
                </w:p>
              </w:tc>
              <w:tc>
                <w:tcPr>
                  <w:tcW w:w="561" w:type="pct"/>
                  <w:gridSpan w:val="2"/>
                  <w:tcBorders>
                    <w:tl2br w:val="nil"/>
                    <w:tr2bl w:val="nil"/>
                  </w:tcBorders>
                  <w:noWrap w:val="0"/>
                  <w:vAlign w:val="center"/>
                </w:tcPr>
                <w:p w14:paraId="6DC3321D">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生产车间无组织</w:t>
                  </w:r>
                </w:p>
              </w:tc>
              <w:tc>
                <w:tcPr>
                  <w:tcW w:w="2706" w:type="pct"/>
                  <w:tcBorders>
                    <w:tl2br w:val="nil"/>
                    <w:tr2bl w:val="nil"/>
                  </w:tcBorders>
                  <w:noWrap w:val="0"/>
                  <w:vAlign w:val="center"/>
                </w:tcPr>
                <w:p w14:paraId="1130F7AF">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加强动静密封点管、加强工艺设备、运营维护管理</w:t>
                  </w:r>
                </w:p>
              </w:tc>
              <w:tc>
                <w:tcPr>
                  <w:tcW w:w="519" w:type="pct"/>
                  <w:vMerge w:val="restart"/>
                  <w:tcBorders>
                    <w:tl2br w:val="nil"/>
                    <w:tr2bl w:val="nil"/>
                  </w:tcBorders>
                  <w:noWrap w:val="0"/>
                  <w:vAlign w:val="center"/>
                </w:tcPr>
                <w:p w14:paraId="7D2951A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已建成</w:t>
                  </w:r>
                </w:p>
              </w:tc>
            </w:tr>
            <w:tr w14:paraId="5ECDB3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52B938C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3850ABFB">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71B3AF25">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罐区无组织</w:t>
                  </w:r>
                </w:p>
              </w:tc>
              <w:tc>
                <w:tcPr>
                  <w:tcW w:w="2706" w:type="pct"/>
                  <w:tcBorders>
                    <w:tl2br w:val="nil"/>
                    <w:tr2bl w:val="nil"/>
                  </w:tcBorders>
                  <w:noWrap w:val="0"/>
                  <w:vAlign w:val="center"/>
                </w:tcPr>
                <w:p w14:paraId="56A713BF">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设置一套废气收集与处理系统（一级水吸收+一级碱液吸收+除湿除雾+活性炭吸附）后，废气处理系统对硫酸雾、氯化氢、NMHC（甲醇）的去除效率为98%，</w:t>
                  </w:r>
                </w:p>
              </w:tc>
              <w:tc>
                <w:tcPr>
                  <w:tcW w:w="519" w:type="pct"/>
                  <w:vMerge w:val="continue"/>
                  <w:tcBorders>
                    <w:tl2br w:val="nil"/>
                    <w:tr2bl w:val="nil"/>
                  </w:tcBorders>
                  <w:noWrap w:val="0"/>
                  <w:vAlign w:val="center"/>
                </w:tcPr>
                <w:p w14:paraId="667667E0">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6716ED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02D99D25">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2BF1B654">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5DDB74EA">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污水处理无组织</w:t>
                  </w:r>
                </w:p>
              </w:tc>
              <w:tc>
                <w:tcPr>
                  <w:tcW w:w="2706" w:type="pct"/>
                  <w:tcBorders>
                    <w:tl2br w:val="nil"/>
                    <w:tr2bl w:val="nil"/>
                  </w:tcBorders>
                  <w:noWrap w:val="0"/>
                  <w:vAlign w:val="center"/>
                </w:tcPr>
                <w:p w14:paraId="4BB3D259">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车间设置换气装置，通过加强通风与厂区绿化</w:t>
                  </w:r>
                </w:p>
              </w:tc>
              <w:tc>
                <w:tcPr>
                  <w:tcW w:w="519" w:type="pct"/>
                  <w:vMerge w:val="continue"/>
                  <w:tcBorders>
                    <w:tl2br w:val="nil"/>
                    <w:tr2bl w:val="nil"/>
                  </w:tcBorders>
                  <w:noWrap w:val="0"/>
                  <w:vAlign w:val="center"/>
                </w:tcPr>
                <w:p w14:paraId="21CAA8B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064069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6FA2186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54E1544E">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631CEB83">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物料运输无组织</w:t>
                  </w:r>
                </w:p>
              </w:tc>
              <w:tc>
                <w:tcPr>
                  <w:tcW w:w="2706" w:type="pct"/>
                  <w:tcBorders>
                    <w:tl2br w:val="nil"/>
                    <w:tr2bl w:val="nil"/>
                  </w:tcBorders>
                  <w:noWrap w:val="0"/>
                  <w:vAlign w:val="center"/>
                </w:tcPr>
                <w:p w14:paraId="3523A03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通过控制运输车辆的车速、合理选择运输路径、避让环境敏感目标、运输过程采取苫盖等措施；</w:t>
                  </w:r>
                </w:p>
              </w:tc>
              <w:tc>
                <w:tcPr>
                  <w:tcW w:w="519" w:type="pct"/>
                  <w:vMerge w:val="continue"/>
                  <w:tcBorders>
                    <w:tl2br w:val="nil"/>
                    <w:tr2bl w:val="nil"/>
                  </w:tcBorders>
                  <w:noWrap w:val="0"/>
                  <w:vAlign w:val="center"/>
                </w:tcPr>
                <w:p w14:paraId="0155738F">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2D5170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7DCDC2A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376C1C3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61" w:type="pct"/>
                  <w:gridSpan w:val="2"/>
                  <w:tcBorders>
                    <w:tl2br w:val="nil"/>
                    <w:tr2bl w:val="nil"/>
                  </w:tcBorders>
                  <w:noWrap w:val="0"/>
                  <w:vAlign w:val="center"/>
                </w:tcPr>
                <w:p w14:paraId="719AB1BA">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实验废气</w:t>
                  </w:r>
                </w:p>
              </w:tc>
              <w:tc>
                <w:tcPr>
                  <w:tcW w:w="2706" w:type="pct"/>
                  <w:tcBorders>
                    <w:tl2br w:val="nil"/>
                    <w:tr2bl w:val="nil"/>
                  </w:tcBorders>
                  <w:noWrap w:val="0"/>
                  <w:vAlign w:val="center"/>
                </w:tcPr>
                <w:p w14:paraId="53DA9546">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设置1套活性炭吸附装置，用于收集及处理实验过程中的废气；</w:t>
                  </w:r>
                </w:p>
              </w:tc>
              <w:tc>
                <w:tcPr>
                  <w:tcW w:w="519" w:type="pct"/>
                  <w:vMerge w:val="continue"/>
                  <w:tcBorders>
                    <w:tl2br w:val="nil"/>
                    <w:tr2bl w:val="nil"/>
                  </w:tcBorders>
                  <w:noWrap w:val="0"/>
                  <w:vAlign w:val="center"/>
                </w:tcPr>
                <w:p w14:paraId="18E8C52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659255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0" w:type="pct"/>
                  <w:vMerge w:val="continue"/>
                  <w:tcBorders>
                    <w:tl2br w:val="nil"/>
                    <w:tr2bl w:val="nil"/>
                  </w:tcBorders>
                  <w:noWrap w:val="0"/>
                  <w:vAlign w:val="center"/>
                </w:tcPr>
                <w:p w14:paraId="358EE70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39198C6D">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61" w:type="pct"/>
                  <w:gridSpan w:val="2"/>
                  <w:tcBorders>
                    <w:tl2br w:val="nil"/>
                    <w:tr2bl w:val="nil"/>
                  </w:tcBorders>
                  <w:noWrap w:val="0"/>
                  <w:vAlign w:val="center"/>
                </w:tcPr>
                <w:p w14:paraId="0E941224">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危化品库废气</w:t>
                  </w:r>
                </w:p>
              </w:tc>
              <w:tc>
                <w:tcPr>
                  <w:tcW w:w="2706" w:type="pct"/>
                  <w:tcBorders>
                    <w:tl2br w:val="nil"/>
                    <w:tr2bl w:val="nil"/>
                  </w:tcBorders>
                  <w:noWrap w:val="0"/>
                  <w:vAlign w:val="center"/>
                </w:tcPr>
                <w:p w14:paraId="5EAF54B3">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甲类仓库设置1套废气处理系统，采用“二级降膜水吸收+二级碱液吸收+除湿除雾+活性炭吸附”，确保储存过程中挥发性有机废气、酸性废气无组织排放及物料包装破损导致</w:t>
                  </w:r>
                  <w:r>
                    <w:rPr>
                      <w:rFonts w:hint="eastAsia" w:ascii="Times New Roman" w:hAnsi="Times New Roman" w:cs="Times New Roman"/>
                      <w:color w:val="auto"/>
                      <w:sz w:val="21"/>
                      <w:szCs w:val="21"/>
                      <w:highlight w:val="none"/>
                      <w:lang w:val="en-US" w:eastAsia="zh-CN"/>
                    </w:rPr>
                    <w:t>泄漏</w:t>
                  </w:r>
                  <w:r>
                    <w:rPr>
                      <w:rFonts w:hint="default" w:ascii="Times New Roman" w:hAnsi="Times New Roman" w:eastAsia="宋体" w:cs="Times New Roman"/>
                      <w:color w:val="auto"/>
                      <w:sz w:val="21"/>
                      <w:szCs w:val="21"/>
                      <w:highlight w:val="none"/>
                      <w:lang w:val="en-US" w:eastAsia="zh-CN"/>
                    </w:rPr>
                    <w:t>状态下废气达标排放；</w:t>
                  </w:r>
                </w:p>
              </w:tc>
              <w:tc>
                <w:tcPr>
                  <w:tcW w:w="519" w:type="pct"/>
                  <w:vMerge w:val="continue"/>
                  <w:tcBorders>
                    <w:tl2br w:val="nil"/>
                    <w:tr2bl w:val="nil"/>
                  </w:tcBorders>
                  <w:noWrap w:val="0"/>
                  <w:vAlign w:val="center"/>
                </w:tcPr>
                <w:p w14:paraId="29CC0A9B">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7F1A1F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4" w:type="pct"/>
                  <w:gridSpan w:val="2"/>
                  <w:vMerge w:val="restart"/>
                  <w:tcBorders>
                    <w:tl2br w:val="nil"/>
                    <w:tr2bl w:val="nil"/>
                  </w:tcBorders>
                  <w:noWrap w:val="0"/>
                  <w:vAlign w:val="center"/>
                </w:tcPr>
                <w:p w14:paraId="5989F69E">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环保工程</w:t>
                  </w:r>
                </w:p>
              </w:tc>
              <w:tc>
                <w:tcPr>
                  <w:tcW w:w="552" w:type="pct"/>
                  <w:gridSpan w:val="2"/>
                  <w:vMerge w:val="restart"/>
                  <w:tcBorders>
                    <w:tl2br w:val="nil"/>
                    <w:tr2bl w:val="nil"/>
                  </w:tcBorders>
                  <w:noWrap w:val="0"/>
                  <w:vAlign w:val="center"/>
                </w:tcPr>
                <w:p w14:paraId="27E6E79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废水</w:t>
                  </w:r>
                </w:p>
              </w:tc>
              <w:tc>
                <w:tcPr>
                  <w:tcW w:w="557" w:type="pct"/>
                  <w:tcBorders>
                    <w:tl2br w:val="nil"/>
                    <w:tr2bl w:val="nil"/>
                  </w:tcBorders>
                  <w:noWrap w:val="0"/>
                  <w:vAlign w:val="center"/>
                </w:tcPr>
                <w:p w14:paraId="1A32EBD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废水收集方式</w:t>
                  </w:r>
                </w:p>
              </w:tc>
              <w:tc>
                <w:tcPr>
                  <w:tcW w:w="2706" w:type="pct"/>
                  <w:tcBorders>
                    <w:tl2br w:val="nil"/>
                    <w:tr2bl w:val="nil"/>
                  </w:tcBorders>
                  <w:noWrap w:val="0"/>
                  <w:vAlign w:val="center"/>
                </w:tcPr>
                <w:p w14:paraId="76E518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厂区生活废水经化粪池预处理后直接排入园区管网；生产废水</w:t>
                  </w:r>
                  <w:r>
                    <w:rPr>
                      <w:rFonts w:hint="default" w:ascii="Times New Roman" w:hAnsi="Times New Roman" w:eastAsia="宋体" w:cs="Times New Roman"/>
                      <w:color w:val="auto"/>
                      <w:sz w:val="21"/>
                      <w:szCs w:val="21"/>
                      <w:highlight w:val="none"/>
                      <w:lang w:val="en-US" w:eastAsia="zh-CN"/>
                    </w:rPr>
                    <w:t>采用“分质分类”收集方式，通过开启阀门放料至接收槽排入相应的地下污水管线进入厂区污水处理站，其中301车间设置1座1000m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蒽醌母液沉淀池用于回收W301-1-1中的1，4</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二羟基蒽醌及蒽醌及邻苯二甲酸，设置1座1000m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蒽醌冲洗水回收池用于回收W301-1-2中的1，4</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二羟基蒽醌及蒽醌及邻苯二甲酸，回收后泵入厂区污水处理站的酸性废水池。401车间不设置临时储水池，各生产线产生的废水通过车间排水管线泵入厂区污水处理站，高盐废水经多效浓缩蒸发除盐后根据酸、碱性分别排入酸、碱废水池。其中W401-1-1、W401-2-1、W401-3-1、W401-3-1、W401-4-1、W401-8-1、W401-8-2进入碱性废水池，W401-5-1、W401-5-2、W401-5-3、W401-5-4、W401-5-5、W401-5-6、W401-5-7、W401-6-1、W401-6-2、W401-7-1、W401-7-2进入酸性废水池。501车间分散蓝359生产线设置1座10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破氰罐用于暂存W501-1-1，经破氰预处理后通过车间排水管线泵入厂区污水处理站经多效浓缩蒸发除盐后排入碱性废水池，W501-1-2、W501-1-3、W501-2-1、W501-2-2、W501-2-3、W501-2-4、W501-2-5、W501-2-6、W501-2-7、W501-2-8、W501-2-9、W501-2-10进入碱性废水池，W501-3-1、W501-3-2进入酸性废水池；公辅工程中的喷淋废水经多效浓缩蒸发除盐后进入碱性废水池，其余废水进入酸碱中和池；</w:t>
                  </w:r>
                </w:p>
              </w:tc>
              <w:tc>
                <w:tcPr>
                  <w:tcW w:w="519" w:type="pct"/>
                  <w:vMerge w:val="restart"/>
                  <w:tcBorders>
                    <w:tl2br w:val="nil"/>
                    <w:tr2bl w:val="nil"/>
                  </w:tcBorders>
                  <w:noWrap w:val="0"/>
                  <w:vAlign w:val="center"/>
                </w:tcPr>
                <w:p w14:paraId="0F1363C5">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已建成</w:t>
                  </w:r>
                </w:p>
              </w:tc>
            </w:tr>
            <w:tr w14:paraId="0998BE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4" w:type="pct"/>
                  <w:gridSpan w:val="2"/>
                  <w:vMerge w:val="continue"/>
                  <w:tcBorders>
                    <w:tl2br w:val="nil"/>
                    <w:tr2bl w:val="nil"/>
                  </w:tcBorders>
                  <w:noWrap w:val="0"/>
                  <w:vAlign w:val="center"/>
                </w:tcPr>
                <w:p w14:paraId="1FD1BBF9">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52" w:type="pct"/>
                  <w:gridSpan w:val="2"/>
                  <w:vMerge w:val="continue"/>
                  <w:tcBorders>
                    <w:tl2br w:val="nil"/>
                    <w:tr2bl w:val="nil"/>
                  </w:tcBorders>
                  <w:noWrap w:val="0"/>
                  <w:vAlign w:val="center"/>
                </w:tcPr>
                <w:p w14:paraId="725CCEF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tcBorders>
                    <w:tl2br w:val="nil"/>
                    <w:tr2bl w:val="nil"/>
                  </w:tcBorders>
                  <w:noWrap w:val="0"/>
                  <w:vAlign w:val="center"/>
                </w:tcPr>
                <w:p w14:paraId="32500036">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pacing w:val="-1"/>
                      <w:kern w:val="0"/>
                      <w:sz w:val="21"/>
                      <w:szCs w:val="21"/>
                      <w:highlight w:val="none"/>
                      <w:lang w:val="en-US" w:eastAsia="zh-CN"/>
                    </w:rPr>
                    <w:t>车间预处理设施</w:t>
                  </w:r>
                </w:p>
              </w:tc>
              <w:tc>
                <w:tcPr>
                  <w:tcW w:w="2706" w:type="pct"/>
                  <w:tcBorders>
                    <w:tl2br w:val="nil"/>
                    <w:tr2bl w:val="nil"/>
                  </w:tcBorders>
                  <w:noWrap w:val="0"/>
                  <w:vAlign w:val="center"/>
                </w:tcPr>
                <w:p w14:paraId="3691409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301车间设置1座1000m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蒽醌母液沉淀池和1座1000m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蒽醌压滤废水沉淀池，用于简单沉淀废水中的蒽醌及邻苯二甲酸；501车间设置1座10m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含氰废水的储罐，用于破氰预处理；</w:t>
                  </w:r>
                </w:p>
              </w:tc>
              <w:tc>
                <w:tcPr>
                  <w:tcW w:w="519" w:type="pct"/>
                  <w:vMerge w:val="continue"/>
                  <w:tcBorders>
                    <w:tl2br w:val="nil"/>
                    <w:tr2bl w:val="nil"/>
                  </w:tcBorders>
                  <w:noWrap w:val="0"/>
                  <w:vAlign w:val="center"/>
                </w:tcPr>
                <w:p w14:paraId="1600A61B">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5BE33D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4" w:type="pct"/>
                  <w:gridSpan w:val="2"/>
                  <w:vMerge w:val="continue"/>
                  <w:tcBorders>
                    <w:tl2br w:val="nil"/>
                    <w:tr2bl w:val="nil"/>
                  </w:tcBorders>
                  <w:noWrap w:val="0"/>
                  <w:vAlign w:val="center"/>
                </w:tcPr>
                <w:p w14:paraId="24356564">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52" w:type="pct"/>
                  <w:gridSpan w:val="2"/>
                  <w:vMerge w:val="continue"/>
                  <w:tcBorders>
                    <w:tl2br w:val="nil"/>
                    <w:tr2bl w:val="nil"/>
                  </w:tcBorders>
                  <w:noWrap w:val="0"/>
                  <w:vAlign w:val="center"/>
                </w:tcPr>
                <w:p w14:paraId="0344EDA4">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tcBorders>
                    <w:tl2br w:val="nil"/>
                    <w:tr2bl w:val="nil"/>
                  </w:tcBorders>
                  <w:noWrap w:val="0"/>
                  <w:vAlign w:val="center"/>
                </w:tcPr>
                <w:p w14:paraId="7CF8B36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污水站预处理</w:t>
                  </w:r>
                </w:p>
              </w:tc>
              <w:tc>
                <w:tcPr>
                  <w:tcW w:w="2706" w:type="pct"/>
                  <w:tcBorders>
                    <w:tl2br w:val="nil"/>
                    <w:tr2bl w:val="nil"/>
                  </w:tcBorders>
                  <w:noWrap w:val="0"/>
                  <w:vAlign w:val="center"/>
                </w:tcPr>
                <w:p w14:paraId="492B57B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设置1座多效蒸发除盐系统，处理能力为</w:t>
                  </w:r>
                  <w:r>
                    <w:rPr>
                      <w:rFonts w:hint="default" w:ascii="Times New Roman" w:hAnsi="Times New Roman" w:eastAsia="宋体" w:cs="Times New Roman"/>
                      <w:color w:val="auto"/>
                      <w:kern w:val="0"/>
                      <w:sz w:val="21"/>
                      <w:szCs w:val="21"/>
                      <w:highlight w:val="none"/>
                      <w:vertAlign w:val="baseline"/>
                      <w:lang w:val="en-US" w:eastAsia="zh-CN" w:bidi="ar"/>
                    </w:rPr>
                    <w:t>30</w:t>
                  </w:r>
                  <w:r>
                    <w:rPr>
                      <w:rFonts w:hint="default" w:ascii="Times New Roman" w:hAnsi="Times New Roman" w:eastAsia="宋体" w:cs="Times New Roman"/>
                      <w:color w:val="auto"/>
                      <w:kern w:val="0"/>
                      <w:sz w:val="21"/>
                      <w:szCs w:val="21"/>
                      <w:highlight w:val="none"/>
                      <w:vertAlign w:val="baseline"/>
                      <w:lang w:bidi="ar"/>
                    </w:rPr>
                    <w:t>0m</w:t>
                  </w:r>
                  <w:r>
                    <w:rPr>
                      <w:rFonts w:hint="default" w:ascii="Times New Roman" w:hAnsi="Times New Roman" w:eastAsia="宋体" w:cs="Times New Roman"/>
                      <w:color w:val="auto"/>
                      <w:kern w:val="0"/>
                      <w:sz w:val="21"/>
                      <w:szCs w:val="21"/>
                      <w:highlight w:val="none"/>
                      <w:vertAlign w:val="superscript"/>
                      <w:lang w:bidi="ar"/>
                    </w:rPr>
                    <w:t>3</w:t>
                  </w:r>
                  <w:r>
                    <w:rPr>
                      <w:rFonts w:hint="default" w:ascii="Times New Roman" w:hAnsi="Times New Roman" w:eastAsia="宋体" w:cs="Times New Roman"/>
                      <w:color w:val="auto"/>
                      <w:kern w:val="0"/>
                      <w:sz w:val="21"/>
                      <w:szCs w:val="21"/>
                      <w:highlight w:val="none"/>
                      <w:vertAlign w:val="baseline"/>
                      <w:lang w:bidi="ar"/>
                    </w:rPr>
                    <w:t>/d</w:t>
                  </w:r>
                  <w:r>
                    <w:rPr>
                      <w:rFonts w:hint="default" w:ascii="Times New Roman" w:hAnsi="Times New Roman" w:eastAsia="宋体" w:cs="Times New Roman"/>
                      <w:color w:val="auto"/>
                      <w:kern w:val="0"/>
                      <w:sz w:val="21"/>
                      <w:szCs w:val="21"/>
                      <w:highlight w:val="none"/>
                      <w:vertAlign w:val="baseline"/>
                      <w:lang w:eastAsia="zh-CN" w:bidi="ar"/>
                    </w:rPr>
                    <w:t>，</w:t>
                  </w:r>
                  <w:r>
                    <w:rPr>
                      <w:rFonts w:hint="default" w:ascii="Times New Roman" w:hAnsi="Times New Roman" w:eastAsia="宋体" w:cs="Times New Roman"/>
                      <w:color w:val="auto"/>
                      <w:kern w:val="0"/>
                      <w:sz w:val="21"/>
                      <w:szCs w:val="21"/>
                      <w:highlight w:val="none"/>
                      <w:vertAlign w:val="baseline"/>
                      <w:lang w:val="en-US" w:eastAsia="zh-CN" w:bidi="ar"/>
                    </w:rPr>
                    <w:t>对TDS去除效率为98%</w:t>
                  </w:r>
                  <w:r>
                    <w:rPr>
                      <w:rFonts w:hint="default" w:ascii="Times New Roman" w:hAnsi="Times New Roman" w:eastAsia="宋体" w:cs="Times New Roman"/>
                      <w:color w:val="auto"/>
                      <w:sz w:val="21"/>
                      <w:szCs w:val="21"/>
                      <w:highlight w:val="none"/>
                      <w:vertAlign w:val="baseline"/>
                      <w:lang w:val="en-US" w:eastAsia="zh-CN"/>
                    </w:rPr>
                    <w:t>；设置1座1000</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碱性废水池、1座1000</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酸性废水池用于储存除盐后的酸、碱废水，设置1座1000</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的酸析池用酸性废水的酸析沉淀，设置1座1000</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vertAlign w:val="baseline"/>
                      <w:lang w:val="en-US" w:eastAsia="zh-CN"/>
                    </w:rPr>
                    <w:t>的中和池用于混合酸、碱废水调节水质；</w:t>
                  </w:r>
                </w:p>
              </w:tc>
              <w:tc>
                <w:tcPr>
                  <w:tcW w:w="519" w:type="pct"/>
                  <w:vMerge w:val="continue"/>
                  <w:tcBorders>
                    <w:tl2br w:val="nil"/>
                    <w:tr2bl w:val="nil"/>
                  </w:tcBorders>
                  <w:noWrap w:val="0"/>
                  <w:vAlign w:val="center"/>
                </w:tcPr>
                <w:p w14:paraId="23F62546">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14BA97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4" w:type="pct"/>
                  <w:gridSpan w:val="2"/>
                  <w:vMerge w:val="continue"/>
                  <w:tcBorders>
                    <w:tl2br w:val="nil"/>
                    <w:tr2bl w:val="nil"/>
                  </w:tcBorders>
                  <w:noWrap w:val="0"/>
                  <w:vAlign w:val="center"/>
                </w:tcPr>
                <w:p w14:paraId="6637524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52FB18A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tcBorders>
                    <w:tl2br w:val="nil"/>
                    <w:tr2bl w:val="nil"/>
                  </w:tcBorders>
                  <w:noWrap w:val="0"/>
                  <w:vAlign w:val="center"/>
                </w:tcPr>
                <w:p w14:paraId="0BE29BB9">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r>
                    <w:rPr>
                      <w:rFonts w:hint="default" w:ascii="Times New Roman" w:hAnsi="Times New Roman" w:eastAsia="宋体" w:cs="Times New Roman"/>
                      <w:color w:val="auto"/>
                      <w:spacing w:val="-1"/>
                      <w:kern w:val="0"/>
                      <w:sz w:val="21"/>
                      <w:szCs w:val="21"/>
                      <w:highlight w:val="none"/>
                    </w:rPr>
                    <w:t>污水处理站工艺</w:t>
                  </w:r>
                </w:p>
              </w:tc>
              <w:tc>
                <w:tcPr>
                  <w:tcW w:w="2706" w:type="pct"/>
                  <w:tcBorders>
                    <w:tl2br w:val="nil"/>
                    <w:tr2bl w:val="nil"/>
                  </w:tcBorders>
                  <w:noWrap w:val="0"/>
                  <w:vAlign w:val="center"/>
                </w:tcPr>
                <w:p w14:paraId="5F2B48C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设计处理能力为</w:t>
                  </w:r>
                  <w:r>
                    <w:rPr>
                      <w:rFonts w:hint="default" w:ascii="Times New Roman" w:hAnsi="Times New Roman" w:eastAsia="宋体" w:cs="Times New Roman"/>
                      <w:color w:val="auto"/>
                      <w:sz w:val="21"/>
                      <w:szCs w:val="21"/>
                      <w:highlight w:val="none"/>
                      <w:lang w:val="en-US" w:eastAsia="zh-CN"/>
                    </w:rPr>
                    <w:t>1500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lang w:val="en-US" w:eastAsia="zh-CN"/>
                    </w:rPr>
                    <w:t>本期处理水量为610.275m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r>
                    <w:rPr>
                      <w:rFonts w:hint="default" w:ascii="Times New Roman" w:hAnsi="Times New Roman" w:eastAsia="宋体" w:cs="Times New Roman"/>
                      <w:color w:val="auto"/>
                      <w:sz w:val="21"/>
                      <w:szCs w:val="21"/>
                      <w:highlight w:val="none"/>
                    </w:rPr>
                    <w:t>工艺采用</w:t>
                  </w:r>
                  <w:r>
                    <w:rPr>
                      <w:rFonts w:hint="default" w:ascii="Times New Roman" w:hAnsi="Times New Roman" w:eastAsia="宋体" w:cs="Times New Roman"/>
                      <w:color w:val="auto"/>
                      <w:sz w:val="21"/>
                      <w:szCs w:val="21"/>
                      <w:highlight w:val="none"/>
                      <w:lang w:val="en-US" w:eastAsia="zh-CN"/>
                    </w:rPr>
                    <w:t>铁碳微电解→芬顿氧化→厌氧→A/O生物处理→MBR膜过滤→二次电芬顿氧化→气浮</w:t>
                  </w:r>
                  <w:r>
                    <w:rPr>
                      <w:rFonts w:hint="default" w:ascii="Times New Roman" w:hAnsi="Times New Roman" w:eastAsia="宋体" w:cs="Times New Roman"/>
                      <w:color w:val="auto"/>
                      <w:sz w:val="21"/>
                      <w:szCs w:val="21"/>
                      <w:highlight w:val="none"/>
                    </w:rPr>
                    <w:t>，出水浓度满足开发区工业污水处理厂的协议标准</w:t>
                  </w:r>
                  <w:r>
                    <w:rPr>
                      <w:rFonts w:hint="default" w:ascii="Times New Roman" w:hAnsi="Times New Roman" w:eastAsia="宋体" w:cs="Times New Roman"/>
                      <w:color w:val="auto"/>
                      <w:sz w:val="21"/>
                      <w:szCs w:val="21"/>
                      <w:highlight w:val="none"/>
                      <w:lang w:val="en-US" w:eastAsia="zh-CN"/>
                    </w:rPr>
                    <w:t>及设计进水要求</w:t>
                  </w:r>
                  <w:r>
                    <w:rPr>
                      <w:rFonts w:hint="default" w:ascii="Times New Roman" w:hAnsi="Times New Roman" w:eastAsia="宋体" w:cs="Times New Roman"/>
                      <w:color w:val="auto"/>
                      <w:sz w:val="21"/>
                      <w:szCs w:val="21"/>
                      <w:highlight w:val="none"/>
                    </w:rPr>
                    <w:t>；</w:t>
                  </w:r>
                </w:p>
              </w:tc>
              <w:tc>
                <w:tcPr>
                  <w:tcW w:w="519" w:type="pct"/>
                  <w:vMerge w:val="continue"/>
                  <w:tcBorders>
                    <w:tl2br w:val="nil"/>
                    <w:tr2bl w:val="nil"/>
                  </w:tcBorders>
                  <w:noWrap w:val="0"/>
                  <w:vAlign w:val="center"/>
                </w:tcPr>
                <w:p w14:paraId="3B4A5695">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22C2B8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4" w:type="pct"/>
                  <w:gridSpan w:val="2"/>
                  <w:vMerge w:val="continue"/>
                  <w:tcBorders>
                    <w:tl2br w:val="nil"/>
                    <w:tr2bl w:val="nil"/>
                  </w:tcBorders>
                  <w:noWrap w:val="0"/>
                  <w:vAlign w:val="center"/>
                </w:tcPr>
                <w:p w14:paraId="149FE5F6">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253CC9A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tcBorders>
                    <w:tl2br w:val="nil"/>
                    <w:tr2bl w:val="nil"/>
                  </w:tcBorders>
                  <w:noWrap w:val="0"/>
                  <w:vAlign w:val="center"/>
                </w:tcPr>
                <w:p w14:paraId="3BDC7C1E">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初期雨水</w:t>
                  </w:r>
                </w:p>
              </w:tc>
              <w:tc>
                <w:tcPr>
                  <w:tcW w:w="2706" w:type="pct"/>
                  <w:tcBorders>
                    <w:tl2br w:val="nil"/>
                    <w:tr2bl w:val="nil"/>
                  </w:tcBorders>
                  <w:noWrap w:val="0"/>
                  <w:vAlign w:val="center"/>
                </w:tcPr>
                <w:p w14:paraId="30647BF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本期初期雨水产生量为459.76m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/次，考虑二期建设情况设置1座1000m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初期雨水收集池；</w:t>
                  </w:r>
                </w:p>
              </w:tc>
              <w:tc>
                <w:tcPr>
                  <w:tcW w:w="519" w:type="pct"/>
                  <w:vMerge w:val="continue"/>
                  <w:tcBorders>
                    <w:tl2br w:val="nil"/>
                    <w:tr2bl w:val="nil"/>
                  </w:tcBorders>
                  <w:noWrap w:val="0"/>
                  <w:vAlign w:val="center"/>
                </w:tcPr>
                <w:p w14:paraId="40E446CA">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5BC808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4" w:type="pct"/>
                  <w:gridSpan w:val="2"/>
                  <w:vMerge w:val="continue"/>
                  <w:tcBorders>
                    <w:tl2br w:val="nil"/>
                    <w:tr2bl w:val="nil"/>
                  </w:tcBorders>
                  <w:noWrap w:val="0"/>
                  <w:vAlign w:val="center"/>
                </w:tcPr>
                <w:p w14:paraId="650FA2DA">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185D1BC5">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57" w:type="pct"/>
                  <w:tcBorders>
                    <w:tl2br w:val="nil"/>
                    <w:tr2bl w:val="nil"/>
                  </w:tcBorders>
                  <w:noWrap w:val="0"/>
                  <w:vAlign w:val="center"/>
                </w:tcPr>
                <w:p w14:paraId="5C1191D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rPr>
                  </w:pPr>
                  <w:r>
                    <w:rPr>
                      <w:rFonts w:hint="default" w:ascii="Times New Roman" w:hAnsi="Times New Roman" w:eastAsia="宋体" w:cs="Times New Roman"/>
                      <w:color w:val="auto"/>
                      <w:sz w:val="21"/>
                      <w:szCs w:val="21"/>
                      <w:highlight w:val="none"/>
                      <w:lang w:val="en-US" w:eastAsia="zh-CN"/>
                    </w:rPr>
                    <w:t>事故废水</w:t>
                  </w:r>
                </w:p>
              </w:tc>
              <w:tc>
                <w:tcPr>
                  <w:tcW w:w="2706" w:type="pct"/>
                  <w:tcBorders>
                    <w:tl2br w:val="nil"/>
                    <w:tr2bl w:val="nil"/>
                  </w:tcBorders>
                  <w:noWrap w:val="0"/>
                  <w:vAlign w:val="center"/>
                </w:tcPr>
                <w:p w14:paraId="30EA84A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设置1座2000m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事故池用于储存事故废水；</w:t>
                  </w:r>
                </w:p>
              </w:tc>
              <w:tc>
                <w:tcPr>
                  <w:tcW w:w="519" w:type="pct"/>
                  <w:vMerge w:val="continue"/>
                  <w:tcBorders>
                    <w:tl2br w:val="nil"/>
                    <w:tr2bl w:val="nil"/>
                  </w:tcBorders>
                  <w:noWrap w:val="0"/>
                  <w:vAlign w:val="center"/>
                </w:tcPr>
                <w:p w14:paraId="11F22FBD">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164561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4" w:type="pct"/>
                  <w:gridSpan w:val="2"/>
                  <w:vMerge w:val="continue"/>
                  <w:tcBorders>
                    <w:tl2br w:val="nil"/>
                    <w:tr2bl w:val="nil"/>
                  </w:tcBorders>
                  <w:noWrap w:val="0"/>
                  <w:vAlign w:val="center"/>
                </w:tcPr>
                <w:p w14:paraId="1F116DBE">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tcBorders>
                    <w:tl2br w:val="nil"/>
                    <w:tr2bl w:val="nil"/>
                  </w:tcBorders>
                  <w:noWrap w:val="0"/>
                  <w:vAlign w:val="center"/>
                </w:tcPr>
                <w:p w14:paraId="2C8EC02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557" w:type="pct"/>
                  <w:tcBorders>
                    <w:tl2br w:val="nil"/>
                    <w:tr2bl w:val="nil"/>
                  </w:tcBorders>
                  <w:noWrap w:val="0"/>
                  <w:vAlign w:val="center"/>
                </w:tcPr>
                <w:p w14:paraId="344A1010">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r>
                    <w:rPr>
                      <w:rFonts w:hint="default" w:ascii="Times New Roman" w:hAnsi="Times New Roman" w:eastAsia="宋体" w:cs="Times New Roman"/>
                      <w:color w:val="auto"/>
                      <w:spacing w:val="-1"/>
                      <w:kern w:val="0"/>
                      <w:sz w:val="21"/>
                      <w:szCs w:val="21"/>
                      <w:highlight w:val="none"/>
                    </w:rPr>
                    <w:t>各类机械噪声</w:t>
                  </w:r>
                </w:p>
              </w:tc>
              <w:tc>
                <w:tcPr>
                  <w:tcW w:w="2706" w:type="pct"/>
                  <w:tcBorders>
                    <w:tl2br w:val="nil"/>
                    <w:tr2bl w:val="nil"/>
                  </w:tcBorders>
                  <w:noWrap w:val="0"/>
                  <w:vAlign w:val="center"/>
                </w:tcPr>
                <w:p w14:paraId="7DBC691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优化厂区设备布置，采用低噪声先进生产设备，通过基础减振、厂房建筑隔声以及消声器降低噪声影响；</w:t>
                  </w:r>
                </w:p>
              </w:tc>
              <w:tc>
                <w:tcPr>
                  <w:tcW w:w="519" w:type="pct"/>
                  <w:tcBorders>
                    <w:tl2br w:val="nil"/>
                    <w:tr2bl w:val="nil"/>
                  </w:tcBorders>
                  <w:noWrap w:val="0"/>
                  <w:vAlign w:val="center"/>
                </w:tcPr>
                <w:p w14:paraId="37ABB55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已建成</w:t>
                  </w:r>
                </w:p>
              </w:tc>
            </w:tr>
            <w:tr w14:paraId="5EE5D8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4" w:type="pct"/>
                  <w:gridSpan w:val="2"/>
                  <w:vMerge w:val="continue"/>
                  <w:tcBorders>
                    <w:tl2br w:val="nil"/>
                    <w:tr2bl w:val="nil"/>
                  </w:tcBorders>
                  <w:noWrap w:val="0"/>
                  <w:vAlign w:val="center"/>
                </w:tcPr>
                <w:p w14:paraId="24D03BD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restart"/>
                  <w:tcBorders>
                    <w:tl2br w:val="nil"/>
                    <w:tr2bl w:val="nil"/>
                  </w:tcBorders>
                  <w:noWrap w:val="0"/>
                  <w:vAlign w:val="center"/>
                </w:tcPr>
                <w:p w14:paraId="406D4D74">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557" w:type="pct"/>
                  <w:tcBorders>
                    <w:tl2br w:val="nil"/>
                    <w:tr2bl w:val="nil"/>
                  </w:tcBorders>
                  <w:noWrap w:val="0"/>
                  <w:vAlign w:val="center"/>
                </w:tcPr>
                <w:p w14:paraId="4B315929">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r>
                    <w:rPr>
                      <w:rFonts w:hint="default" w:ascii="Times New Roman" w:hAnsi="Times New Roman" w:eastAsia="宋体" w:cs="Times New Roman"/>
                      <w:color w:val="auto"/>
                      <w:spacing w:val="-1"/>
                      <w:kern w:val="0"/>
                      <w:sz w:val="21"/>
                      <w:szCs w:val="21"/>
                      <w:highlight w:val="none"/>
                    </w:rPr>
                    <w:t>收集及储存措施</w:t>
                  </w:r>
                </w:p>
              </w:tc>
              <w:tc>
                <w:tcPr>
                  <w:tcW w:w="2706" w:type="pct"/>
                  <w:tcBorders>
                    <w:tl2br w:val="nil"/>
                    <w:tr2bl w:val="nil"/>
                  </w:tcBorders>
                  <w:noWrap w:val="0"/>
                  <w:vAlign w:val="center"/>
                </w:tcPr>
                <w:p w14:paraId="51B7DB7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sz w:val="21"/>
                      <w:szCs w:val="21"/>
                      <w:highlight w:val="none"/>
                    </w:rPr>
                    <w:t>危险废物</w:t>
                  </w:r>
                  <w:r>
                    <w:rPr>
                      <w:rFonts w:hint="default" w:ascii="Times New Roman" w:hAnsi="Times New Roman" w:eastAsia="宋体" w:cs="Times New Roman"/>
                      <w:snapToGrid w:val="0"/>
                      <w:color w:val="auto"/>
                      <w:sz w:val="21"/>
                      <w:szCs w:val="21"/>
                      <w:highlight w:val="none"/>
                      <w:lang w:val="en-US" w:eastAsia="zh-CN"/>
                    </w:rPr>
                    <w:t>产生量为</w:t>
                  </w:r>
                  <w:r>
                    <w:rPr>
                      <w:rFonts w:hint="default" w:ascii="Times New Roman" w:hAnsi="Times New Roman" w:eastAsia="宋体" w:cs="Times New Roman"/>
                      <w:color w:val="auto"/>
                      <w:sz w:val="21"/>
                      <w:szCs w:val="21"/>
                      <w:highlight w:val="none"/>
                      <w:lang w:val="en-US" w:eastAsia="zh-CN"/>
                    </w:rPr>
                    <w:t>17354.1344</w:t>
                  </w:r>
                  <w:r>
                    <w:rPr>
                      <w:rFonts w:hint="default" w:ascii="Times New Roman" w:hAnsi="Times New Roman" w:eastAsia="宋体" w:cs="Times New Roman"/>
                      <w:color w:val="auto"/>
                      <w:sz w:val="21"/>
                      <w:szCs w:val="21"/>
                      <w:highlight w:val="none"/>
                    </w:rPr>
                    <w:t>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集中收集，暂存至危废暂存间内，委托有资质单位收集处理；</w:t>
                  </w:r>
                  <w:r>
                    <w:rPr>
                      <w:rFonts w:hint="default" w:ascii="Times New Roman" w:hAnsi="Times New Roman" w:eastAsia="宋体" w:cs="Times New Roman"/>
                      <w:snapToGrid w:val="0"/>
                      <w:color w:val="auto"/>
                      <w:sz w:val="21"/>
                      <w:szCs w:val="21"/>
                      <w:highlight w:val="none"/>
                      <w:lang w:val="en-US" w:eastAsia="zh-CN"/>
                    </w:rPr>
                    <w:t>需鉴定的固废产生量为</w:t>
                  </w:r>
                  <w:r>
                    <w:rPr>
                      <w:rFonts w:hint="default" w:ascii="Times New Roman" w:hAnsi="Times New Roman" w:eastAsia="宋体" w:cs="Times New Roman"/>
                      <w:color w:val="auto"/>
                      <w:sz w:val="21"/>
                      <w:szCs w:val="21"/>
                      <w:highlight w:val="none"/>
                      <w:lang w:val="en-US" w:eastAsia="zh-CN"/>
                    </w:rPr>
                    <w:t>1823.578</w:t>
                  </w:r>
                  <w:r>
                    <w:rPr>
                      <w:rFonts w:hint="default" w:ascii="Times New Roman" w:hAnsi="Times New Roman" w:eastAsia="宋体" w:cs="Times New Roman"/>
                      <w:color w:val="auto"/>
                      <w:sz w:val="21"/>
                      <w:szCs w:val="21"/>
                      <w:highlight w:val="none"/>
                    </w:rPr>
                    <w:t>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lang w:val="en-US" w:eastAsia="zh-CN"/>
                    </w:rPr>
                    <w:t>暂存于</w:t>
                  </w:r>
                  <w:r>
                    <w:rPr>
                      <w:rFonts w:hint="default" w:ascii="Times New Roman" w:hAnsi="Times New Roman" w:eastAsia="宋体" w:cs="Times New Roman"/>
                      <w:snapToGrid w:val="0"/>
                      <w:color w:val="auto"/>
                      <w:sz w:val="21"/>
                      <w:szCs w:val="21"/>
                      <w:highlight w:val="none"/>
                    </w:rPr>
                    <w:t>危废暂存间内</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lang w:val="en-US" w:eastAsia="zh-CN"/>
                    </w:rPr>
                    <w:t>经鉴定后根据属性采用相应的处理措施；锅炉灰渣产生量为886.5t/a，外售综合利用；</w:t>
                  </w:r>
                  <w:r>
                    <w:rPr>
                      <w:rFonts w:hint="default" w:ascii="Times New Roman" w:hAnsi="Times New Roman" w:eastAsia="宋体" w:cs="Times New Roman"/>
                      <w:snapToGrid w:val="0"/>
                      <w:color w:val="auto"/>
                      <w:sz w:val="21"/>
                      <w:szCs w:val="21"/>
                      <w:highlight w:val="none"/>
                    </w:rPr>
                    <w:t>生活垃圾</w:t>
                  </w:r>
                  <w:r>
                    <w:rPr>
                      <w:rFonts w:hint="default" w:ascii="Times New Roman" w:hAnsi="Times New Roman" w:eastAsia="宋体" w:cs="Times New Roman"/>
                      <w:snapToGrid w:val="0"/>
                      <w:color w:val="auto"/>
                      <w:sz w:val="21"/>
                      <w:szCs w:val="21"/>
                      <w:highlight w:val="none"/>
                      <w:lang w:val="en-US" w:eastAsia="zh-CN"/>
                    </w:rPr>
                    <w:t>产生量为74.25t/a，</w:t>
                  </w:r>
                  <w:r>
                    <w:rPr>
                      <w:rFonts w:hint="default" w:ascii="Times New Roman" w:hAnsi="Times New Roman" w:eastAsia="宋体" w:cs="Times New Roman"/>
                      <w:snapToGrid w:val="0"/>
                      <w:color w:val="auto"/>
                      <w:sz w:val="21"/>
                      <w:szCs w:val="21"/>
                      <w:highlight w:val="none"/>
                    </w:rPr>
                    <w:t>由市政环卫部门收集清运；</w:t>
                  </w:r>
                </w:p>
              </w:tc>
              <w:tc>
                <w:tcPr>
                  <w:tcW w:w="519" w:type="pct"/>
                  <w:vMerge w:val="restart"/>
                  <w:tcBorders>
                    <w:tl2br w:val="nil"/>
                    <w:tr2bl w:val="nil"/>
                  </w:tcBorders>
                  <w:noWrap w:val="0"/>
                  <w:vAlign w:val="center"/>
                </w:tcPr>
                <w:p w14:paraId="4221991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已建成</w:t>
                  </w:r>
                </w:p>
              </w:tc>
            </w:tr>
            <w:tr w14:paraId="32B8F0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4" w:type="pct"/>
                  <w:gridSpan w:val="2"/>
                  <w:vMerge w:val="continue"/>
                  <w:tcBorders>
                    <w:tl2br w:val="nil"/>
                    <w:tr2bl w:val="nil"/>
                  </w:tcBorders>
                  <w:noWrap w:val="0"/>
                  <w:vAlign w:val="center"/>
                </w:tcPr>
                <w:p w14:paraId="27BEBF03">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28C46DEF">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tcBorders>
                    <w:tl2br w:val="nil"/>
                    <w:tr2bl w:val="nil"/>
                  </w:tcBorders>
                  <w:noWrap w:val="0"/>
                  <w:vAlign w:val="center"/>
                </w:tcPr>
                <w:p w14:paraId="02C60D6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r>
                    <w:rPr>
                      <w:rFonts w:hint="default" w:ascii="Times New Roman" w:hAnsi="Times New Roman" w:eastAsia="宋体" w:cs="Times New Roman"/>
                      <w:color w:val="auto"/>
                      <w:spacing w:val="-1"/>
                      <w:kern w:val="0"/>
                      <w:sz w:val="21"/>
                      <w:szCs w:val="21"/>
                      <w:highlight w:val="none"/>
                    </w:rPr>
                    <w:t>危险废物暂存间</w:t>
                  </w:r>
                </w:p>
              </w:tc>
              <w:tc>
                <w:tcPr>
                  <w:tcW w:w="2706" w:type="pct"/>
                  <w:tcBorders>
                    <w:tl2br w:val="nil"/>
                    <w:tr2bl w:val="nil"/>
                  </w:tcBorders>
                  <w:noWrap w:val="0"/>
                  <w:vAlign w:val="center"/>
                </w:tcPr>
                <w:p w14:paraId="2EFABC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snapToGrid w:val="0"/>
                      <w:color w:val="auto"/>
                      <w:sz w:val="21"/>
                      <w:szCs w:val="21"/>
                      <w:highlight w:val="none"/>
                    </w:rPr>
                    <w:t>危废暂存间面积</w:t>
                  </w:r>
                  <w:r>
                    <w:rPr>
                      <w:rFonts w:hint="default" w:ascii="Times New Roman" w:hAnsi="Times New Roman" w:eastAsia="宋体" w:cs="Times New Roman"/>
                      <w:snapToGrid w:val="0"/>
                      <w:color w:val="auto"/>
                      <w:sz w:val="21"/>
                      <w:szCs w:val="21"/>
                      <w:highlight w:val="none"/>
                      <w:lang w:val="en-US" w:eastAsia="zh-CN"/>
                    </w:rPr>
                    <w:t>43</w:t>
                  </w:r>
                  <w:r>
                    <w:rPr>
                      <w:rFonts w:hint="default" w:ascii="Times New Roman" w:hAnsi="Times New Roman" w:eastAsia="宋体" w:cs="Times New Roman"/>
                      <w:snapToGrid w:val="0"/>
                      <w:color w:val="auto"/>
                      <w:sz w:val="21"/>
                      <w:szCs w:val="21"/>
                      <w:highlight w:val="none"/>
                    </w:rPr>
                    <w:t>0m</w:t>
                  </w:r>
                  <w:r>
                    <w:rPr>
                      <w:rFonts w:hint="default" w:ascii="Times New Roman" w:hAnsi="Times New Roman" w:eastAsia="宋体" w:cs="Times New Roman"/>
                      <w:snapToGrid w:val="0"/>
                      <w:color w:val="auto"/>
                      <w:sz w:val="21"/>
                      <w:szCs w:val="21"/>
                      <w:highlight w:val="none"/>
                      <w:vertAlign w:val="superscript"/>
                    </w:rPr>
                    <w:t>2</w:t>
                  </w:r>
                  <w:r>
                    <w:rPr>
                      <w:rFonts w:hint="default" w:ascii="Times New Roman" w:hAnsi="Times New Roman" w:eastAsia="宋体" w:cs="Times New Roman"/>
                      <w:snapToGrid w:val="0"/>
                      <w:color w:val="auto"/>
                      <w:sz w:val="21"/>
                      <w:szCs w:val="21"/>
                      <w:highlight w:val="none"/>
                    </w:rPr>
                    <w:t>，地面基础防渗符合《危险废物贮存污染控制标准》</w:t>
                  </w:r>
                  <w:r>
                    <w:rPr>
                      <w:rFonts w:hint="eastAsia" w:ascii="Times New Roman" w:hAnsi="Times New Roman"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GB18597-2001</w:t>
                  </w:r>
                  <w:r>
                    <w:rPr>
                      <w:rFonts w:hint="eastAsia" w:ascii="Times New Roman" w:hAnsi="Times New Roman" w:cs="Times New Roman"/>
                      <w:snapToGrid w:val="0"/>
                      <w:color w:val="auto"/>
                      <w:sz w:val="21"/>
                      <w:szCs w:val="21"/>
                      <w:highlight w:val="none"/>
                      <w:lang w:eastAsia="zh-CN"/>
                    </w:rPr>
                    <w:t>）</w:t>
                  </w:r>
                  <w:r>
                    <w:rPr>
                      <w:rFonts w:hint="default" w:ascii="Times New Roman" w:hAnsi="Times New Roman" w:eastAsia="宋体" w:cs="Times New Roman"/>
                      <w:color w:val="auto"/>
                      <w:kern w:val="0"/>
                      <w:sz w:val="21"/>
                      <w:szCs w:val="21"/>
                      <w:highlight w:val="none"/>
                      <w:lang w:val="en-US" w:eastAsia="zh-CN" w:bidi="ar"/>
                    </w:rPr>
                    <w:t>及2013修改单中的有关规定，基础做防渗，防渗层为至少1m 厚粘土层（渗透系数≤10</w:t>
                  </w:r>
                  <w:r>
                    <w:rPr>
                      <w:rFonts w:hint="default" w:ascii="Times New Roman" w:hAnsi="Times New Roman" w:eastAsia="宋体" w:cs="Times New Roman"/>
                      <w:color w:val="auto"/>
                      <w:kern w:val="0"/>
                      <w:sz w:val="21"/>
                      <w:szCs w:val="21"/>
                      <w:highlight w:val="none"/>
                      <w:vertAlign w:val="superscript"/>
                      <w:lang w:val="en-US" w:eastAsia="zh-CN" w:bidi="ar"/>
                    </w:rPr>
                    <w:t xml:space="preserve">-7 </w:t>
                  </w:r>
                  <w:r>
                    <w:rPr>
                      <w:rFonts w:hint="default" w:ascii="Times New Roman" w:hAnsi="Times New Roman" w:eastAsia="宋体" w:cs="Times New Roman"/>
                      <w:color w:val="auto"/>
                      <w:kern w:val="0"/>
                      <w:sz w:val="21"/>
                      <w:szCs w:val="21"/>
                      <w:highlight w:val="none"/>
                      <w:lang w:val="en-US" w:eastAsia="zh-CN" w:bidi="ar"/>
                    </w:rPr>
                    <w:t>cm/s）或至少2mm 厚的其它人工材料，渗透系数≤10</w:t>
                  </w:r>
                  <w:r>
                    <w:rPr>
                      <w:rFonts w:hint="default" w:ascii="Times New Roman" w:hAnsi="Times New Roman" w:eastAsia="宋体" w:cs="Times New Roman"/>
                      <w:color w:val="auto"/>
                      <w:kern w:val="0"/>
                      <w:sz w:val="21"/>
                      <w:szCs w:val="21"/>
                      <w:highlight w:val="none"/>
                      <w:vertAlign w:val="superscript"/>
                      <w:lang w:val="en-US" w:eastAsia="zh-CN" w:bidi="ar"/>
                    </w:rPr>
                    <w:t>-10</w:t>
                  </w:r>
                  <w:r>
                    <w:rPr>
                      <w:rFonts w:hint="default" w:ascii="Times New Roman" w:hAnsi="Times New Roman" w:eastAsia="宋体" w:cs="Times New Roman"/>
                      <w:color w:val="auto"/>
                      <w:kern w:val="0"/>
                      <w:sz w:val="21"/>
                      <w:szCs w:val="21"/>
                      <w:highlight w:val="none"/>
                      <w:lang w:val="en-US" w:eastAsia="zh-CN" w:bidi="ar"/>
                    </w:rPr>
                    <w:t>cm/s；</w:t>
                  </w:r>
                  <w:r>
                    <w:rPr>
                      <w:rFonts w:hint="default" w:ascii="Times New Roman" w:hAnsi="Times New Roman" w:eastAsia="宋体" w:cs="Times New Roman"/>
                      <w:snapToGrid w:val="0"/>
                      <w:color w:val="auto"/>
                      <w:sz w:val="21"/>
                      <w:szCs w:val="21"/>
                      <w:highlight w:val="none"/>
                      <w:lang w:val="en-US" w:eastAsia="zh-CN"/>
                    </w:rPr>
                    <w:t>一次性最大</w:t>
                  </w:r>
                  <w:r>
                    <w:rPr>
                      <w:rFonts w:hint="default" w:ascii="Times New Roman" w:hAnsi="Times New Roman" w:eastAsia="宋体" w:cs="Times New Roman"/>
                      <w:snapToGrid w:val="0"/>
                      <w:color w:val="auto"/>
                      <w:sz w:val="21"/>
                      <w:szCs w:val="21"/>
                      <w:highlight w:val="none"/>
                    </w:rPr>
                    <w:t>周转量为</w:t>
                  </w:r>
                  <w:r>
                    <w:rPr>
                      <w:rFonts w:hint="default" w:ascii="Times New Roman" w:hAnsi="Times New Roman" w:eastAsia="宋体" w:cs="Times New Roman"/>
                      <w:snapToGrid w:val="0"/>
                      <w:color w:val="auto"/>
                      <w:sz w:val="21"/>
                      <w:szCs w:val="21"/>
                      <w:highlight w:val="none"/>
                      <w:lang w:val="en-US" w:eastAsia="zh-CN"/>
                    </w:rPr>
                    <w:t>500</w:t>
                  </w:r>
                  <w:r>
                    <w:rPr>
                      <w:rFonts w:hint="default" w:ascii="Times New Roman" w:hAnsi="Times New Roman" w:eastAsia="宋体" w:cs="Times New Roman"/>
                      <w:snapToGrid w:val="0"/>
                      <w:color w:val="auto"/>
                      <w:sz w:val="21"/>
                      <w:szCs w:val="21"/>
                      <w:highlight w:val="none"/>
                    </w:rPr>
                    <w:t>t；</w:t>
                  </w:r>
                </w:p>
              </w:tc>
              <w:tc>
                <w:tcPr>
                  <w:tcW w:w="519" w:type="pct"/>
                  <w:vMerge w:val="continue"/>
                  <w:tcBorders>
                    <w:tl2br w:val="nil"/>
                    <w:tr2bl w:val="nil"/>
                  </w:tcBorders>
                  <w:noWrap w:val="0"/>
                  <w:vAlign w:val="center"/>
                </w:tcPr>
                <w:p w14:paraId="6D9164AB">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r>
            <w:tr w14:paraId="5F128D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4" w:type="pct"/>
                  <w:gridSpan w:val="2"/>
                  <w:vMerge w:val="continue"/>
                  <w:tcBorders>
                    <w:tl2br w:val="nil"/>
                    <w:tr2bl w:val="nil"/>
                  </w:tcBorders>
                  <w:noWrap w:val="0"/>
                  <w:vAlign w:val="center"/>
                </w:tcPr>
                <w:p w14:paraId="7530A4DE">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tcBorders>
                    <w:tl2br w:val="nil"/>
                    <w:tr2bl w:val="nil"/>
                  </w:tcBorders>
                  <w:noWrap w:val="0"/>
                  <w:vAlign w:val="center"/>
                </w:tcPr>
                <w:p w14:paraId="4EAE9AF4">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557" w:type="pct"/>
                  <w:tcBorders>
                    <w:tl2br w:val="nil"/>
                    <w:tr2bl w:val="nil"/>
                  </w:tcBorders>
                  <w:noWrap w:val="0"/>
                  <w:vAlign w:val="center"/>
                </w:tcPr>
                <w:p w14:paraId="2692A354">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r>
                    <w:rPr>
                      <w:rFonts w:hint="default" w:ascii="Times New Roman" w:hAnsi="Times New Roman" w:eastAsia="宋体" w:cs="Times New Roman"/>
                      <w:color w:val="auto"/>
                      <w:spacing w:val="-1"/>
                      <w:kern w:val="0"/>
                      <w:sz w:val="21"/>
                      <w:szCs w:val="21"/>
                      <w:highlight w:val="none"/>
                    </w:rPr>
                    <w:t>分区防渗及监控</w:t>
                  </w:r>
                </w:p>
              </w:tc>
              <w:tc>
                <w:tcPr>
                  <w:tcW w:w="2706" w:type="pct"/>
                  <w:tcBorders>
                    <w:tl2br w:val="nil"/>
                    <w:tr2bl w:val="nil"/>
                  </w:tcBorders>
                  <w:noWrap w:val="0"/>
                  <w:vAlign w:val="center"/>
                </w:tcPr>
                <w:p w14:paraId="32FE4EC0">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采用分区防渗，按重点防渗区、一般防渗区、简单防渗区分别进行防渗，</w:t>
                  </w:r>
                  <w:r>
                    <w:rPr>
                      <w:rFonts w:hint="default" w:ascii="Times New Roman" w:hAnsi="Times New Roman" w:eastAsia="宋体" w:cs="Times New Roman"/>
                      <w:color w:val="auto"/>
                      <w:sz w:val="21"/>
                      <w:szCs w:val="21"/>
                      <w:highlight w:val="none"/>
                      <w:lang w:val="en-US" w:eastAsia="zh-CN"/>
                    </w:rPr>
                    <w:t>其中</w:t>
                  </w:r>
                  <w:r>
                    <w:rPr>
                      <w:rFonts w:hint="default" w:ascii="Times New Roman" w:hAnsi="Times New Roman" w:eastAsia="宋体" w:cs="Times New Roman"/>
                      <w:color w:val="auto"/>
                      <w:sz w:val="21"/>
                      <w:szCs w:val="21"/>
                      <w:highlight w:val="none"/>
                    </w:rPr>
                    <w:t>一般污染防治区防渗层的防渗性能不应低于1.5m厚渗透系数为1.0×10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cm/s的粘土层的防渗性能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重点污染防治区的防渗性能不应低于6.0m厚渗透系数为1.0×10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cm/s的粘土层的防渗性能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设置3口地下水监控井；</w:t>
                  </w:r>
                </w:p>
              </w:tc>
              <w:tc>
                <w:tcPr>
                  <w:tcW w:w="519" w:type="pct"/>
                  <w:tcBorders>
                    <w:tl2br w:val="nil"/>
                    <w:tr2bl w:val="nil"/>
                  </w:tcBorders>
                  <w:noWrap w:val="0"/>
                  <w:vAlign w:val="center"/>
                </w:tcPr>
                <w:p w14:paraId="4B552253">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已建设</w:t>
                  </w:r>
                </w:p>
              </w:tc>
            </w:tr>
            <w:tr w14:paraId="0AB94F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4" w:type="pct"/>
                  <w:gridSpan w:val="2"/>
                  <w:vMerge w:val="continue"/>
                  <w:tcBorders>
                    <w:tl2br w:val="nil"/>
                    <w:tr2bl w:val="nil"/>
                  </w:tcBorders>
                  <w:noWrap w:val="0"/>
                  <w:vAlign w:val="center"/>
                </w:tcPr>
                <w:p w14:paraId="4A483706">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restart"/>
                  <w:tcBorders>
                    <w:tl2br w:val="nil"/>
                    <w:tr2bl w:val="nil"/>
                  </w:tcBorders>
                  <w:noWrap w:val="0"/>
                  <w:vAlign w:val="center"/>
                </w:tcPr>
                <w:p w14:paraId="507C7581">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w:t>
                  </w:r>
                </w:p>
                <w:p w14:paraId="5EC63340">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风险</w:t>
                  </w:r>
                </w:p>
              </w:tc>
              <w:tc>
                <w:tcPr>
                  <w:tcW w:w="557" w:type="pct"/>
                  <w:tcBorders>
                    <w:tl2br w:val="nil"/>
                    <w:tr2bl w:val="nil"/>
                  </w:tcBorders>
                  <w:noWrap w:val="0"/>
                  <w:vAlign w:val="center"/>
                </w:tcPr>
                <w:p w14:paraId="34C4BB6B">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rPr>
                  </w:pPr>
                  <w:r>
                    <w:rPr>
                      <w:rFonts w:hint="default" w:ascii="Times New Roman" w:hAnsi="Times New Roman" w:eastAsia="宋体" w:cs="Times New Roman"/>
                      <w:color w:val="auto"/>
                      <w:spacing w:val="-1"/>
                      <w:kern w:val="0"/>
                      <w:sz w:val="21"/>
                      <w:szCs w:val="21"/>
                      <w:highlight w:val="none"/>
                    </w:rPr>
                    <w:t>三级防控</w:t>
                  </w:r>
                </w:p>
              </w:tc>
              <w:tc>
                <w:tcPr>
                  <w:tcW w:w="2706" w:type="pct"/>
                  <w:tcBorders>
                    <w:tl2br w:val="nil"/>
                    <w:tr2bl w:val="nil"/>
                  </w:tcBorders>
                  <w:noWrap w:val="0"/>
                  <w:vAlign w:val="center"/>
                </w:tcPr>
                <w:p w14:paraId="7A4E5927">
                  <w:pPr>
                    <w:pStyle w:val="151"/>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第一级防控措施：储罐设置围堰和防火堤</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lang w:val="en-US" w:eastAsia="zh-CN"/>
                    </w:rPr>
                    <w:t>围堰</w:t>
                  </w:r>
                  <w:r>
                    <w:rPr>
                      <w:rFonts w:hint="default" w:ascii="Times New Roman" w:hAnsi="Times New Roman" w:eastAsia="宋体" w:cs="Times New Roman"/>
                      <w:color w:val="auto"/>
                      <w:sz w:val="21"/>
                      <w:szCs w:val="21"/>
                      <w:highlight w:val="none"/>
                      <w:lang w:val="en-US" w:eastAsia="zh-CN"/>
                    </w:rPr>
                    <w:t>约1.2m高，总</w:t>
                  </w:r>
                  <w:r>
                    <w:rPr>
                      <w:rFonts w:hint="default" w:ascii="Times New Roman" w:hAnsi="Times New Roman" w:eastAsia="宋体" w:cs="Times New Roman"/>
                      <w:color w:val="auto"/>
                      <w:sz w:val="21"/>
                      <w:szCs w:val="21"/>
                      <w:highlight w:val="none"/>
                    </w:rPr>
                    <w:t>容积</w:t>
                  </w:r>
                  <w:r>
                    <w:rPr>
                      <w:rFonts w:hint="default" w:ascii="Times New Roman" w:hAnsi="Times New Roman" w:eastAsia="宋体" w:cs="Times New Roman"/>
                      <w:color w:val="auto"/>
                      <w:sz w:val="21"/>
                      <w:szCs w:val="21"/>
                      <w:highlight w:val="none"/>
                      <w:lang w:val="en-US" w:eastAsia="zh-CN"/>
                    </w:rPr>
                    <w:t>为225</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，有效容积按90%计为</w:t>
                  </w:r>
                  <w:r>
                    <w:rPr>
                      <w:rFonts w:hint="default" w:ascii="Times New Roman" w:hAnsi="Times New Roman" w:eastAsia="宋体" w:cs="Times New Roman"/>
                      <w:color w:val="auto"/>
                      <w:sz w:val="21"/>
                      <w:szCs w:val="21"/>
                      <w:highlight w:val="none"/>
                      <w:lang w:val="en-US" w:eastAsia="zh-CN"/>
                    </w:rPr>
                    <w:t>202.5</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snapToGrid w:val="0"/>
                      <w:color w:val="auto"/>
                      <w:sz w:val="21"/>
                      <w:szCs w:val="21"/>
                      <w:highlight w:val="none"/>
                    </w:rPr>
                    <w:t>生产车间地面设置环形水沟，</w:t>
                  </w:r>
                  <w:r>
                    <w:rPr>
                      <w:rFonts w:hint="default" w:ascii="Times New Roman" w:hAnsi="Times New Roman" w:eastAsia="宋体" w:cs="Times New Roman"/>
                      <w:snapToGrid w:val="0"/>
                      <w:color w:val="auto"/>
                      <w:sz w:val="21"/>
                      <w:szCs w:val="21"/>
                      <w:highlight w:val="none"/>
                      <w:lang w:val="en-US" w:eastAsia="zh-CN"/>
                    </w:rPr>
                    <w:t>原辅料储存仓库（201、203）</w:t>
                  </w:r>
                  <w:r>
                    <w:rPr>
                      <w:rFonts w:hint="default" w:ascii="Times New Roman" w:hAnsi="Times New Roman" w:eastAsia="宋体" w:cs="Times New Roman"/>
                      <w:snapToGrid w:val="0"/>
                      <w:color w:val="auto"/>
                      <w:sz w:val="21"/>
                      <w:szCs w:val="21"/>
                      <w:highlight w:val="none"/>
                    </w:rPr>
                    <w:t>内设置事故应急砂等</w:t>
                  </w:r>
                  <w:r>
                    <w:rPr>
                      <w:rFonts w:hint="eastAsia" w:ascii="Times New Roman" w:hAnsi="Times New Roman" w:cs="Times New Roman"/>
                      <w:snapToGrid w:val="0"/>
                      <w:color w:val="auto"/>
                      <w:sz w:val="21"/>
                      <w:szCs w:val="21"/>
                      <w:highlight w:val="none"/>
                      <w:lang w:eastAsia="zh-CN"/>
                    </w:rPr>
                    <w:t>惰性</w:t>
                  </w:r>
                  <w:r>
                    <w:rPr>
                      <w:rFonts w:hint="default" w:ascii="Times New Roman" w:hAnsi="Times New Roman" w:eastAsia="宋体" w:cs="Times New Roman"/>
                      <w:snapToGrid w:val="0"/>
                      <w:color w:val="auto"/>
                      <w:sz w:val="21"/>
                      <w:szCs w:val="21"/>
                      <w:highlight w:val="none"/>
                    </w:rPr>
                    <w:t>材料吸附材料</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lang w:val="en-US" w:eastAsia="zh-CN"/>
                    </w:rPr>
                    <w:t>甲类仓库201设置</w:t>
                  </w:r>
                  <w:r>
                    <w:rPr>
                      <w:rFonts w:hint="default" w:ascii="Times New Roman" w:hAnsi="Times New Roman" w:eastAsia="宋体" w:cs="Times New Roman"/>
                      <w:color w:val="auto"/>
                      <w:sz w:val="21"/>
                      <w:szCs w:val="21"/>
                      <w:highlight w:val="none"/>
                      <w:lang w:val="en-US" w:eastAsia="zh-CN"/>
                    </w:rPr>
                    <w:t>1套废气泄露紧急处理系统，采用</w:t>
                  </w:r>
                  <w:r>
                    <w:rPr>
                      <w:rFonts w:hint="eastAsia" w:asciiTheme="minorEastAsia" w:hAnsiTheme="minorEastAsia" w:eastAsiaTheme="minorEastAsia" w:cstheme="minorEastAsia"/>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二级降膜水吸收+二级碱液吸收+除湿除雾+活性炭吸附</w:t>
                  </w:r>
                  <w:r>
                    <w:rPr>
                      <w:rFonts w:hint="eastAsia" w:asciiTheme="minorEastAsia" w:hAnsiTheme="minorEastAsia" w:eastAsiaTheme="minorEastAsia" w:cstheme="minorEastAsia"/>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，确保发生</w:t>
                  </w:r>
                  <w:r>
                    <w:rPr>
                      <w:rFonts w:hint="eastAsia" w:ascii="Times New Roman" w:hAnsi="Times New Roman" w:cs="Times New Roman"/>
                      <w:color w:val="auto"/>
                      <w:sz w:val="21"/>
                      <w:szCs w:val="21"/>
                      <w:highlight w:val="none"/>
                      <w:lang w:val="en-US" w:eastAsia="zh-CN"/>
                    </w:rPr>
                    <w:t>泄漏</w:t>
                  </w:r>
                  <w:r>
                    <w:rPr>
                      <w:rFonts w:hint="default" w:ascii="Times New Roman" w:hAnsi="Times New Roman" w:eastAsia="宋体" w:cs="Times New Roman"/>
                      <w:color w:val="auto"/>
                      <w:sz w:val="21"/>
                      <w:szCs w:val="21"/>
                      <w:highlight w:val="none"/>
                      <w:lang w:val="en-US" w:eastAsia="zh-CN"/>
                    </w:rPr>
                    <w:t>状态下废气达标排放</w:t>
                  </w:r>
                  <w:r>
                    <w:rPr>
                      <w:rFonts w:hint="default" w:ascii="Times New Roman" w:hAnsi="Times New Roman" w:eastAsia="宋体"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初期雨水排入厂区雨水收集管网，通过切换阀，排入厂区初期雨水收集池，设计容积为1000m</w:t>
                  </w:r>
                  <w:r>
                    <w:rPr>
                      <w:rFonts w:hint="default" w:ascii="Times New Roman" w:hAnsi="Times New Roman" w:eastAsia="宋体" w:cs="Times New Roman"/>
                      <w:snapToGrid w:val="0"/>
                      <w:color w:val="auto"/>
                      <w:sz w:val="21"/>
                      <w:szCs w:val="21"/>
                      <w:highlight w:val="none"/>
                      <w:vertAlign w:val="superscript"/>
                    </w:rPr>
                    <w:t>3</w:t>
                  </w:r>
                  <w:r>
                    <w:rPr>
                      <w:rFonts w:hint="default" w:ascii="Times New Roman" w:hAnsi="Times New Roman" w:eastAsia="宋体" w:cs="Times New Roman"/>
                      <w:snapToGrid w:val="0"/>
                      <w:color w:val="auto"/>
                      <w:sz w:val="21"/>
                      <w:szCs w:val="21"/>
                      <w:highlight w:val="none"/>
                    </w:rPr>
                    <w:t>，位于</w:t>
                  </w:r>
                  <w:r>
                    <w:rPr>
                      <w:rFonts w:hint="default" w:ascii="Times New Roman" w:hAnsi="Times New Roman" w:eastAsia="宋体" w:cs="Times New Roman"/>
                      <w:snapToGrid w:val="0"/>
                      <w:color w:val="auto"/>
                      <w:sz w:val="21"/>
                      <w:szCs w:val="21"/>
                      <w:highlight w:val="none"/>
                      <w:lang w:val="en-US" w:eastAsia="zh-CN"/>
                    </w:rPr>
                    <w:t>厂区东北角地势最低处</w:t>
                  </w:r>
                  <w:r>
                    <w:rPr>
                      <w:rFonts w:hint="default" w:ascii="Times New Roman" w:hAnsi="Times New Roman" w:eastAsia="宋体" w:cs="Times New Roman"/>
                      <w:snapToGrid w:val="0"/>
                      <w:color w:val="auto"/>
                      <w:sz w:val="21"/>
                      <w:szCs w:val="21"/>
                      <w:highlight w:val="none"/>
                    </w:rPr>
                    <w:t>；</w:t>
                  </w:r>
                </w:p>
                <w:p w14:paraId="2558F76C">
                  <w:pPr>
                    <w:pStyle w:val="151"/>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第二级防控措施：设置</w:t>
                  </w:r>
                  <w:r>
                    <w:rPr>
                      <w:rFonts w:hint="default" w:ascii="Times New Roman" w:hAnsi="Times New Roman" w:eastAsia="宋体" w:cs="Times New Roman"/>
                      <w:snapToGrid w:val="0"/>
                      <w:color w:val="auto"/>
                      <w:sz w:val="21"/>
                      <w:szCs w:val="21"/>
                      <w:highlight w:val="none"/>
                      <w:lang w:val="en-US" w:eastAsia="zh-CN"/>
                    </w:rPr>
                    <w:t>1</w:t>
                  </w:r>
                  <w:r>
                    <w:rPr>
                      <w:rFonts w:hint="default" w:ascii="Times New Roman" w:hAnsi="Times New Roman" w:eastAsia="宋体" w:cs="Times New Roman"/>
                      <w:snapToGrid w:val="0"/>
                      <w:color w:val="auto"/>
                      <w:sz w:val="21"/>
                      <w:szCs w:val="21"/>
                      <w:highlight w:val="none"/>
                    </w:rPr>
                    <w:t>座应急事故池，设计切换装置，总容积为</w:t>
                  </w:r>
                  <w:r>
                    <w:rPr>
                      <w:rFonts w:hint="default" w:ascii="Times New Roman" w:hAnsi="Times New Roman" w:eastAsia="宋体" w:cs="Times New Roman"/>
                      <w:snapToGrid w:val="0"/>
                      <w:color w:val="auto"/>
                      <w:sz w:val="21"/>
                      <w:szCs w:val="21"/>
                      <w:highlight w:val="none"/>
                      <w:lang w:val="en-US" w:eastAsia="zh-CN"/>
                    </w:rPr>
                    <w:t>20</w:t>
                  </w:r>
                  <w:r>
                    <w:rPr>
                      <w:rFonts w:hint="default" w:ascii="Times New Roman" w:hAnsi="Times New Roman" w:eastAsia="宋体" w:cs="Times New Roman"/>
                      <w:snapToGrid w:val="0"/>
                      <w:color w:val="auto"/>
                      <w:sz w:val="21"/>
                      <w:szCs w:val="21"/>
                      <w:highlight w:val="none"/>
                    </w:rPr>
                    <w:t>00m</w:t>
                  </w:r>
                  <w:r>
                    <w:rPr>
                      <w:rFonts w:hint="default" w:ascii="Times New Roman" w:hAnsi="Times New Roman" w:eastAsia="宋体" w:cs="Times New Roman"/>
                      <w:snapToGrid w:val="0"/>
                      <w:color w:val="auto"/>
                      <w:sz w:val="21"/>
                      <w:szCs w:val="21"/>
                      <w:highlight w:val="none"/>
                      <w:vertAlign w:val="superscript"/>
                    </w:rPr>
                    <w:t>3</w:t>
                  </w:r>
                  <w:r>
                    <w:rPr>
                      <w:rFonts w:hint="default" w:ascii="Times New Roman" w:hAnsi="Times New Roman" w:eastAsia="宋体" w:cs="Times New Roman"/>
                      <w:snapToGrid w:val="0"/>
                      <w:color w:val="auto"/>
                      <w:sz w:val="21"/>
                      <w:szCs w:val="21"/>
                      <w:highlight w:val="none"/>
                    </w:rPr>
                    <w:t>，位于</w:t>
                  </w:r>
                  <w:r>
                    <w:rPr>
                      <w:rFonts w:hint="default" w:ascii="Times New Roman" w:hAnsi="Times New Roman" w:eastAsia="宋体" w:cs="Times New Roman"/>
                      <w:snapToGrid w:val="0"/>
                      <w:color w:val="auto"/>
                      <w:sz w:val="21"/>
                      <w:szCs w:val="21"/>
                      <w:highlight w:val="none"/>
                      <w:lang w:val="en-US" w:eastAsia="zh-CN"/>
                    </w:rPr>
                    <w:t>厂区东北角地势最低处</w:t>
                  </w:r>
                  <w:r>
                    <w:rPr>
                      <w:rFonts w:hint="default" w:ascii="Times New Roman" w:hAnsi="Times New Roman" w:eastAsia="宋体" w:cs="Times New Roman"/>
                      <w:snapToGrid w:val="0"/>
                      <w:color w:val="auto"/>
                      <w:sz w:val="21"/>
                      <w:szCs w:val="21"/>
                      <w:highlight w:val="none"/>
                    </w:rPr>
                    <w:t>；</w:t>
                  </w:r>
                </w:p>
                <w:p w14:paraId="1CDE6BD3">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napToGrid w:val="0"/>
                      <w:color w:val="auto"/>
                      <w:sz w:val="21"/>
                      <w:szCs w:val="21"/>
                      <w:highlight w:val="none"/>
                    </w:rPr>
                    <w:t>第三级防控措施：将项目事故池与园区污水处理厂事故应急池连通作为第三级防控措施，防止事故废水排入外环境</w:t>
                  </w:r>
                  <w:r>
                    <w:rPr>
                      <w:rFonts w:hint="default" w:ascii="Times New Roman" w:hAnsi="Times New Roman" w:eastAsia="宋体" w:cs="Times New Roman"/>
                      <w:snapToGrid w:val="0"/>
                      <w:color w:val="auto"/>
                      <w:sz w:val="21"/>
                      <w:szCs w:val="21"/>
                      <w:highlight w:val="none"/>
                      <w:lang w:eastAsia="zh-CN"/>
                    </w:rPr>
                    <w:t>；</w:t>
                  </w:r>
                </w:p>
              </w:tc>
              <w:tc>
                <w:tcPr>
                  <w:tcW w:w="519" w:type="pct"/>
                  <w:vMerge w:val="restart"/>
                  <w:tcBorders>
                    <w:tl2br w:val="nil"/>
                    <w:tr2bl w:val="nil"/>
                  </w:tcBorders>
                  <w:noWrap w:val="0"/>
                  <w:vAlign w:val="center"/>
                </w:tcPr>
                <w:p w14:paraId="7E69F2DD">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运营后实施</w:t>
                  </w:r>
                </w:p>
              </w:tc>
            </w:tr>
            <w:tr w14:paraId="5E6825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664" w:type="pct"/>
                  <w:gridSpan w:val="2"/>
                  <w:vMerge w:val="continue"/>
                  <w:tcBorders>
                    <w:tl2br w:val="nil"/>
                    <w:tr2bl w:val="nil"/>
                  </w:tcBorders>
                  <w:noWrap w:val="0"/>
                  <w:vAlign w:val="center"/>
                </w:tcPr>
                <w:p w14:paraId="05B20F04">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vMerge w:val="continue"/>
                  <w:tcBorders>
                    <w:tl2br w:val="nil"/>
                    <w:tr2bl w:val="nil"/>
                  </w:tcBorders>
                  <w:noWrap w:val="0"/>
                  <w:vAlign w:val="center"/>
                </w:tcPr>
                <w:p w14:paraId="631159DB">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7" w:type="pct"/>
                  <w:tcBorders>
                    <w:tl2br w:val="nil"/>
                    <w:tr2bl w:val="nil"/>
                  </w:tcBorders>
                  <w:noWrap w:val="0"/>
                  <w:vAlign w:val="center"/>
                </w:tcPr>
                <w:p w14:paraId="6D73AC68">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pacing w:val="-1"/>
                      <w:kern w:val="0"/>
                      <w:sz w:val="21"/>
                      <w:szCs w:val="21"/>
                      <w:highlight w:val="none"/>
                      <w:lang w:val="en-US" w:eastAsia="zh-CN"/>
                    </w:rPr>
                    <w:t>管理措施</w:t>
                  </w:r>
                </w:p>
              </w:tc>
              <w:tc>
                <w:tcPr>
                  <w:tcW w:w="2706" w:type="pct"/>
                  <w:tcBorders>
                    <w:tl2br w:val="nil"/>
                    <w:tr2bl w:val="nil"/>
                  </w:tcBorders>
                  <w:noWrap w:val="0"/>
                  <w:vAlign w:val="center"/>
                </w:tcPr>
                <w:p w14:paraId="5116C192">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snapToGrid w:val="0"/>
                      <w:color w:val="auto"/>
                      <w:sz w:val="21"/>
                      <w:szCs w:val="21"/>
                      <w:highlight w:val="none"/>
                      <w:lang w:val="en-US" w:eastAsia="zh-CN"/>
                    </w:rPr>
                  </w:pPr>
                  <w:r>
                    <w:rPr>
                      <w:rFonts w:hint="default" w:ascii="Times New Roman" w:hAnsi="Times New Roman" w:eastAsia="宋体" w:cs="Times New Roman"/>
                      <w:color w:val="auto"/>
                      <w:sz w:val="21"/>
                      <w:szCs w:val="21"/>
                      <w:highlight w:val="none"/>
                    </w:rPr>
                    <w:t>建立厂区突发事件环境风险应急预案，设置专门人员负责厂区环境风险日常监管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加强与厂区周边企业及园区应急分级联动；</w:t>
                  </w:r>
                </w:p>
              </w:tc>
              <w:tc>
                <w:tcPr>
                  <w:tcW w:w="519" w:type="pct"/>
                  <w:vMerge w:val="continue"/>
                  <w:tcBorders>
                    <w:tl2br w:val="nil"/>
                    <w:tr2bl w:val="nil"/>
                  </w:tcBorders>
                  <w:noWrap w:val="0"/>
                  <w:vAlign w:val="center"/>
                </w:tcPr>
                <w:p w14:paraId="64AB2AF5">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0A50EC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 w:hRule="atLeast"/>
                <w:jc w:val="center"/>
              </w:trPr>
              <w:tc>
                <w:tcPr>
                  <w:tcW w:w="664" w:type="pct"/>
                  <w:gridSpan w:val="2"/>
                  <w:vMerge w:val="continue"/>
                  <w:tcBorders>
                    <w:tl2br w:val="nil"/>
                    <w:tr2bl w:val="nil"/>
                  </w:tcBorders>
                  <w:noWrap w:val="0"/>
                  <w:vAlign w:val="center"/>
                </w:tcPr>
                <w:p w14:paraId="5185B0A7">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552" w:type="pct"/>
                  <w:gridSpan w:val="2"/>
                  <w:tcBorders>
                    <w:tl2br w:val="nil"/>
                    <w:tr2bl w:val="nil"/>
                  </w:tcBorders>
                  <w:noWrap w:val="0"/>
                  <w:vAlign w:val="center"/>
                </w:tcPr>
                <w:p w14:paraId="49B7B294">
                  <w:pPr>
                    <w:keepNext w:val="0"/>
                    <w:keepLines w:val="0"/>
                    <w:pageBreakBefore w:val="0"/>
                    <w:widowControl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w:t>
                  </w:r>
                </w:p>
                <w:p w14:paraId="6179F553">
                  <w:pPr>
                    <w:keepNext w:val="0"/>
                    <w:keepLines w:val="0"/>
                    <w:pageBreakBefore w:val="0"/>
                    <w:widowControl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w:t>
                  </w:r>
                </w:p>
              </w:tc>
              <w:tc>
                <w:tcPr>
                  <w:tcW w:w="557" w:type="pct"/>
                  <w:tcBorders>
                    <w:tl2br w:val="nil"/>
                    <w:tr2bl w:val="nil"/>
                  </w:tcBorders>
                  <w:noWrap w:val="0"/>
                  <w:vAlign w:val="center"/>
                </w:tcPr>
                <w:p w14:paraId="6FDA042B">
                  <w:pPr>
                    <w:keepNext w:val="0"/>
                    <w:keepLines w:val="0"/>
                    <w:pageBreakBefore w:val="0"/>
                    <w:widowControl w:val="0"/>
                    <w:wordWrap/>
                    <w:topLinePunct w:val="0"/>
                    <w:bidi w:val="0"/>
                    <w:spacing w:line="240" w:lineRule="auto"/>
                    <w:ind w:firstLine="0" w:firstLineChars="0"/>
                    <w:jc w:val="center"/>
                    <w:textAlignment w:val="auto"/>
                    <w:rPr>
                      <w:rFonts w:hint="default" w:ascii="Times New Roman" w:hAnsi="Times New Roman" w:eastAsia="宋体" w:cs="Times New Roman"/>
                      <w:color w:val="auto"/>
                      <w:spacing w:val="-1"/>
                      <w:kern w:val="0"/>
                      <w:sz w:val="21"/>
                      <w:szCs w:val="21"/>
                      <w:highlight w:val="none"/>
                      <w:lang w:val="en-US" w:eastAsia="zh-CN"/>
                    </w:rPr>
                  </w:pPr>
                  <w:r>
                    <w:rPr>
                      <w:rFonts w:hint="default" w:ascii="Times New Roman" w:hAnsi="Times New Roman" w:eastAsia="宋体" w:cs="Times New Roman"/>
                      <w:color w:val="auto"/>
                      <w:sz w:val="21"/>
                      <w:szCs w:val="21"/>
                      <w:highlight w:val="none"/>
                    </w:rPr>
                    <w:t>监测计划</w:t>
                  </w:r>
                </w:p>
              </w:tc>
              <w:tc>
                <w:tcPr>
                  <w:tcW w:w="2706" w:type="pct"/>
                  <w:tcBorders>
                    <w:tl2br w:val="nil"/>
                    <w:tr2bl w:val="nil"/>
                  </w:tcBorders>
                  <w:noWrap w:val="0"/>
                  <w:vAlign w:val="center"/>
                </w:tcPr>
                <w:p w14:paraId="31149B79">
                  <w:pPr>
                    <w:keepNext w:val="0"/>
                    <w:keepLines w:val="0"/>
                    <w:pageBreakBefore w:val="0"/>
                    <w:widowControl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按</w:t>
                  </w:r>
                  <w:r>
                    <w:rPr>
                      <w:rFonts w:hint="default" w:ascii="Times New Roman" w:hAnsi="Times New Roman" w:eastAsia="宋体" w:cs="Times New Roman"/>
                      <w:color w:val="auto"/>
                      <w:sz w:val="21"/>
                      <w:szCs w:val="21"/>
                      <w:highlight w:val="none"/>
                    </w:rPr>
                    <w:t>《排污单位自行监测技术指南 总则》</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HYPERLINK "http://kjs.mep.gov.cn/hjbhbz/bzwb/shjbh/xgbzh/201705/W020170511332490849000.pdf"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（HJ 819-2017）</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 xml:space="preserve">、《排污许可证申请与核发技术规范 </w:t>
                  </w:r>
                  <w:r>
                    <w:rPr>
                      <w:rFonts w:hint="default" w:ascii="Times New Roman" w:hAnsi="Times New Roman" w:eastAsia="宋体" w:cs="Times New Roman"/>
                      <w:color w:val="auto"/>
                      <w:sz w:val="21"/>
                      <w:szCs w:val="21"/>
                      <w:highlight w:val="none"/>
                      <w:lang w:val="en-US" w:eastAsia="zh-CN"/>
                    </w:rPr>
                    <w:t>涂料、油墨、颜料及类似产品制造业</w:t>
                  </w:r>
                  <w:r>
                    <w:rPr>
                      <w:rFonts w:hint="default" w:ascii="Times New Roman" w:hAnsi="Times New Roman" w:eastAsia="宋体" w:cs="Times New Roman"/>
                      <w:color w:val="auto"/>
                      <w:sz w:val="21"/>
                      <w:szCs w:val="21"/>
                      <w:highlight w:val="none"/>
                    </w:rPr>
                    <w:t>》（HJ</w:t>
                  </w:r>
                  <w:r>
                    <w:rPr>
                      <w:rFonts w:hint="default" w:ascii="Times New Roman" w:hAnsi="Times New Roman" w:eastAsia="宋体" w:cs="Times New Roman"/>
                      <w:color w:val="auto"/>
                      <w:sz w:val="21"/>
                      <w:szCs w:val="21"/>
                      <w:highlight w:val="none"/>
                      <w:lang w:val="en-US" w:eastAsia="zh-CN"/>
                    </w:rPr>
                    <w:t>1116</w:t>
                  </w: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HYPERLINK "https://www.mee.gov.cn/ywgz/fgbz/bz/bzwb/shjbh/xgbzh/201705/W020170511330877890199.pdf"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排污单位自行监测技术指南 火力发电及锅炉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HJ 820-2017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制定本工程环境监测计划并按计划中的频次对厂区相应环境要素进行监测，按要求建立台账信息，定期进行企业自查并上报当地环境保护主管部门。</w:t>
                  </w:r>
                </w:p>
              </w:tc>
              <w:tc>
                <w:tcPr>
                  <w:tcW w:w="519" w:type="pct"/>
                  <w:tcBorders>
                    <w:tl2br w:val="nil"/>
                    <w:tr2bl w:val="nil"/>
                  </w:tcBorders>
                  <w:noWrap w:val="0"/>
                  <w:vAlign w:val="center"/>
                </w:tcPr>
                <w:p w14:paraId="669E1A0C">
                  <w:pPr>
                    <w:keepNext w:val="0"/>
                    <w:keepLines w:val="0"/>
                    <w:pageBreakBefore w:val="0"/>
                    <w:wordWrap/>
                    <w:topLinePunct w:val="0"/>
                    <w:bidi w:val="0"/>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运营后实施</w:t>
                  </w:r>
                </w:p>
              </w:tc>
            </w:tr>
          </w:tbl>
          <w:p w14:paraId="4272E037">
            <w:pPr>
              <w:adjustRightInd w:val="0"/>
              <w:snapToGrid w:val="0"/>
              <w:spacing w:before="120" w:beforeLines="50" w:line="360" w:lineRule="auto"/>
              <w:ind w:left="0" w:leftChars="0" w:firstLine="0" w:firstLineChars="0"/>
              <w:rPr>
                <w:rFonts w:ascii="Times New Roman" w:hAnsi="Times New Roman"/>
                <w:b/>
                <w:bCs/>
                <w:color w:val="auto"/>
                <w:sz w:val="24"/>
                <w:highlight w:val="none"/>
              </w:rPr>
            </w:pPr>
            <w:r>
              <w:rPr>
                <w:rFonts w:hint="eastAsia" w:ascii="Times New Roman" w:hAnsi="Times New Roman"/>
                <w:b/>
                <w:bCs/>
                <w:color w:val="auto"/>
                <w:sz w:val="24"/>
                <w:highlight w:val="none"/>
                <w:lang w:val="en-US" w:eastAsia="zh-CN"/>
              </w:rPr>
              <w:t>3.</w:t>
            </w:r>
            <w:r>
              <w:rPr>
                <w:rFonts w:ascii="Times New Roman" w:hAnsi="Times New Roman"/>
                <w:b/>
                <w:bCs/>
                <w:color w:val="auto"/>
                <w:sz w:val="24"/>
                <w:highlight w:val="none"/>
              </w:rPr>
              <w:t>运营期污染物排放情况</w:t>
            </w:r>
          </w:p>
          <w:p w14:paraId="1FF77E55">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default" w:eastAsia="宋体"/>
                <w:color w:val="auto"/>
                <w:highlight w:val="none"/>
                <w:lang w:val="en-US" w:eastAsia="zh-CN"/>
              </w:rPr>
            </w:pPr>
            <w:r>
              <w:rPr>
                <w:rFonts w:hint="eastAsia"/>
                <w:color w:val="auto"/>
                <w:highlight w:val="none"/>
                <w:lang w:val="en-US" w:eastAsia="zh-CN"/>
              </w:rPr>
              <w:t>现有工程处于建设阶段，不存在污染物排放情况</w:t>
            </w:r>
          </w:p>
          <w:p w14:paraId="4E41080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宋体"/>
                <w:b/>
                <w:bCs/>
                <w:color w:val="auto"/>
                <w:sz w:val="24"/>
                <w:highlight w:val="none"/>
                <w:lang w:val="en-US" w:eastAsia="zh-CN"/>
              </w:rPr>
            </w:pPr>
            <w:r>
              <w:rPr>
                <w:rFonts w:hint="eastAsia" w:ascii="Times New Roman" w:hAnsi="Times New Roman" w:eastAsia="宋体" w:cs="宋体"/>
                <w:b/>
                <w:bCs/>
                <w:color w:val="auto"/>
                <w:sz w:val="24"/>
                <w:highlight w:val="none"/>
                <w:lang w:val="en-US" w:eastAsia="zh-CN"/>
              </w:rPr>
              <w:t>4.现有工程存在环境问题及改进措施</w:t>
            </w:r>
          </w:p>
          <w:p w14:paraId="34E0A6E7">
            <w:pPr>
              <w:keepNext w:val="0"/>
              <w:keepLines w:val="0"/>
              <w:pageBreakBefore w:val="0"/>
              <w:kinsoku/>
              <w:wordWrap/>
              <w:overflowPunct/>
              <w:topLinePunct w:val="0"/>
              <w:autoSpaceDE/>
              <w:autoSpaceDN/>
              <w:bidi w:val="0"/>
              <w:adjustRightInd w:val="0"/>
              <w:snapToGrid w:val="0"/>
              <w:spacing w:line="360" w:lineRule="auto"/>
              <w:ind w:left="0" w:leftChars="0" w:right="0"/>
              <w:textAlignment w:val="auto"/>
              <w:rPr>
                <w:rFonts w:hint="eastAsia" w:cs="宋体"/>
                <w:color w:val="auto"/>
                <w:highlight w:val="none"/>
                <w:lang w:val="en-US" w:eastAsia="zh-CN"/>
              </w:rPr>
            </w:pPr>
            <w:r>
              <w:rPr>
                <w:rFonts w:hint="eastAsia" w:cs="宋体"/>
                <w:color w:val="auto"/>
                <w:highlight w:val="none"/>
                <w:lang w:val="en-US" w:eastAsia="zh-CN"/>
              </w:rPr>
              <w:t>现有工程处于建设阶段，未正式进入运营投产，运营期不存在现有环境问题。</w:t>
            </w:r>
          </w:p>
          <w:p w14:paraId="085E8298">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eastAsia" w:ascii="宋体" w:hAnsi="宋体" w:cs="宋体"/>
                <w:bCs/>
                <w:color w:val="auto"/>
                <w:spacing w:val="0"/>
                <w:sz w:val="24"/>
                <w:szCs w:val="24"/>
                <w:highlight w:val="none"/>
                <w:shd w:val="clear"/>
                <w:lang w:val="en-US" w:eastAsia="zh-CN"/>
              </w:rPr>
            </w:pPr>
            <w:r>
              <w:rPr>
                <w:rFonts w:hint="eastAsia" w:cs="宋体"/>
                <w:color w:val="auto"/>
                <w:highlight w:val="none"/>
                <w:lang w:val="en-US" w:eastAsia="zh-CN"/>
              </w:rPr>
              <w:t>本项目施工期严格按照</w:t>
            </w:r>
            <w:r>
              <w:rPr>
                <w:rFonts w:hint="eastAsia" w:ascii="宋体" w:hAnsi="宋体" w:cs="宋体"/>
                <w:bCs/>
                <w:color w:val="auto"/>
                <w:spacing w:val="0"/>
                <w:sz w:val="24"/>
                <w:szCs w:val="24"/>
                <w:highlight w:val="none"/>
                <w:shd w:val="clear"/>
                <w:lang w:val="en-US" w:eastAsia="zh-CN"/>
              </w:rPr>
              <w:t>《黑龙江省鸡西市梨树区燎泰高强度着色粉和中间体项目（一期）环境影响报告书》所提出的环保措施进行施工，施工期间主要污染物无废气、废水、噪声、固体废物。具体防止措施如下：</w:t>
            </w:r>
          </w:p>
          <w:p w14:paraId="31D4C91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cs="宋体"/>
                <w:bCs/>
                <w:color w:val="auto"/>
                <w:spacing w:val="0"/>
                <w:sz w:val="24"/>
                <w:szCs w:val="24"/>
                <w:highlight w:val="none"/>
                <w:shd w:val="clear"/>
                <w:lang w:val="en-US" w:eastAsia="zh-CN"/>
              </w:rPr>
            </w:pPr>
            <w:r>
              <w:rPr>
                <w:rFonts w:hint="eastAsia" w:cs="宋体"/>
                <w:bCs/>
                <w:color w:val="auto"/>
                <w:spacing w:val="0"/>
                <w:sz w:val="24"/>
                <w:szCs w:val="24"/>
                <w:highlight w:val="none"/>
                <w:shd w:val="clear"/>
                <w:lang w:val="en-US" w:eastAsia="zh-CN"/>
              </w:rPr>
              <w:t>1.废气</w:t>
            </w:r>
          </w:p>
          <w:p w14:paraId="5CE57CDD">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color w:val="auto"/>
                <w:highlight w:val="none"/>
              </w:rPr>
            </w:pPr>
            <w:r>
              <w:rPr>
                <w:rFonts w:hint="default"/>
                <w:color w:val="auto"/>
                <w:highlight w:val="none"/>
              </w:rPr>
              <w:t>（1）</w:t>
            </w:r>
            <w:r>
              <w:rPr>
                <w:rFonts w:hint="eastAsia"/>
                <w:color w:val="auto"/>
                <w:highlight w:val="none"/>
                <w:lang w:val="en-US" w:eastAsia="zh-CN"/>
              </w:rPr>
              <w:t>工业场地施工作业区</w:t>
            </w:r>
            <w:r>
              <w:rPr>
                <w:rFonts w:hint="default"/>
                <w:color w:val="auto"/>
                <w:highlight w:val="none"/>
              </w:rPr>
              <w:t>施工设置2.5m高全封闭围挡</w:t>
            </w:r>
            <w:r>
              <w:rPr>
                <w:rFonts w:hint="eastAsia"/>
                <w:color w:val="auto"/>
                <w:highlight w:val="none"/>
                <w:lang w:eastAsia="zh-CN"/>
              </w:rPr>
              <w:t>，</w:t>
            </w:r>
            <w:r>
              <w:rPr>
                <w:rFonts w:hint="eastAsia"/>
                <w:color w:val="auto"/>
                <w:highlight w:val="none"/>
                <w:lang w:val="en-US" w:eastAsia="zh-CN"/>
              </w:rPr>
              <w:t>工业场地各建筑物建成后拆除</w:t>
            </w:r>
            <w:r>
              <w:rPr>
                <w:rFonts w:hint="default"/>
                <w:color w:val="auto"/>
                <w:highlight w:val="none"/>
                <w:lang w:eastAsia="zh-CN"/>
              </w:rPr>
              <w:t>；</w:t>
            </w:r>
          </w:p>
          <w:p w14:paraId="7D012863">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color w:val="auto"/>
                <w:highlight w:val="none"/>
              </w:rPr>
            </w:pPr>
            <w:r>
              <w:rPr>
                <w:rFonts w:hint="default"/>
                <w:color w:val="auto"/>
                <w:highlight w:val="none"/>
              </w:rPr>
              <w:t>（2）施工区场地及进出场道路硬化处理</w:t>
            </w:r>
            <w:r>
              <w:rPr>
                <w:rFonts w:hint="default"/>
                <w:color w:val="auto"/>
                <w:highlight w:val="none"/>
                <w:lang w:eastAsia="zh-CN"/>
              </w:rPr>
              <w:t>；</w:t>
            </w:r>
          </w:p>
          <w:p w14:paraId="0FB3706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color w:val="auto"/>
                <w:highlight w:val="none"/>
              </w:rPr>
            </w:pPr>
            <w:r>
              <w:rPr>
                <w:rFonts w:hint="default"/>
                <w:color w:val="auto"/>
                <w:highlight w:val="none"/>
              </w:rPr>
              <w:t>（3）设置临时排水管道及沉淀池收集、处理施工废水，回用于施工区降尘</w:t>
            </w:r>
            <w:r>
              <w:rPr>
                <w:rFonts w:hint="default"/>
                <w:color w:val="auto"/>
                <w:highlight w:val="none"/>
                <w:lang w:eastAsia="zh-CN"/>
              </w:rPr>
              <w:t>；</w:t>
            </w:r>
          </w:p>
          <w:p w14:paraId="18700B2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color w:val="auto"/>
                <w:highlight w:val="none"/>
              </w:rPr>
              <w:t>（4）对建筑固废</w:t>
            </w:r>
            <w:r>
              <w:rPr>
                <w:rFonts w:hint="default" w:ascii="Times New Roman" w:hAnsi="Times New Roman" w:eastAsia="宋体" w:cs="Times New Roman"/>
                <w:color w:val="auto"/>
                <w:highlight w:val="none"/>
              </w:rPr>
              <w:t>清运过程中采用苫盖措施</w:t>
            </w:r>
            <w:r>
              <w:rPr>
                <w:rFonts w:hint="eastAsia" w:ascii="Times New Roman" w:hAnsi="Times New Roman" w:eastAsia="宋体" w:cs="Times New Roman"/>
                <w:color w:val="auto"/>
                <w:highlight w:val="none"/>
                <w:lang w:val="en-US" w:eastAsia="zh-CN"/>
              </w:rPr>
              <w:t>及洒水降尘措施</w:t>
            </w:r>
            <w:r>
              <w:rPr>
                <w:rFonts w:hint="default" w:ascii="Times New Roman" w:hAnsi="Times New Roman" w:eastAsia="宋体" w:cs="Times New Roman"/>
                <w:color w:val="auto"/>
                <w:highlight w:val="none"/>
                <w:lang w:eastAsia="zh-CN"/>
              </w:rPr>
              <w:t>；</w:t>
            </w:r>
          </w:p>
          <w:p w14:paraId="1A2449FB">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5</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厂内的建设过程定期洒水降尘；</w:t>
            </w:r>
          </w:p>
          <w:p w14:paraId="13BD0C8B">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2.废水</w:t>
            </w:r>
          </w:p>
          <w:p w14:paraId="617DD15B">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w:t>
            </w:r>
            <w:r>
              <w:rPr>
                <w:rFonts w:hint="eastAsia" w:ascii="Times New Roman" w:hAnsi="Times New Roman" w:cs="Times New Roman"/>
                <w:bCs/>
                <w:color w:val="auto"/>
                <w:szCs w:val="21"/>
                <w:highlight w:val="none"/>
                <w:lang w:val="en-US" w:eastAsia="zh-CN"/>
              </w:rPr>
              <w:t>工业场地</w:t>
            </w:r>
            <w:r>
              <w:rPr>
                <w:rFonts w:hint="default" w:ascii="Times New Roman" w:hAnsi="Times New Roman" w:cs="Times New Roman"/>
                <w:bCs/>
                <w:color w:val="auto"/>
                <w:szCs w:val="21"/>
                <w:highlight w:val="none"/>
              </w:rPr>
              <w:t>施工设置</w:t>
            </w:r>
            <w:r>
              <w:rPr>
                <w:rFonts w:hint="eastAsia" w:ascii="Times New Roman" w:hAnsi="Times New Roman" w:cs="Times New Roman"/>
                <w:bCs/>
                <w:color w:val="auto"/>
                <w:szCs w:val="21"/>
                <w:highlight w:val="none"/>
                <w:lang w:val="en-US" w:eastAsia="zh-CN"/>
              </w:rPr>
              <w:t>5</w:t>
            </w:r>
            <w:r>
              <w:rPr>
                <w:rFonts w:hint="default" w:ascii="Times New Roman" w:hAnsi="Times New Roman" w:cs="Times New Roman"/>
                <w:bCs/>
                <w:color w:val="auto"/>
                <w:szCs w:val="21"/>
                <w:highlight w:val="none"/>
                <w:lang w:val="en-US" w:eastAsia="zh-CN"/>
              </w:rPr>
              <w:t>m</w:t>
            </w:r>
            <w:r>
              <w:rPr>
                <w:rFonts w:hint="default" w:ascii="Times New Roman" w:hAnsi="Times New Roman" w:cs="Times New Roman"/>
                <w:bCs/>
                <w:color w:val="auto"/>
                <w:szCs w:val="21"/>
                <w:highlight w:val="none"/>
                <w:vertAlign w:val="superscript"/>
                <w:lang w:val="en-US" w:eastAsia="zh-CN"/>
              </w:rPr>
              <w:t>3</w:t>
            </w:r>
            <w:r>
              <w:rPr>
                <w:rFonts w:hint="default" w:ascii="Times New Roman" w:hAnsi="Times New Roman" w:cs="Times New Roman"/>
                <w:bCs/>
                <w:color w:val="auto"/>
                <w:szCs w:val="21"/>
                <w:highlight w:val="none"/>
                <w:lang w:val="en-US" w:eastAsia="zh-CN"/>
              </w:rPr>
              <w:t>沉淀池</w:t>
            </w:r>
            <w:r>
              <w:rPr>
                <w:rFonts w:hint="default" w:ascii="Times New Roman" w:hAnsi="Times New Roman" w:cs="Times New Roman"/>
                <w:bCs/>
                <w:color w:val="auto"/>
                <w:szCs w:val="21"/>
                <w:highlight w:val="none"/>
                <w:lang w:eastAsia="zh-CN"/>
              </w:rPr>
              <w:t>；</w:t>
            </w:r>
          </w:p>
          <w:p w14:paraId="0E2E592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（2）</w:t>
            </w:r>
            <w:r>
              <w:rPr>
                <w:rFonts w:hint="default" w:ascii="Times New Roman" w:hAnsi="Times New Roman" w:cs="Times New Roman"/>
                <w:bCs/>
                <w:color w:val="auto"/>
                <w:szCs w:val="21"/>
                <w:highlight w:val="none"/>
                <w:lang w:eastAsia="zh-CN"/>
              </w:rPr>
              <w:t>经沉淀处理的施工废水回用于施工场降尘；</w:t>
            </w:r>
          </w:p>
          <w:p w14:paraId="76062B57">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cs="Times New Roman"/>
                <w:bCs/>
                <w:color w:val="auto"/>
                <w:szCs w:val="21"/>
                <w:highlight w:val="none"/>
                <w:lang w:eastAsia="zh-CN"/>
              </w:rPr>
            </w:pPr>
            <w:r>
              <w:rPr>
                <w:rFonts w:hint="default" w:ascii="Times New Roman" w:hAnsi="Times New Roman" w:cs="Times New Roman"/>
                <w:bCs/>
                <w:color w:val="auto"/>
                <w:szCs w:val="21"/>
                <w:highlight w:val="none"/>
              </w:rPr>
              <w:t>（</w:t>
            </w:r>
            <w:r>
              <w:rPr>
                <w:rFonts w:hint="default" w:ascii="Times New Roman" w:hAnsi="Times New Roman" w:cs="Times New Roman"/>
                <w:bCs/>
                <w:color w:val="auto"/>
                <w:szCs w:val="21"/>
                <w:highlight w:val="none"/>
                <w:lang w:val="en-US" w:eastAsia="zh-CN"/>
              </w:rPr>
              <w:t>3</w:t>
            </w:r>
            <w:r>
              <w:rPr>
                <w:rFonts w:hint="default" w:ascii="Times New Roman" w:hAnsi="Times New Roman" w:cs="Times New Roman"/>
                <w:bCs/>
                <w:color w:val="auto"/>
                <w:szCs w:val="21"/>
                <w:highlight w:val="none"/>
                <w:lang w:eastAsia="zh-CN"/>
              </w:rPr>
              <w:t>）</w:t>
            </w:r>
            <w:r>
              <w:rPr>
                <w:rFonts w:hint="eastAsia" w:ascii="Times New Roman" w:hAnsi="Times New Roman" w:cs="Times New Roman"/>
                <w:bCs/>
                <w:color w:val="auto"/>
                <w:szCs w:val="21"/>
                <w:highlight w:val="none"/>
                <w:lang w:val="en-US" w:eastAsia="zh-CN"/>
              </w:rPr>
              <w:t>工业场地</w:t>
            </w:r>
            <w:r>
              <w:rPr>
                <w:rFonts w:hint="default" w:ascii="Times New Roman" w:hAnsi="Times New Roman" w:cs="Times New Roman"/>
                <w:bCs/>
                <w:color w:val="auto"/>
                <w:szCs w:val="21"/>
                <w:highlight w:val="none"/>
                <w:lang w:eastAsia="zh-CN"/>
              </w:rPr>
              <w:t>施工期结束后拆除沉淀池；</w:t>
            </w:r>
          </w:p>
          <w:p w14:paraId="610B31B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3.噪声</w:t>
            </w:r>
          </w:p>
          <w:p w14:paraId="303C9F15">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Cs w:val="21"/>
                <w:highlight w:val="none"/>
              </w:rPr>
              <w:t>（1）</w:t>
            </w:r>
            <w:r>
              <w:rPr>
                <w:rFonts w:hint="eastAsia" w:ascii="Times New Roman" w:hAnsi="Times New Roman" w:cs="Times New Roman"/>
                <w:bCs/>
                <w:color w:val="auto"/>
                <w:szCs w:val="21"/>
                <w:highlight w:val="none"/>
                <w:lang w:val="en-US" w:eastAsia="zh-CN"/>
              </w:rPr>
              <w:t>工业场地</w:t>
            </w:r>
            <w:r>
              <w:rPr>
                <w:rFonts w:hint="default" w:ascii="Times New Roman" w:hAnsi="Times New Roman" w:cs="Times New Roman"/>
                <w:bCs/>
                <w:color w:val="auto"/>
                <w:szCs w:val="21"/>
                <w:highlight w:val="none"/>
              </w:rPr>
              <w:t>施工场边界采用2.5m高全封闭围挡</w:t>
            </w:r>
            <w:r>
              <w:rPr>
                <w:rFonts w:hint="default" w:ascii="Times New Roman" w:hAnsi="Times New Roman" w:cs="Times New Roman"/>
                <w:bCs/>
                <w:color w:val="auto"/>
                <w:szCs w:val="21"/>
                <w:highlight w:val="none"/>
                <w:lang w:eastAsia="zh-CN"/>
              </w:rPr>
              <w:t>；</w:t>
            </w:r>
          </w:p>
          <w:p w14:paraId="2BDD4E70">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cs="Times New Roman"/>
                <w:bCs/>
                <w:color w:val="auto"/>
                <w:szCs w:val="21"/>
                <w:highlight w:val="none"/>
                <w:lang w:eastAsia="zh-CN"/>
              </w:rPr>
            </w:pPr>
            <w:r>
              <w:rPr>
                <w:rFonts w:hint="default" w:ascii="Times New Roman" w:hAnsi="Times New Roman" w:cs="Times New Roman"/>
                <w:bCs/>
                <w:color w:val="auto"/>
                <w:szCs w:val="21"/>
                <w:highlight w:val="none"/>
              </w:rPr>
              <w:t>（2）采用低噪声机械设备</w:t>
            </w:r>
            <w:r>
              <w:rPr>
                <w:rFonts w:hint="default" w:ascii="Times New Roman" w:hAnsi="Times New Roman" w:cs="Times New Roman"/>
                <w:bCs/>
                <w:color w:val="auto"/>
                <w:szCs w:val="21"/>
                <w:highlight w:val="none"/>
                <w:lang w:eastAsia="zh-CN"/>
              </w:rPr>
              <w:t>；</w:t>
            </w:r>
          </w:p>
          <w:p w14:paraId="203379D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bCs/>
                <w:color w:val="auto"/>
                <w:szCs w:val="21"/>
                <w:highlight w:val="none"/>
                <w:lang w:eastAsia="zh-CN"/>
              </w:rPr>
            </w:pPr>
            <w:r>
              <w:rPr>
                <w:rFonts w:hint="default" w:ascii="Times New Roman" w:hAnsi="Times New Roman" w:cs="Times New Roman"/>
                <w:bCs/>
                <w:color w:val="auto"/>
                <w:szCs w:val="21"/>
                <w:highlight w:val="none"/>
                <w:lang w:eastAsia="zh-CN"/>
              </w:rPr>
              <w:t>（</w:t>
            </w:r>
            <w:r>
              <w:rPr>
                <w:rFonts w:hint="eastAsia" w:ascii="Times New Roman" w:hAnsi="Times New Roman" w:cs="Times New Roman"/>
                <w:bCs/>
                <w:color w:val="auto"/>
                <w:szCs w:val="21"/>
                <w:highlight w:val="none"/>
                <w:lang w:val="en-US" w:eastAsia="zh-CN"/>
              </w:rPr>
              <w:t>3</w:t>
            </w:r>
            <w:r>
              <w:rPr>
                <w:rFonts w:hint="default" w:ascii="Times New Roman" w:hAnsi="Times New Roman" w:cs="Times New Roman"/>
                <w:bCs/>
                <w:color w:val="auto"/>
                <w:szCs w:val="21"/>
                <w:highlight w:val="none"/>
                <w:lang w:eastAsia="zh-CN"/>
              </w:rPr>
              <w:t>）合理布置施工设备，采用局部施工方式；</w:t>
            </w:r>
          </w:p>
          <w:p w14:paraId="425EA09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highlight w:val="none"/>
                <w:lang w:val="en-US" w:eastAsia="zh-CN"/>
              </w:rPr>
            </w:pPr>
            <w:r>
              <w:rPr>
                <w:rFonts w:hint="default" w:ascii="Times New Roman" w:hAnsi="Times New Roman" w:cs="Times New Roman"/>
                <w:bCs/>
                <w:color w:val="auto"/>
                <w:szCs w:val="21"/>
                <w:highlight w:val="none"/>
                <w:lang w:val="en-US" w:eastAsia="zh-CN"/>
              </w:rPr>
              <w:t>（</w:t>
            </w:r>
            <w:r>
              <w:rPr>
                <w:rFonts w:hint="eastAsia" w:ascii="Times New Roman" w:hAnsi="Times New Roman" w:cs="Times New Roman"/>
                <w:bCs/>
                <w:color w:val="auto"/>
                <w:szCs w:val="21"/>
                <w:highlight w:val="none"/>
                <w:lang w:val="en-US" w:eastAsia="zh-CN"/>
              </w:rPr>
              <w:t>4</w:t>
            </w:r>
            <w:r>
              <w:rPr>
                <w:rFonts w:hint="default" w:ascii="Times New Roman" w:hAnsi="Times New Roman" w:cs="Times New Roman"/>
                <w:bCs/>
                <w:color w:val="auto"/>
                <w:szCs w:val="21"/>
                <w:highlight w:val="none"/>
                <w:lang w:val="en-US" w:eastAsia="zh-CN"/>
              </w:rPr>
              <w:t>）</w:t>
            </w:r>
            <w:r>
              <w:rPr>
                <w:rFonts w:hint="eastAsia" w:ascii="Times New Roman" w:hAnsi="Times New Roman" w:cs="Times New Roman"/>
                <w:bCs/>
                <w:color w:val="auto"/>
                <w:szCs w:val="21"/>
                <w:highlight w:val="none"/>
                <w:lang w:val="en-US" w:eastAsia="zh-CN"/>
              </w:rPr>
              <w:t>合理安排施工进度，尽量保证</w:t>
            </w:r>
            <w:r>
              <w:rPr>
                <w:rFonts w:hint="default" w:ascii="Times New Roman" w:hAnsi="Times New Roman" w:cs="Times New Roman"/>
                <w:bCs/>
                <w:color w:val="auto"/>
                <w:szCs w:val="21"/>
                <w:highlight w:val="none"/>
                <w:lang w:val="en-US" w:eastAsia="zh-CN"/>
              </w:rPr>
              <w:t>22</w:t>
            </w:r>
            <w:r>
              <w:rPr>
                <w:rFonts w:hint="default" w:ascii="Times New Roman" w:hAnsi="Times New Roman" w:cs="Times New Roman"/>
                <w:bCs/>
                <w:color w:val="auto"/>
                <w:szCs w:val="21"/>
                <w:highlight w:val="none"/>
              </w:rPr>
              <w:t>：00~6：00时间段内</w:t>
            </w:r>
            <w:r>
              <w:rPr>
                <w:rFonts w:hint="eastAsia" w:ascii="Times New Roman" w:hAnsi="Times New Roman" w:cs="Times New Roman"/>
                <w:bCs/>
                <w:color w:val="auto"/>
                <w:szCs w:val="21"/>
                <w:highlight w:val="none"/>
                <w:lang w:val="en-US" w:eastAsia="zh-CN"/>
              </w:rPr>
              <w:t>停止</w:t>
            </w:r>
            <w:r>
              <w:rPr>
                <w:rFonts w:hint="default" w:ascii="Times New Roman" w:hAnsi="Times New Roman" w:cs="Times New Roman"/>
                <w:bCs/>
                <w:color w:val="auto"/>
                <w:szCs w:val="21"/>
                <w:highlight w:val="none"/>
              </w:rPr>
              <w:t>施工</w:t>
            </w:r>
            <w:r>
              <w:rPr>
                <w:rFonts w:hint="default" w:ascii="Times New Roman" w:hAnsi="Times New Roman" w:cs="Times New Roman"/>
                <w:bCs/>
                <w:color w:val="auto"/>
                <w:szCs w:val="21"/>
                <w:highlight w:val="none"/>
                <w:lang w:eastAsia="zh-CN"/>
              </w:rPr>
              <w:t>。</w:t>
            </w:r>
          </w:p>
          <w:p w14:paraId="13C96D5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ascii="Times New Roman" w:hAnsi="Times New Roman"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4.固废</w:t>
            </w:r>
          </w:p>
          <w:p w14:paraId="50D04FB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（1）严格建筑垃圾的管理，施工中散落的砂浆、混凝土，尽量回收利用，凝固的砂浆、混凝土还可以作为再生骨料回收利用</w:t>
            </w:r>
            <w:r>
              <w:rPr>
                <w:rFonts w:hint="default" w:ascii="Times New Roman" w:hAnsi="Times New Roman" w:eastAsia="宋体" w:cs="Times New Roman"/>
                <w:color w:val="auto"/>
                <w:highlight w:val="none"/>
                <w:lang w:eastAsia="zh-CN"/>
              </w:rPr>
              <w:t>；</w:t>
            </w:r>
          </w:p>
          <w:p w14:paraId="765DED8E">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（2）废混凝土块破碎后也可作为碎石直接用于地基加固、</w:t>
            </w:r>
            <w:r>
              <w:rPr>
                <w:rFonts w:hint="default" w:ascii="Times New Roman" w:hAnsi="Times New Roman" w:eastAsia="宋体" w:cs="Times New Roman"/>
                <w:color w:val="auto"/>
                <w:highlight w:val="none"/>
                <w:lang w:eastAsia="zh-CN"/>
              </w:rPr>
              <w:t>厂内</w:t>
            </w:r>
            <w:r>
              <w:rPr>
                <w:rFonts w:hint="default" w:ascii="Times New Roman" w:hAnsi="Times New Roman" w:eastAsia="宋体" w:cs="Times New Roman"/>
                <w:color w:val="auto"/>
                <w:highlight w:val="none"/>
              </w:rPr>
              <w:t>道路垫层、室内地坪垫层等</w:t>
            </w:r>
            <w:r>
              <w:rPr>
                <w:rFonts w:hint="default" w:ascii="Times New Roman" w:hAnsi="Times New Roman" w:eastAsia="宋体" w:cs="Times New Roman"/>
                <w:color w:val="auto"/>
                <w:highlight w:val="none"/>
                <w:lang w:eastAsia="zh-CN"/>
              </w:rPr>
              <w:t>；</w:t>
            </w:r>
          </w:p>
          <w:p w14:paraId="2292DD6D">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rPr>
              <w:t>）碎砖块可以作为粗骨料拌制混凝土，也可以作为地基处理、地坪垫层等的材料</w:t>
            </w:r>
            <w:r>
              <w:rPr>
                <w:rFonts w:hint="default" w:ascii="Times New Roman" w:hAnsi="Times New Roman" w:eastAsia="宋体" w:cs="Times New Roman"/>
                <w:color w:val="auto"/>
                <w:highlight w:val="none"/>
                <w:lang w:eastAsia="zh-CN"/>
              </w:rPr>
              <w:t>；</w:t>
            </w:r>
          </w:p>
          <w:p w14:paraId="3E18D1A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w:t>
            </w:r>
            <w:r>
              <w:rPr>
                <w:rFonts w:hint="eastAsia" w:ascii="Times New Roman" w:hAnsi="Times New Roman" w:cs="Times New Roman"/>
                <w:color w:val="auto"/>
                <w:highlight w:val="none"/>
                <w:lang w:val="en-US" w:eastAsia="zh-CN"/>
              </w:rPr>
              <w:t>4</w:t>
            </w:r>
            <w:r>
              <w:rPr>
                <w:rFonts w:hint="default" w:ascii="Times New Roman" w:hAnsi="Times New Roman" w:eastAsia="宋体" w:cs="Times New Roman"/>
                <w:color w:val="auto"/>
                <w:highlight w:val="none"/>
              </w:rPr>
              <w:t>）不能利用的建筑垃圾及时清运，禁止随意堆放</w:t>
            </w:r>
            <w:r>
              <w:rPr>
                <w:rFonts w:hint="default" w:ascii="Times New Roman" w:hAnsi="Times New Roman" w:eastAsia="宋体" w:cs="Times New Roman"/>
                <w:color w:val="auto"/>
                <w:highlight w:val="none"/>
                <w:lang w:eastAsia="zh-CN"/>
              </w:rPr>
              <w:t>；</w:t>
            </w:r>
          </w:p>
          <w:p w14:paraId="40F99B8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highlight w:val="none"/>
                <w:lang w:val="en-US" w:eastAsia="zh-CN"/>
              </w:rPr>
            </w:pPr>
            <w:r>
              <w:rPr>
                <w:rFonts w:hint="eastAsia" w:ascii="Times New Roman" w:hAnsi="Times New Roman" w:eastAsia="宋体" w:cs="Times New Roman"/>
                <w:color w:val="auto"/>
                <w:highlight w:val="none"/>
                <w:lang w:eastAsia="zh-CN"/>
              </w:rPr>
              <w:t>（</w:t>
            </w:r>
            <w:r>
              <w:rPr>
                <w:rFonts w:hint="eastAsia" w:ascii="Times New Roman" w:hAnsi="Times New Roman" w:cs="Times New Roman"/>
                <w:color w:val="auto"/>
                <w:highlight w:val="none"/>
                <w:lang w:val="en-US" w:eastAsia="zh-CN"/>
              </w:rPr>
              <w:t>5</w:t>
            </w:r>
            <w:r>
              <w:rPr>
                <w:rFonts w:hint="eastAsia" w:ascii="Times New Roman" w:hAnsi="Times New Roman" w:eastAsia="宋体" w:cs="Times New Roman"/>
                <w:color w:val="auto"/>
                <w:highlight w:val="none"/>
                <w:lang w:eastAsia="zh-CN"/>
              </w:rPr>
              <w:t>）工业场地</w:t>
            </w:r>
            <w:r>
              <w:rPr>
                <w:rFonts w:hint="eastAsia" w:ascii="Times New Roman" w:hAnsi="Times New Roman" w:eastAsia="宋体" w:cs="Times New Roman"/>
                <w:color w:val="auto"/>
                <w:highlight w:val="none"/>
                <w:lang w:val="en-US" w:eastAsia="zh-CN"/>
              </w:rPr>
              <w:t>内</w:t>
            </w:r>
            <w:r>
              <w:rPr>
                <w:rFonts w:hint="default" w:ascii="Times New Roman" w:hAnsi="Times New Roman" w:eastAsia="宋体" w:cs="Times New Roman"/>
                <w:color w:val="auto"/>
                <w:highlight w:val="none"/>
              </w:rPr>
              <w:t>管线施工结束后，及时回填，做到无弃方</w:t>
            </w:r>
            <w:r>
              <w:rPr>
                <w:rFonts w:hint="default" w:ascii="Times New Roman" w:hAnsi="Times New Roman" w:eastAsia="宋体" w:cs="Times New Roman"/>
                <w:color w:val="auto"/>
                <w:highlight w:val="none"/>
                <w:lang w:eastAsia="zh-CN"/>
              </w:rPr>
              <w:t>。</w:t>
            </w:r>
          </w:p>
          <w:p w14:paraId="1233890F">
            <w:pPr>
              <w:pStyle w:val="2"/>
              <w:keepNext w:val="0"/>
              <w:keepLines w:val="0"/>
              <w:pageBreakBefore w:val="0"/>
              <w:widowControl w:val="0"/>
              <w:kinsoku/>
              <w:wordWrap/>
              <w:overflowPunct/>
              <w:topLinePunct w:val="0"/>
              <w:autoSpaceDE/>
              <w:autoSpaceDN/>
              <w:bidi w:val="0"/>
              <w:adjustRightInd w:val="0"/>
              <w:snapToGrid w:val="0"/>
              <w:spacing w:after="0"/>
              <w:ind w:left="0" w:leftChars="0" w:firstLine="480" w:firstLineChars="200"/>
              <w:textAlignment w:val="auto"/>
              <w:rPr>
                <w:rFonts w:hint="default"/>
                <w:highlight w:val="none"/>
                <w:lang w:val="en-US" w:eastAsia="zh-CN"/>
              </w:rPr>
            </w:pPr>
            <w:r>
              <w:rPr>
                <w:rFonts w:hint="eastAsia" w:cs="Times New Roman"/>
                <w:bCs/>
                <w:color w:val="auto"/>
                <w:szCs w:val="21"/>
                <w:highlight w:val="none"/>
                <w:lang w:val="en-US" w:eastAsia="zh-CN"/>
              </w:rPr>
              <w:t>在建工程施工期严格采取上述措施，施工期未</w:t>
            </w:r>
            <w:r>
              <w:rPr>
                <w:rFonts w:hint="default" w:ascii="Times New Roman" w:hAnsi="Times New Roman" w:cs="Times New Roman"/>
                <w:color w:val="auto"/>
                <w:highlight w:val="none"/>
              </w:rPr>
              <w:t>对环境造成较大影响。随着施工过程结束对周边环境的影响同时结束，对周围环境影响污染较小。</w:t>
            </w:r>
          </w:p>
        </w:tc>
      </w:tr>
    </w:tbl>
    <w:p w14:paraId="38B3E867">
      <w:pPr>
        <w:pStyle w:val="33"/>
        <w:rPr>
          <w:rFonts w:hint="eastAsia" w:ascii="宋体" w:hAnsi="宋体" w:eastAsia="宋体" w:cs="宋体"/>
          <w:snapToGrid w:val="0"/>
          <w:color w:val="auto"/>
          <w:spacing w:val="0"/>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62B2C80A">
      <w:pPr>
        <w:pStyle w:val="4"/>
        <w:spacing w:line="360" w:lineRule="auto"/>
        <w:jc w:val="center"/>
        <w:rPr>
          <w:rFonts w:hint="eastAsia" w:ascii="宋体" w:hAnsi="宋体" w:eastAsia="宋体" w:cs="宋体"/>
          <w:bCs w:val="0"/>
          <w:color w:val="auto"/>
          <w:spacing w:val="0"/>
          <w:highlight w:val="none"/>
        </w:rPr>
      </w:pPr>
      <w:bookmarkStart w:id="8" w:name="_Toc15264"/>
      <w:bookmarkStart w:id="9" w:name="_Toc71191477"/>
      <w:bookmarkStart w:id="10" w:name="_Toc71191478"/>
      <w:bookmarkStart w:id="11" w:name="_Toc71191479"/>
      <w:r>
        <w:rPr>
          <w:rFonts w:hint="eastAsia" w:ascii="宋体" w:hAnsi="宋体" w:eastAsia="宋体" w:cs="宋体"/>
          <w:bCs w:val="0"/>
          <w:color w:val="auto"/>
          <w:spacing w:val="0"/>
          <w:highlight w:val="none"/>
        </w:rPr>
        <w:t>三、区域环境质量现状、环境保护目标及评价标准</w:t>
      </w:r>
      <w:bookmarkEnd w:id="8"/>
      <w:bookmarkEnd w:id="9"/>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42"/>
        <w:gridCol w:w="7987"/>
      </w:tblGrid>
      <w:tr w14:paraId="665F0E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1" w:hRule="atLeast"/>
          <w:jc w:val="center"/>
        </w:trPr>
        <w:tc>
          <w:tcPr>
            <w:tcW w:w="542" w:type="dxa"/>
            <w:noWrap w:val="0"/>
            <w:vAlign w:val="center"/>
          </w:tcPr>
          <w:p w14:paraId="26FFD65B">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区域</w:t>
            </w:r>
          </w:p>
          <w:p w14:paraId="6CA7DD35">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环境</w:t>
            </w:r>
          </w:p>
          <w:p w14:paraId="02E3B537">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质量</w:t>
            </w:r>
          </w:p>
          <w:p w14:paraId="1362A7AE">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现状</w:t>
            </w:r>
          </w:p>
        </w:tc>
        <w:tc>
          <w:tcPr>
            <w:tcW w:w="7987" w:type="dxa"/>
            <w:noWrap w:val="0"/>
            <w:vAlign w:val="center"/>
          </w:tcPr>
          <w:p w14:paraId="58DCA7D5">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1.</w:t>
            </w:r>
            <w:r>
              <w:rPr>
                <w:rFonts w:hint="eastAsia" w:ascii="宋体" w:hAnsi="宋体" w:eastAsia="宋体" w:cs="宋体"/>
                <w:b/>
                <w:bCs w:val="0"/>
                <w:color w:val="auto"/>
                <w:spacing w:val="0"/>
                <w:sz w:val="24"/>
                <w:szCs w:val="24"/>
                <w:highlight w:val="none"/>
                <w:lang w:val="en-US" w:eastAsia="zh-CN"/>
              </w:rPr>
              <w:t>环境空气质量现状</w:t>
            </w:r>
          </w:p>
          <w:p w14:paraId="620D3D8C">
            <w:pPr>
              <w:pStyle w:val="114"/>
              <w:spacing w:line="360" w:lineRule="auto"/>
              <w:ind w:firstLine="420"/>
              <w:rPr>
                <w:rFonts w:hint="eastAsia" w:ascii="宋体" w:hAnsi="宋体" w:eastAsia="宋体" w:cs="宋体"/>
                <w:color w:val="auto"/>
                <w:spacing w:val="0"/>
                <w:highlight w:val="none"/>
                <w:lang w:val="en-US"/>
              </w:rPr>
            </w:pPr>
            <w:r>
              <w:rPr>
                <w:rFonts w:hint="eastAsia" w:ascii="宋体" w:hAnsi="宋体" w:eastAsia="宋体" w:cs="宋体"/>
                <w:color w:val="auto"/>
                <w:spacing w:val="0"/>
                <w:highlight w:val="none"/>
                <w:lang w:val="en-US" w:eastAsia="zh-CN"/>
              </w:rPr>
              <w:t>（1</w:t>
            </w:r>
            <w:r>
              <w:rPr>
                <w:rFonts w:hint="eastAsia" w:ascii="宋体" w:hAnsi="宋体" w:eastAsia="宋体" w:cs="宋体"/>
                <w:color w:val="auto"/>
                <w:spacing w:val="0"/>
                <w:highlight w:val="none"/>
                <w:lang w:eastAsia="zh-CN"/>
              </w:rPr>
              <w:t>）</w:t>
            </w:r>
            <w:r>
              <w:rPr>
                <w:rFonts w:hint="eastAsia" w:ascii="宋体" w:hAnsi="宋体" w:eastAsia="宋体" w:cs="宋体"/>
                <w:color w:val="auto"/>
                <w:spacing w:val="0"/>
                <w:highlight w:val="none"/>
                <w:lang w:val="en-US" w:eastAsia="zh-CN"/>
              </w:rPr>
              <w:t>基本污染物</w:t>
            </w:r>
          </w:p>
          <w:p w14:paraId="427EA202">
            <w:pPr>
              <w:rPr>
                <w:rFonts w:hint="default" w:ascii="Times New Roman" w:hAnsi="Times New Roman" w:cs="Times New Roman"/>
                <w:color w:val="auto"/>
                <w:highlight w:val="none"/>
              </w:rPr>
            </w:pPr>
            <w:r>
              <w:rPr>
                <w:rFonts w:hint="default" w:ascii="Times New Roman" w:hAnsi="Times New Roman" w:cs="Times New Roman"/>
                <w:color w:val="auto"/>
                <w:highlight w:val="none"/>
              </w:rPr>
              <w:t>根据《2024年黑龙江省生态环境质量状况》，鸡西市空气质量级别达二级标准，达标天数为348天（95.1%）。PM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、CO-95per和O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-8h-90per年均浓度分别为27μg/m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、46μg/m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、8μg/m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、17μg/m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、1.0mg/m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和90μg/m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p w14:paraId="141D9F5C">
            <w:pPr>
              <w:rPr>
                <w:color w:val="auto"/>
                <w:highlight w:val="none"/>
              </w:rPr>
            </w:pPr>
            <w:r>
              <w:rPr>
                <w:color w:val="auto"/>
                <w:highlight w:val="none"/>
              </w:rPr>
              <w:t>各污染物</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、CO、O</w:t>
            </w:r>
            <w:r>
              <w:rPr>
                <w:rFonts w:hint="default" w:ascii="Times New Roman" w:hAnsi="Times New Roman" w:cs="Times New Roman"/>
                <w:color w:val="auto"/>
                <w:highlight w:val="none"/>
                <w:vertAlign w:val="subscript"/>
              </w:rPr>
              <w:t>3</w:t>
            </w:r>
            <w:r>
              <w:rPr>
                <w:color w:val="auto"/>
                <w:highlight w:val="none"/>
              </w:rPr>
              <w:t>均满足《环境空气质量标准》（GB3095-2012）二级标准。</w:t>
            </w:r>
          </w:p>
          <w:p w14:paraId="71B17826">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Times New Roman" w:hAnsi="Times New Roman" w:eastAsia="宋体" w:cs="宋体"/>
                <w:iCs/>
                <w:color w:val="auto"/>
                <w:kern w:val="2"/>
                <w:sz w:val="24"/>
                <w:szCs w:val="24"/>
                <w:highlight w:val="none"/>
                <w:lang w:val="en-US" w:eastAsia="zh-CN" w:bidi="ar-SA"/>
              </w:rPr>
            </w:pPr>
            <w:r>
              <w:rPr>
                <w:rFonts w:hint="eastAsia" w:ascii="Times New Roman" w:hAnsi="Times New Roman" w:eastAsia="宋体" w:cs="宋体"/>
                <w:iCs/>
                <w:color w:val="auto"/>
                <w:kern w:val="2"/>
                <w:sz w:val="24"/>
                <w:szCs w:val="24"/>
                <w:highlight w:val="none"/>
                <w:lang w:val="en-US" w:eastAsia="zh-CN" w:bidi="ar-SA"/>
              </w:rPr>
              <w:t>环境空气监测数据见下表：</w:t>
            </w:r>
          </w:p>
          <w:p w14:paraId="02CF3525">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rFonts w:hint="eastAsia"/>
                <w:b/>
                <w:bCs/>
                <w:color w:val="auto"/>
                <w:spacing w:val="-2"/>
                <w:sz w:val="21"/>
                <w:szCs w:val="21"/>
                <w:highlight w:val="none"/>
                <w:lang w:val="en-US" w:eastAsia="zh-CN"/>
              </w:rPr>
              <w:t>表</w:t>
            </w:r>
            <w:r>
              <w:rPr>
                <w:rFonts w:hint="default" w:ascii="Times New Roman" w:hAnsi="Times New Roman" w:cs="Times New Roman"/>
                <w:b/>
                <w:bCs/>
                <w:color w:val="auto"/>
                <w:spacing w:val="-2"/>
                <w:sz w:val="21"/>
                <w:szCs w:val="21"/>
                <w:highlight w:val="none"/>
                <w:lang w:val="en-US" w:eastAsia="zh-CN"/>
              </w:rPr>
              <w:t>3-1</w:t>
            </w:r>
            <w:r>
              <w:rPr>
                <w:rFonts w:hint="eastAsia"/>
                <w:b/>
                <w:bCs/>
                <w:color w:val="auto"/>
                <w:spacing w:val="-2"/>
                <w:sz w:val="21"/>
                <w:szCs w:val="21"/>
                <w:highlight w:val="none"/>
                <w:lang w:val="en-US" w:eastAsia="zh-CN"/>
              </w:rPr>
              <w:t xml:space="preserve">    </w:t>
            </w:r>
            <w:r>
              <w:rPr>
                <w:b/>
                <w:bCs/>
                <w:color w:val="auto"/>
                <w:spacing w:val="-2"/>
                <w:sz w:val="21"/>
                <w:szCs w:val="21"/>
                <w:highlight w:val="none"/>
              </w:rPr>
              <w:t>区域空气质量现状评价表</w:t>
            </w:r>
          </w:p>
          <w:tbl>
            <w:tblPr>
              <w:tblStyle w:val="148"/>
              <w:tblW w:w="4996"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59"/>
              <w:gridCol w:w="2248"/>
              <w:gridCol w:w="1255"/>
              <w:gridCol w:w="1255"/>
              <w:gridCol w:w="1051"/>
              <w:gridCol w:w="1091"/>
            </w:tblGrid>
            <w:tr w14:paraId="55EC9E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top w:val="single" w:color="000000" w:sz="10" w:space="0"/>
                    <w:left w:val="nil"/>
                  </w:tcBorders>
                  <w:vAlign w:val="center"/>
                </w:tcPr>
                <w:p w14:paraId="345E0912">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6"/>
                      <w:sz w:val="21"/>
                      <w:szCs w:val="21"/>
                      <w:highlight w:val="none"/>
                    </w:rPr>
                    <w:t>污染物</w:t>
                  </w:r>
                </w:p>
              </w:tc>
              <w:tc>
                <w:tcPr>
                  <w:tcW w:w="2250" w:type="dxa"/>
                  <w:tcBorders>
                    <w:top w:val="single" w:color="000000" w:sz="10" w:space="0"/>
                  </w:tcBorders>
                  <w:vAlign w:val="center"/>
                </w:tcPr>
                <w:p w14:paraId="790E7C96">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7"/>
                      <w:sz w:val="21"/>
                      <w:szCs w:val="21"/>
                      <w:highlight w:val="none"/>
                    </w:rPr>
                    <w:t>年评价指标</w:t>
                  </w:r>
                </w:p>
              </w:tc>
              <w:tc>
                <w:tcPr>
                  <w:tcW w:w="1256" w:type="dxa"/>
                  <w:tcBorders>
                    <w:top w:val="single" w:color="000000" w:sz="10" w:space="0"/>
                  </w:tcBorders>
                  <w:vAlign w:val="center"/>
                </w:tcPr>
                <w:p w14:paraId="638E1029">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6"/>
                      <w:sz w:val="21"/>
                      <w:szCs w:val="21"/>
                      <w:highlight w:val="none"/>
                    </w:rPr>
                    <w:t>现状浓度</w:t>
                  </w:r>
                </w:p>
                <w:p w14:paraId="3870EEF3">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2"/>
                      <w:sz w:val="21"/>
                      <w:szCs w:val="21"/>
                      <w:highlight w:val="none"/>
                    </w:rPr>
                    <w:t>(</w:t>
                  </w:r>
                  <w:r>
                    <w:rPr>
                      <w:rFonts w:ascii="Times New Roman" w:hAnsi="Times New Roman" w:eastAsia="Times New Roman" w:cs="Times New Roman"/>
                      <w:color w:val="auto"/>
                      <w:spacing w:val="2"/>
                      <w:sz w:val="21"/>
                      <w:szCs w:val="21"/>
                      <w:highlight w:val="none"/>
                    </w:rPr>
                    <w:t>μg/m</w:t>
                  </w:r>
                  <w:r>
                    <w:rPr>
                      <w:rFonts w:hint="eastAsia" w:ascii="Times New Roman" w:hAnsi="Times New Roman" w:eastAsia="宋体" w:cs="Times New Roman"/>
                      <w:color w:val="auto"/>
                      <w:spacing w:val="2"/>
                      <w:sz w:val="21"/>
                      <w:szCs w:val="21"/>
                      <w:highlight w:val="none"/>
                      <w:vertAlign w:val="superscript"/>
                      <w:lang w:val="en-US" w:eastAsia="zh-CN"/>
                    </w:rPr>
                    <w:t>3</w:t>
                  </w:r>
                  <w:r>
                    <w:rPr>
                      <w:rFonts w:hint="eastAsia" w:ascii="Times New Roman" w:hAnsi="Times New Roman" w:eastAsia="宋体" w:cs="Times New Roman"/>
                      <w:color w:val="auto"/>
                      <w:spacing w:val="2"/>
                      <w:position w:val="6"/>
                      <w:sz w:val="21"/>
                      <w:szCs w:val="21"/>
                      <w:highlight w:val="none"/>
                      <w:lang w:eastAsia="zh-CN"/>
                    </w:rPr>
                    <w:t>)</w:t>
                  </w:r>
                </w:p>
              </w:tc>
              <w:tc>
                <w:tcPr>
                  <w:tcW w:w="1256" w:type="dxa"/>
                  <w:tcBorders>
                    <w:top w:val="single" w:color="000000" w:sz="10" w:space="0"/>
                  </w:tcBorders>
                  <w:vAlign w:val="center"/>
                </w:tcPr>
                <w:p w14:paraId="3DE953BE">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6"/>
                      <w:sz w:val="21"/>
                      <w:szCs w:val="21"/>
                      <w:highlight w:val="none"/>
                    </w:rPr>
                    <w:t>标准值</w:t>
                  </w:r>
                </w:p>
                <w:p w14:paraId="5F8CA706">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2"/>
                      <w:sz w:val="21"/>
                      <w:szCs w:val="21"/>
                      <w:highlight w:val="none"/>
                    </w:rPr>
                    <w:t>(</w:t>
                  </w:r>
                  <w:r>
                    <w:rPr>
                      <w:rFonts w:ascii="Times New Roman" w:hAnsi="Times New Roman" w:eastAsia="Times New Roman" w:cs="Times New Roman"/>
                      <w:color w:val="auto"/>
                      <w:spacing w:val="2"/>
                      <w:sz w:val="21"/>
                      <w:szCs w:val="21"/>
                      <w:highlight w:val="none"/>
                    </w:rPr>
                    <w:t>μg/m</w:t>
                  </w:r>
                  <w:r>
                    <w:rPr>
                      <w:rFonts w:hint="eastAsia" w:ascii="Times New Roman" w:hAnsi="Times New Roman" w:eastAsia="宋体" w:cs="Times New Roman"/>
                      <w:color w:val="auto"/>
                      <w:spacing w:val="2"/>
                      <w:sz w:val="21"/>
                      <w:szCs w:val="21"/>
                      <w:highlight w:val="none"/>
                      <w:vertAlign w:val="superscript"/>
                      <w:lang w:val="en-US" w:eastAsia="zh-CN"/>
                    </w:rPr>
                    <w:t>3</w:t>
                  </w:r>
                  <w:r>
                    <w:rPr>
                      <w:rFonts w:hint="eastAsia" w:ascii="Times New Roman" w:hAnsi="Times New Roman" w:eastAsia="宋体" w:cs="Times New Roman"/>
                      <w:color w:val="auto"/>
                      <w:spacing w:val="2"/>
                      <w:position w:val="6"/>
                      <w:sz w:val="21"/>
                      <w:szCs w:val="21"/>
                      <w:highlight w:val="none"/>
                      <w:lang w:eastAsia="zh-CN"/>
                    </w:rPr>
                    <w:t>)</w:t>
                  </w:r>
                </w:p>
              </w:tc>
              <w:tc>
                <w:tcPr>
                  <w:tcW w:w="1052" w:type="dxa"/>
                  <w:tcBorders>
                    <w:top w:val="single" w:color="000000" w:sz="10" w:space="0"/>
                  </w:tcBorders>
                  <w:vAlign w:val="center"/>
                </w:tcPr>
                <w:p w14:paraId="61F90888">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5"/>
                      <w:sz w:val="21"/>
                      <w:szCs w:val="21"/>
                      <w:highlight w:val="none"/>
                    </w:rPr>
                    <w:t>占标率</w:t>
                  </w:r>
                </w:p>
                <w:p w14:paraId="59027B3A">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z w:val="21"/>
                      <w:szCs w:val="21"/>
                      <w:highlight w:val="none"/>
                    </w:rPr>
                    <w:t>（</w:t>
                  </w:r>
                  <w:r>
                    <w:rPr>
                      <w:rFonts w:ascii="Times New Roman" w:hAnsi="Times New Roman" w:eastAsia="Times New Roman" w:cs="Times New Roman"/>
                      <w:color w:val="auto"/>
                      <w:sz w:val="21"/>
                      <w:szCs w:val="21"/>
                      <w:highlight w:val="none"/>
                    </w:rPr>
                    <w:t>%</w:t>
                  </w:r>
                  <w:r>
                    <w:rPr>
                      <w:color w:val="auto"/>
                      <w:sz w:val="21"/>
                      <w:szCs w:val="21"/>
                      <w:highlight w:val="none"/>
                    </w:rPr>
                    <w:t>）</w:t>
                  </w:r>
                </w:p>
              </w:tc>
              <w:tc>
                <w:tcPr>
                  <w:tcW w:w="1092" w:type="dxa"/>
                  <w:tcBorders>
                    <w:top w:val="single" w:color="000000" w:sz="10" w:space="0"/>
                    <w:right w:val="nil"/>
                  </w:tcBorders>
                  <w:vAlign w:val="center"/>
                </w:tcPr>
                <w:p w14:paraId="3A9778DF">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7"/>
                      <w:sz w:val="21"/>
                      <w:szCs w:val="21"/>
                      <w:highlight w:val="none"/>
                    </w:rPr>
                    <w:t>达标情况</w:t>
                  </w:r>
                </w:p>
              </w:tc>
            </w:tr>
            <w:tr w14:paraId="10B176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left w:val="nil"/>
                  </w:tcBorders>
                  <w:vAlign w:val="center"/>
                </w:tcPr>
                <w:p w14:paraId="4177855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z w:val="21"/>
                      <w:szCs w:val="21"/>
                      <w:highlight w:val="none"/>
                    </w:rPr>
                    <w:t>PM</w:t>
                  </w:r>
                  <w:r>
                    <w:rPr>
                      <w:rFonts w:ascii="Times New Roman" w:hAnsi="Times New Roman" w:eastAsia="Times New Roman" w:cs="Times New Roman"/>
                      <w:color w:val="auto"/>
                      <w:spacing w:val="6"/>
                      <w:position w:val="-1"/>
                      <w:sz w:val="21"/>
                      <w:szCs w:val="21"/>
                      <w:highlight w:val="none"/>
                      <w:vertAlign w:val="subscript"/>
                    </w:rPr>
                    <w:t>2.5</w:t>
                  </w:r>
                </w:p>
              </w:tc>
              <w:tc>
                <w:tcPr>
                  <w:tcW w:w="2250" w:type="dxa"/>
                  <w:vAlign w:val="center"/>
                </w:tcPr>
                <w:p w14:paraId="63391A55">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8"/>
                      <w:sz w:val="21"/>
                      <w:szCs w:val="21"/>
                      <w:highlight w:val="none"/>
                    </w:rPr>
                    <w:t>年平均质量浓度</w:t>
                  </w:r>
                </w:p>
              </w:tc>
              <w:tc>
                <w:tcPr>
                  <w:tcW w:w="1256" w:type="dxa"/>
                  <w:vAlign w:val="center"/>
                </w:tcPr>
                <w:p w14:paraId="416549F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2"/>
                      <w:sz w:val="21"/>
                      <w:szCs w:val="21"/>
                      <w:highlight w:val="none"/>
                    </w:rPr>
                    <w:t>28</w:t>
                  </w:r>
                </w:p>
              </w:tc>
              <w:tc>
                <w:tcPr>
                  <w:tcW w:w="1256" w:type="dxa"/>
                  <w:vAlign w:val="center"/>
                </w:tcPr>
                <w:p w14:paraId="6FB2963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z w:val="21"/>
                      <w:szCs w:val="21"/>
                      <w:highlight w:val="none"/>
                    </w:rPr>
                    <w:t>35</w:t>
                  </w:r>
                </w:p>
              </w:tc>
              <w:tc>
                <w:tcPr>
                  <w:tcW w:w="1052" w:type="dxa"/>
                  <w:vAlign w:val="center"/>
                </w:tcPr>
                <w:p w14:paraId="31C2DDE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z w:val="21"/>
                      <w:szCs w:val="21"/>
                      <w:highlight w:val="none"/>
                    </w:rPr>
                    <w:t>80.0</w:t>
                  </w:r>
                </w:p>
              </w:tc>
              <w:tc>
                <w:tcPr>
                  <w:tcW w:w="1092" w:type="dxa"/>
                  <w:tcBorders>
                    <w:right w:val="nil"/>
                  </w:tcBorders>
                  <w:vAlign w:val="center"/>
                </w:tcPr>
                <w:p w14:paraId="3B3E288F">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5"/>
                      <w:sz w:val="21"/>
                      <w:szCs w:val="21"/>
                      <w:highlight w:val="none"/>
                    </w:rPr>
                    <w:t>达标</w:t>
                  </w:r>
                </w:p>
              </w:tc>
            </w:tr>
            <w:tr w14:paraId="26A53E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left w:val="nil"/>
                  </w:tcBorders>
                  <w:vAlign w:val="center"/>
                </w:tcPr>
                <w:p w14:paraId="0F9E46E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z w:val="21"/>
                      <w:szCs w:val="21"/>
                      <w:highlight w:val="none"/>
                    </w:rPr>
                    <w:t>PM</w:t>
                  </w:r>
                  <w:r>
                    <w:rPr>
                      <w:rFonts w:ascii="Times New Roman" w:hAnsi="Times New Roman" w:eastAsia="Times New Roman" w:cs="Times New Roman"/>
                      <w:color w:val="auto"/>
                      <w:spacing w:val="8"/>
                      <w:position w:val="-1"/>
                      <w:sz w:val="21"/>
                      <w:szCs w:val="21"/>
                      <w:highlight w:val="none"/>
                      <w:vertAlign w:val="subscript"/>
                    </w:rPr>
                    <w:t>10</w:t>
                  </w:r>
                </w:p>
              </w:tc>
              <w:tc>
                <w:tcPr>
                  <w:tcW w:w="2250" w:type="dxa"/>
                  <w:vAlign w:val="center"/>
                </w:tcPr>
                <w:p w14:paraId="32E74115">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8"/>
                      <w:sz w:val="21"/>
                      <w:szCs w:val="21"/>
                      <w:highlight w:val="none"/>
                    </w:rPr>
                    <w:t>年平均质量浓度</w:t>
                  </w:r>
                </w:p>
              </w:tc>
              <w:tc>
                <w:tcPr>
                  <w:tcW w:w="1256" w:type="dxa"/>
                  <w:vAlign w:val="center"/>
                </w:tcPr>
                <w:p w14:paraId="1FBAC48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z w:val="21"/>
                      <w:szCs w:val="21"/>
                      <w:highlight w:val="none"/>
                    </w:rPr>
                    <w:t>50</w:t>
                  </w:r>
                </w:p>
              </w:tc>
              <w:tc>
                <w:tcPr>
                  <w:tcW w:w="1256" w:type="dxa"/>
                  <w:vAlign w:val="center"/>
                </w:tcPr>
                <w:p w14:paraId="6FF462D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1"/>
                      <w:sz w:val="21"/>
                      <w:szCs w:val="21"/>
                      <w:highlight w:val="none"/>
                    </w:rPr>
                    <w:t>70</w:t>
                  </w:r>
                </w:p>
              </w:tc>
              <w:tc>
                <w:tcPr>
                  <w:tcW w:w="1052" w:type="dxa"/>
                  <w:vAlign w:val="center"/>
                </w:tcPr>
                <w:p w14:paraId="4402373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2"/>
                      <w:sz w:val="21"/>
                      <w:szCs w:val="21"/>
                      <w:highlight w:val="none"/>
                    </w:rPr>
                    <w:t>71.4</w:t>
                  </w:r>
                </w:p>
              </w:tc>
              <w:tc>
                <w:tcPr>
                  <w:tcW w:w="1092" w:type="dxa"/>
                  <w:tcBorders>
                    <w:right w:val="nil"/>
                  </w:tcBorders>
                  <w:vAlign w:val="center"/>
                </w:tcPr>
                <w:p w14:paraId="7223E1C5">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5"/>
                      <w:sz w:val="21"/>
                      <w:szCs w:val="21"/>
                      <w:highlight w:val="none"/>
                    </w:rPr>
                    <w:t>达标</w:t>
                  </w:r>
                </w:p>
              </w:tc>
            </w:tr>
            <w:tr w14:paraId="24531A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left w:val="nil"/>
                  </w:tcBorders>
                  <w:vAlign w:val="center"/>
                </w:tcPr>
                <w:p w14:paraId="77ED5C3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z w:val="21"/>
                      <w:szCs w:val="21"/>
                      <w:highlight w:val="none"/>
                    </w:rPr>
                    <w:t>SO</w:t>
                  </w:r>
                  <w:r>
                    <w:rPr>
                      <w:rFonts w:ascii="Times New Roman" w:hAnsi="Times New Roman" w:eastAsia="Times New Roman" w:cs="Times New Roman"/>
                      <w:color w:val="auto"/>
                      <w:spacing w:val="1"/>
                      <w:position w:val="-1"/>
                      <w:sz w:val="21"/>
                      <w:szCs w:val="21"/>
                      <w:highlight w:val="none"/>
                      <w:vertAlign w:val="subscript"/>
                    </w:rPr>
                    <w:t>2</w:t>
                  </w:r>
                </w:p>
              </w:tc>
              <w:tc>
                <w:tcPr>
                  <w:tcW w:w="2250" w:type="dxa"/>
                  <w:vAlign w:val="center"/>
                </w:tcPr>
                <w:p w14:paraId="7404A2C3">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8"/>
                      <w:sz w:val="21"/>
                      <w:szCs w:val="21"/>
                      <w:highlight w:val="none"/>
                    </w:rPr>
                    <w:t>年平均质量浓度</w:t>
                  </w:r>
                </w:p>
              </w:tc>
              <w:tc>
                <w:tcPr>
                  <w:tcW w:w="1256" w:type="dxa"/>
                  <w:vAlign w:val="center"/>
                </w:tcPr>
                <w:p w14:paraId="070C2AA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z w:val="21"/>
                      <w:szCs w:val="21"/>
                      <w:highlight w:val="none"/>
                    </w:rPr>
                    <w:t>8</w:t>
                  </w:r>
                </w:p>
              </w:tc>
              <w:tc>
                <w:tcPr>
                  <w:tcW w:w="1256" w:type="dxa"/>
                  <w:vAlign w:val="center"/>
                </w:tcPr>
                <w:p w14:paraId="0A66A5D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z w:val="21"/>
                      <w:szCs w:val="21"/>
                      <w:highlight w:val="none"/>
                    </w:rPr>
                    <w:t>60</w:t>
                  </w:r>
                </w:p>
              </w:tc>
              <w:tc>
                <w:tcPr>
                  <w:tcW w:w="1052" w:type="dxa"/>
                  <w:vAlign w:val="center"/>
                </w:tcPr>
                <w:p w14:paraId="161666E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3"/>
                      <w:sz w:val="21"/>
                      <w:szCs w:val="21"/>
                      <w:highlight w:val="none"/>
                    </w:rPr>
                    <w:t>13.3</w:t>
                  </w:r>
                </w:p>
              </w:tc>
              <w:tc>
                <w:tcPr>
                  <w:tcW w:w="1092" w:type="dxa"/>
                  <w:tcBorders>
                    <w:right w:val="nil"/>
                  </w:tcBorders>
                  <w:vAlign w:val="center"/>
                </w:tcPr>
                <w:p w14:paraId="366707B7">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5"/>
                      <w:sz w:val="21"/>
                      <w:szCs w:val="21"/>
                      <w:highlight w:val="none"/>
                    </w:rPr>
                    <w:t>达标</w:t>
                  </w:r>
                </w:p>
              </w:tc>
            </w:tr>
            <w:tr w14:paraId="580384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left w:val="nil"/>
                  </w:tcBorders>
                  <w:vAlign w:val="center"/>
                </w:tcPr>
                <w:p w14:paraId="3E41481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7"/>
                      <w:sz w:val="21"/>
                      <w:szCs w:val="21"/>
                      <w:highlight w:val="none"/>
                    </w:rPr>
                    <w:t>NO</w:t>
                  </w:r>
                  <w:r>
                    <w:rPr>
                      <w:rFonts w:ascii="Times New Roman" w:hAnsi="Times New Roman" w:eastAsia="Times New Roman" w:cs="Times New Roman"/>
                      <w:color w:val="auto"/>
                      <w:spacing w:val="7"/>
                      <w:position w:val="-1"/>
                      <w:sz w:val="21"/>
                      <w:szCs w:val="21"/>
                      <w:highlight w:val="none"/>
                      <w:vertAlign w:val="subscript"/>
                    </w:rPr>
                    <w:t>2</w:t>
                  </w:r>
                </w:p>
              </w:tc>
              <w:tc>
                <w:tcPr>
                  <w:tcW w:w="2250" w:type="dxa"/>
                  <w:vAlign w:val="center"/>
                </w:tcPr>
                <w:p w14:paraId="5D05D816">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8"/>
                      <w:sz w:val="21"/>
                      <w:szCs w:val="21"/>
                      <w:highlight w:val="none"/>
                    </w:rPr>
                    <w:t>年平均质量浓度</w:t>
                  </w:r>
                </w:p>
              </w:tc>
              <w:tc>
                <w:tcPr>
                  <w:tcW w:w="1256" w:type="dxa"/>
                  <w:vAlign w:val="center"/>
                </w:tcPr>
                <w:p w14:paraId="62EDF33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2"/>
                      <w:sz w:val="21"/>
                      <w:szCs w:val="21"/>
                      <w:highlight w:val="none"/>
                    </w:rPr>
                    <w:t>20</w:t>
                  </w:r>
                </w:p>
              </w:tc>
              <w:tc>
                <w:tcPr>
                  <w:tcW w:w="1256" w:type="dxa"/>
                  <w:vAlign w:val="center"/>
                </w:tcPr>
                <w:p w14:paraId="5587360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3"/>
                      <w:sz w:val="21"/>
                      <w:szCs w:val="21"/>
                      <w:highlight w:val="none"/>
                    </w:rPr>
                    <w:t>40</w:t>
                  </w:r>
                </w:p>
              </w:tc>
              <w:tc>
                <w:tcPr>
                  <w:tcW w:w="1052" w:type="dxa"/>
                  <w:vAlign w:val="center"/>
                </w:tcPr>
                <w:p w14:paraId="2185D6B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1"/>
                      <w:sz w:val="21"/>
                      <w:szCs w:val="21"/>
                      <w:highlight w:val="none"/>
                    </w:rPr>
                    <w:t>50.0</w:t>
                  </w:r>
                </w:p>
              </w:tc>
              <w:tc>
                <w:tcPr>
                  <w:tcW w:w="1092" w:type="dxa"/>
                  <w:tcBorders>
                    <w:right w:val="nil"/>
                  </w:tcBorders>
                  <w:vAlign w:val="center"/>
                </w:tcPr>
                <w:p w14:paraId="46B9B2D3">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5"/>
                      <w:sz w:val="21"/>
                      <w:szCs w:val="21"/>
                      <w:highlight w:val="none"/>
                    </w:rPr>
                    <w:t>达标</w:t>
                  </w:r>
                </w:p>
              </w:tc>
            </w:tr>
            <w:tr w14:paraId="169F1C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left w:val="nil"/>
                  </w:tcBorders>
                  <w:vAlign w:val="center"/>
                </w:tcPr>
                <w:p w14:paraId="378510D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2"/>
                      <w:sz w:val="21"/>
                      <w:szCs w:val="21"/>
                      <w:highlight w:val="none"/>
                    </w:rPr>
                    <w:t>CO</w:t>
                  </w:r>
                </w:p>
              </w:tc>
              <w:tc>
                <w:tcPr>
                  <w:tcW w:w="2250" w:type="dxa"/>
                  <w:vAlign w:val="center"/>
                </w:tcPr>
                <w:p w14:paraId="494A803D">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5"/>
                      <w:sz w:val="21"/>
                      <w:szCs w:val="21"/>
                      <w:highlight w:val="none"/>
                    </w:rPr>
                    <w:t>百分位数</w:t>
                  </w:r>
                  <w:r>
                    <w:rPr>
                      <w:rFonts w:ascii="Times New Roman" w:hAnsi="Times New Roman" w:eastAsia="Times New Roman" w:cs="Times New Roman"/>
                      <w:color w:val="auto"/>
                      <w:spacing w:val="5"/>
                      <w:sz w:val="21"/>
                      <w:szCs w:val="21"/>
                      <w:highlight w:val="none"/>
                    </w:rPr>
                    <w:t>24h</w:t>
                  </w:r>
                  <w:r>
                    <w:rPr>
                      <w:color w:val="auto"/>
                      <w:spacing w:val="5"/>
                      <w:sz w:val="21"/>
                      <w:szCs w:val="21"/>
                      <w:highlight w:val="none"/>
                    </w:rPr>
                    <w:t>平均浓度</w:t>
                  </w:r>
                </w:p>
              </w:tc>
              <w:tc>
                <w:tcPr>
                  <w:tcW w:w="1256" w:type="dxa"/>
                  <w:vAlign w:val="center"/>
                </w:tcPr>
                <w:p w14:paraId="095F09D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1"/>
                      <w:sz w:val="21"/>
                      <w:szCs w:val="21"/>
                      <w:highlight w:val="none"/>
                    </w:rPr>
                    <w:t>1000</w:t>
                  </w:r>
                </w:p>
              </w:tc>
              <w:tc>
                <w:tcPr>
                  <w:tcW w:w="1256" w:type="dxa"/>
                  <w:vAlign w:val="center"/>
                </w:tcPr>
                <w:p w14:paraId="4B2B291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4"/>
                      <w:sz w:val="21"/>
                      <w:szCs w:val="21"/>
                      <w:highlight w:val="none"/>
                    </w:rPr>
                    <w:t>4000</w:t>
                  </w:r>
                </w:p>
              </w:tc>
              <w:tc>
                <w:tcPr>
                  <w:tcW w:w="1052" w:type="dxa"/>
                  <w:vAlign w:val="center"/>
                </w:tcPr>
                <w:p w14:paraId="64C12A5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2"/>
                      <w:sz w:val="21"/>
                      <w:szCs w:val="21"/>
                      <w:highlight w:val="none"/>
                    </w:rPr>
                    <w:t>25.0</w:t>
                  </w:r>
                </w:p>
              </w:tc>
              <w:tc>
                <w:tcPr>
                  <w:tcW w:w="1092" w:type="dxa"/>
                  <w:tcBorders>
                    <w:right w:val="nil"/>
                  </w:tcBorders>
                  <w:vAlign w:val="center"/>
                </w:tcPr>
                <w:p w14:paraId="12F6FCDE">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5"/>
                      <w:sz w:val="21"/>
                      <w:szCs w:val="21"/>
                      <w:highlight w:val="none"/>
                    </w:rPr>
                    <w:t>达标</w:t>
                  </w:r>
                </w:p>
              </w:tc>
            </w:tr>
            <w:tr w14:paraId="5C612D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860" w:type="dxa"/>
                  <w:tcBorders>
                    <w:left w:val="nil"/>
                    <w:bottom w:val="single" w:color="000000" w:sz="10" w:space="0"/>
                  </w:tcBorders>
                  <w:vAlign w:val="center"/>
                </w:tcPr>
                <w:p w14:paraId="08992469">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1"/>
                      <w:sz w:val="21"/>
                      <w:szCs w:val="21"/>
                      <w:highlight w:val="none"/>
                    </w:rPr>
                    <w:t>O</w:t>
                  </w:r>
                  <w:r>
                    <w:rPr>
                      <w:rFonts w:ascii="Times New Roman" w:hAnsi="Times New Roman" w:eastAsia="Times New Roman" w:cs="Times New Roman"/>
                      <w:color w:val="auto"/>
                      <w:spacing w:val="1"/>
                      <w:position w:val="-1"/>
                      <w:sz w:val="21"/>
                      <w:szCs w:val="21"/>
                      <w:highlight w:val="none"/>
                      <w:vertAlign w:val="subscript"/>
                    </w:rPr>
                    <w:t>3</w:t>
                  </w:r>
                </w:p>
              </w:tc>
              <w:tc>
                <w:tcPr>
                  <w:tcW w:w="2250" w:type="dxa"/>
                  <w:tcBorders>
                    <w:bottom w:val="single" w:color="000000" w:sz="10" w:space="0"/>
                  </w:tcBorders>
                  <w:vAlign w:val="center"/>
                </w:tcPr>
                <w:p w14:paraId="490EAAD8">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5"/>
                      <w:sz w:val="21"/>
                      <w:szCs w:val="21"/>
                      <w:highlight w:val="none"/>
                    </w:rPr>
                    <w:t>百分位数</w:t>
                  </w:r>
                  <w:r>
                    <w:rPr>
                      <w:rFonts w:ascii="Times New Roman" w:hAnsi="Times New Roman" w:eastAsia="Times New Roman" w:cs="Times New Roman"/>
                      <w:color w:val="auto"/>
                      <w:spacing w:val="5"/>
                      <w:sz w:val="21"/>
                      <w:szCs w:val="21"/>
                      <w:highlight w:val="none"/>
                    </w:rPr>
                    <w:t>8h</w:t>
                  </w:r>
                  <w:r>
                    <w:rPr>
                      <w:color w:val="auto"/>
                      <w:spacing w:val="5"/>
                      <w:sz w:val="21"/>
                      <w:szCs w:val="21"/>
                      <w:highlight w:val="none"/>
                    </w:rPr>
                    <w:t>平均浓度</w:t>
                  </w:r>
                </w:p>
              </w:tc>
              <w:tc>
                <w:tcPr>
                  <w:tcW w:w="1256" w:type="dxa"/>
                  <w:tcBorders>
                    <w:bottom w:val="single" w:color="000000" w:sz="10" w:space="0"/>
                  </w:tcBorders>
                  <w:vAlign w:val="center"/>
                </w:tcPr>
                <w:p w14:paraId="0BDF0D1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z w:val="21"/>
                      <w:szCs w:val="21"/>
                      <w:highlight w:val="none"/>
                    </w:rPr>
                    <w:t>98</w:t>
                  </w:r>
                </w:p>
              </w:tc>
              <w:tc>
                <w:tcPr>
                  <w:tcW w:w="1256" w:type="dxa"/>
                  <w:tcBorders>
                    <w:bottom w:val="single" w:color="000000" w:sz="10" w:space="0"/>
                  </w:tcBorders>
                  <w:vAlign w:val="center"/>
                </w:tcPr>
                <w:p w14:paraId="1089ACB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3"/>
                      <w:sz w:val="21"/>
                      <w:szCs w:val="21"/>
                      <w:highlight w:val="none"/>
                    </w:rPr>
                    <w:t>160</w:t>
                  </w:r>
                </w:p>
              </w:tc>
              <w:tc>
                <w:tcPr>
                  <w:tcW w:w="1052" w:type="dxa"/>
                  <w:tcBorders>
                    <w:bottom w:val="single" w:color="000000" w:sz="10" w:space="0"/>
                  </w:tcBorders>
                  <w:vAlign w:val="center"/>
                </w:tcPr>
                <w:p w14:paraId="2E69BAF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sz w:val="21"/>
                      <w:szCs w:val="21"/>
                      <w:highlight w:val="none"/>
                    </w:rPr>
                  </w:pPr>
                  <w:r>
                    <w:rPr>
                      <w:rFonts w:ascii="Times New Roman" w:hAnsi="Times New Roman" w:eastAsia="Times New Roman" w:cs="Times New Roman"/>
                      <w:color w:val="auto"/>
                      <w:spacing w:val="1"/>
                      <w:sz w:val="21"/>
                      <w:szCs w:val="21"/>
                      <w:highlight w:val="none"/>
                    </w:rPr>
                    <w:t>61.2</w:t>
                  </w:r>
                </w:p>
              </w:tc>
              <w:tc>
                <w:tcPr>
                  <w:tcW w:w="1092" w:type="dxa"/>
                  <w:tcBorders>
                    <w:bottom w:val="single" w:color="000000" w:sz="10" w:space="0"/>
                    <w:right w:val="nil"/>
                  </w:tcBorders>
                  <w:vAlign w:val="center"/>
                </w:tcPr>
                <w:p w14:paraId="228C0AD4">
                  <w:pPr>
                    <w:pStyle w:val="147"/>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 w:val="21"/>
                      <w:szCs w:val="21"/>
                      <w:highlight w:val="none"/>
                    </w:rPr>
                  </w:pPr>
                  <w:r>
                    <w:rPr>
                      <w:color w:val="auto"/>
                      <w:spacing w:val="5"/>
                      <w:sz w:val="21"/>
                      <w:szCs w:val="21"/>
                      <w:highlight w:val="none"/>
                    </w:rPr>
                    <w:t>达标</w:t>
                  </w:r>
                </w:p>
              </w:tc>
            </w:tr>
          </w:tbl>
          <w:p w14:paraId="039EDFFB">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bCs w:val="0"/>
                <w:color w:val="auto"/>
                <w:spacing w:val="0"/>
                <w:sz w:val="24"/>
                <w:szCs w:val="24"/>
                <w:highlight w:val="none"/>
                <w:lang w:val="en-US" w:eastAsia="zh-CN"/>
              </w:rPr>
            </w:pPr>
            <w:r>
              <w:rPr>
                <w:color w:val="auto"/>
                <w:sz w:val="24"/>
                <w:szCs w:val="24"/>
                <w:highlight w:val="none"/>
              </w:rPr>
              <w:t>根据《</w:t>
            </w:r>
            <w:r>
              <w:rPr>
                <w:rFonts w:ascii="Times New Roman" w:hAnsi="Times New Roman" w:eastAsia="Times New Roman" w:cs="Times New Roman"/>
                <w:color w:val="auto"/>
                <w:sz w:val="24"/>
                <w:szCs w:val="24"/>
                <w:highlight w:val="none"/>
              </w:rPr>
              <w:t>2024</w:t>
            </w:r>
            <w:r>
              <w:rPr>
                <w:color w:val="auto"/>
                <w:sz w:val="24"/>
                <w:szCs w:val="24"/>
                <w:highlight w:val="none"/>
              </w:rPr>
              <w:t>年黑龙江省生态环境质量状况》结果，评价区环境空气质量能够</w:t>
            </w:r>
            <w:r>
              <w:rPr>
                <w:color w:val="auto"/>
                <w:spacing w:val="-1"/>
                <w:sz w:val="24"/>
                <w:szCs w:val="24"/>
                <w:highlight w:val="none"/>
              </w:rPr>
              <w:t>满足环境空气二类功能区要求，项目所在区域为达标区。</w:t>
            </w:r>
          </w:p>
          <w:p w14:paraId="0C4C8DDF">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宋体" w:hAnsi="宋体" w:eastAsia="宋体" w:cs="宋体"/>
                <w:b w:val="0"/>
                <w:bCs/>
                <w:color w:val="auto"/>
                <w:spacing w:val="0"/>
                <w:sz w:val="24"/>
                <w:szCs w:val="24"/>
                <w:highlight w:val="none"/>
                <w:lang w:val="en-US" w:eastAsia="zh-CN"/>
              </w:rPr>
            </w:pPr>
            <w:r>
              <w:rPr>
                <w:rFonts w:hint="eastAsia" w:cs="宋体"/>
                <w:b w:val="0"/>
                <w:bCs/>
                <w:color w:val="auto"/>
                <w:spacing w:val="0"/>
                <w:sz w:val="24"/>
                <w:szCs w:val="24"/>
                <w:highlight w:val="none"/>
                <w:lang w:val="en-US" w:eastAsia="zh-CN"/>
              </w:rPr>
              <w:t>（2）其他污染物</w:t>
            </w:r>
          </w:p>
          <w:p w14:paraId="30076AAA">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color w:val="auto"/>
                <w:sz w:val="24"/>
                <w:szCs w:val="24"/>
                <w:highlight w:val="none"/>
                <w:lang w:val="en-US" w:eastAsia="zh-CN"/>
              </w:rPr>
            </w:pPr>
            <w:r>
              <w:rPr>
                <w:rFonts w:ascii="Times New Roman" w:hAnsi="Times New Roman"/>
                <w:color w:val="auto"/>
                <w:sz w:val="24"/>
                <w:highlight w:val="none"/>
              </w:rPr>
              <w:t>本项目的其他污染</w:t>
            </w:r>
            <w:r>
              <w:rPr>
                <w:rFonts w:ascii="Times New Roman" w:hAnsi="Times New Roman"/>
                <w:color w:val="auto"/>
                <w:kern w:val="0"/>
                <w:sz w:val="24"/>
                <w:highlight w:val="none"/>
              </w:rPr>
              <w:t>物为TSP，</w:t>
            </w:r>
            <w:r>
              <w:rPr>
                <w:rFonts w:ascii="Times New Roman" w:hAnsi="Times New Roman"/>
                <w:color w:val="auto"/>
                <w:kern w:val="0"/>
                <w:sz w:val="24"/>
                <w:highlight w:val="none"/>
                <w:lang w:bidi="ar"/>
              </w:rPr>
              <w:t>根据《建设项目环境影响报告表编制技术指南（污染影响类）（试行）》中关于区域大气环境质量现状中的要求，排放国家、地方环境空气质量标准中有标准限值要求的特征污染物时，引用建设项目周边5千米范围内近3年的现有监测数据。</w:t>
            </w:r>
            <w:r>
              <w:rPr>
                <w:rFonts w:hint="eastAsia" w:ascii="Times New Roman" w:hAnsi="Times New Roman"/>
                <w:color w:val="auto"/>
                <w:kern w:val="0"/>
                <w:sz w:val="24"/>
                <w:highlight w:val="none"/>
                <w:lang w:val="en-US" w:eastAsia="zh-CN" w:bidi="ar"/>
              </w:rPr>
              <w:t>本项目引用</w:t>
            </w:r>
            <w:r>
              <w:rPr>
                <w:rFonts w:hint="eastAsia" w:ascii="Times New Roman"/>
                <w:color w:val="auto"/>
                <w:highlight w:val="none"/>
              </w:rPr>
              <w:t>《黑龙江立科新材料有限公司二期医药中间体项目检测报告》（黑龙江天福环保监测有限公司，2024年</w:t>
            </w:r>
            <w:r>
              <w:rPr>
                <w:rFonts w:hint="eastAsia" w:ascii="Times New Roman"/>
                <w:color w:val="auto"/>
                <w:highlight w:val="none"/>
                <w:lang w:val="en-US" w:eastAsia="zh-CN"/>
              </w:rPr>
              <w:t>8</w:t>
            </w:r>
            <w:r>
              <w:rPr>
                <w:rFonts w:hint="eastAsia" w:ascii="Times New Roman"/>
                <w:color w:val="auto"/>
                <w:highlight w:val="none"/>
              </w:rPr>
              <w:t>月）</w:t>
            </w:r>
            <w:r>
              <w:rPr>
                <w:rFonts w:hint="eastAsia" w:ascii="Times New Roman"/>
                <w:color w:val="auto"/>
                <w:highlight w:val="none"/>
                <w:lang w:eastAsia="zh-CN"/>
              </w:rPr>
              <w:t>的</w:t>
            </w:r>
            <w:r>
              <w:rPr>
                <w:rFonts w:hint="eastAsia" w:ascii="Times New Roman"/>
                <w:color w:val="auto"/>
                <w:highlight w:val="none"/>
                <w:lang w:val="en-US" w:eastAsia="zh-CN"/>
              </w:rPr>
              <w:t>监测结果。监测点位位于本项目东侧2km，位于本项目侧下风向，</w:t>
            </w:r>
            <w:r>
              <w:rPr>
                <w:rFonts w:hint="eastAsia" w:ascii="Times New Roman" w:hAnsi="Times New Roman" w:eastAsia="宋体" w:cs="宋体"/>
                <w:color w:val="auto"/>
                <w:sz w:val="24"/>
                <w:szCs w:val="24"/>
                <w:highlight w:val="none"/>
                <w:lang w:val="en-US" w:eastAsia="zh-CN"/>
              </w:rPr>
              <w:t>周边环境质量状况相近，监测数据引用合理。满足《建设项目环境影响报告表编制技术指南（污染影响类）（试行）》中“引用建设项目周边5千米范围内近3年的现有监测数据”要求。</w:t>
            </w:r>
          </w:p>
          <w:p w14:paraId="36B00FD4">
            <w:pPr>
              <w:numPr>
                <w:ilvl w:val="0"/>
                <w:numId w:val="0"/>
              </w:numPr>
              <w:snapToGrid w:val="0"/>
              <w:spacing w:line="360" w:lineRule="auto"/>
              <w:ind w:leftChars="200"/>
              <w:rPr>
                <w:rFonts w:hint="eastAsia" w:ascii="Times New Roman" w:hAnsi="Times New Roman" w:eastAsia="宋体" w:cs="宋体"/>
                <w:iCs/>
                <w:color w:val="auto"/>
                <w:sz w:val="24"/>
                <w:highlight w:val="none"/>
                <w:lang w:val="en-US" w:eastAsia="zh-CN"/>
              </w:rPr>
            </w:pPr>
            <w:r>
              <w:rPr>
                <w:rFonts w:hint="eastAsia" w:ascii="Times New Roman" w:hAnsi="Times New Roman" w:eastAsia="宋体" w:cs="宋体"/>
                <w:iCs/>
                <w:color w:val="auto"/>
                <w:sz w:val="24"/>
                <w:highlight w:val="none"/>
                <w:lang w:val="en-US" w:eastAsia="zh-CN"/>
              </w:rPr>
              <w:t>①监测点位基本信息</w:t>
            </w:r>
          </w:p>
          <w:p w14:paraId="16303129">
            <w:pPr>
              <w:pStyle w:val="114"/>
              <w:spacing w:line="360" w:lineRule="auto"/>
              <w:ind w:firstLine="420"/>
              <w:rPr>
                <w:rFonts w:hint="eastAsia" w:ascii="Times New Roman" w:hAnsi="Times New Roman" w:eastAsia="宋体" w:cs="宋体"/>
                <w:iCs/>
                <w:color w:val="auto"/>
                <w:sz w:val="24"/>
                <w:highlight w:val="none"/>
                <w:lang w:val="en-US" w:eastAsia="zh-CN"/>
              </w:rPr>
            </w:pPr>
            <w:r>
              <w:rPr>
                <w:rFonts w:hint="eastAsia" w:ascii="Times New Roman" w:hAnsi="Times New Roman" w:eastAsia="宋体" w:cs="宋体"/>
                <w:iCs/>
                <w:color w:val="auto"/>
                <w:sz w:val="24"/>
                <w:highlight w:val="none"/>
                <w:lang w:val="en-US" w:eastAsia="zh-CN"/>
              </w:rPr>
              <w:t>特征污染物监测点位基本信息如下。</w:t>
            </w:r>
          </w:p>
          <w:p w14:paraId="612150D0">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Chars="0" w:firstLine="0" w:firstLineChars="0"/>
              <w:jc w:val="center"/>
              <w:textAlignment w:val="auto"/>
              <w:rPr>
                <w:rFonts w:hint="eastAsia" w:ascii="Times New Roman" w:hAnsi="Times New Roman" w:eastAsia="宋体" w:cs="宋体"/>
                <w:b/>
                <w:bCs/>
                <w:iCs/>
                <w:color w:val="auto"/>
                <w:sz w:val="21"/>
                <w:szCs w:val="21"/>
                <w:highlight w:val="none"/>
                <w:lang w:val="en-US" w:eastAsia="zh-CN"/>
              </w:rPr>
            </w:pPr>
            <w:r>
              <w:rPr>
                <w:rFonts w:hint="eastAsia" w:ascii="Times New Roman" w:hAnsi="Times New Roman" w:eastAsia="宋体" w:cs="宋体"/>
                <w:b/>
                <w:bCs/>
                <w:iCs/>
                <w:color w:val="auto"/>
                <w:sz w:val="21"/>
                <w:szCs w:val="21"/>
                <w:highlight w:val="none"/>
                <w:lang w:val="en-US" w:eastAsia="zh-CN"/>
              </w:rPr>
              <w:t>表3-2 特征污染物监测点位基本信息表</w:t>
            </w:r>
          </w:p>
          <w:tbl>
            <w:tblPr>
              <w:tblStyle w:val="38"/>
              <w:tblW w:w="4945" w:type="pct"/>
              <w:tblInd w:w="5"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982"/>
              <w:gridCol w:w="1338"/>
              <w:gridCol w:w="1315"/>
              <w:gridCol w:w="746"/>
              <w:gridCol w:w="1584"/>
              <w:gridCol w:w="977"/>
              <w:gridCol w:w="743"/>
            </w:tblGrid>
            <w:tr w14:paraId="5C26E6D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exact"/>
              </w:trPr>
              <w:tc>
                <w:tcPr>
                  <w:tcW w:w="639" w:type="pct"/>
                  <w:vMerge w:val="restart"/>
                  <w:tcBorders>
                    <w:tl2br w:val="nil"/>
                    <w:tr2bl w:val="nil"/>
                  </w:tcBorders>
                  <w:noWrap w:val="0"/>
                  <w:vAlign w:val="center"/>
                </w:tcPr>
                <w:p w14:paraId="2D86A3AA">
                  <w:pPr>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color w:val="auto"/>
                      <w:sz w:val="21"/>
                      <w:szCs w:val="21"/>
                      <w:highlight w:val="none"/>
                    </w:rPr>
                  </w:pPr>
                  <w:r>
                    <w:rPr>
                      <w:rFonts w:hint="eastAsia" w:ascii="Times New Roman" w:hAnsi="Times New Roman" w:eastAsia="宋体" w:cs="宋体"/>
                      <w:b/>
                      <w:bCs/>
                      <w:color w:val="auto"/>
                      <w:sz w:val="21"/>
                      <w:szCs w:val="21"/>
                      <w:highlight w:val="none"/>
                    </w:rPr>
                    <w:t>监测点名称</w:t>
                  </w:r>
                </w:p>
              </w:tc>
              <w:tc>
                <w:tcPr>
                  <w:tcW w:w="1725" w:type="pct"/>
                  <w:gridSpan w:val="2"/>
                  <w:tcBorders>
                    <w:tl2br w:val="nil"/>
                    <w:tr2bl w:val="nil"/>
                  </w:tcBorders>
                  <w:noWrap w:val="0"/>
                  <w:vAlign w:val="center"/>
                </w:tcPr>
                <w:p w14:paraId="4F89F6CA">
                  <w:pPr>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b/>
                      <w:bCs/>
                      <w:color w:val="auto"/>
                      <w:sz w:val="21"/>
                      <w:szCs w:val="21"/>
                      <w:highlight w:val="none"/>
                    </w:rPr>
                    <w:t>坐标</w:t>
                  </w:r>
                  <w:r>
                    <w:rPr>
                      <w:rFonts w:hint="eastAsia" w:ascii="Times New Roman" w:hAnsi="Times New Roman" w:eastAsia="宋体" w:cs="宋体"/>
                      <w:b/>
                      <w:bCs/>
                      <w:color w:val="auto"/>
                      <w:sz w:val="21"/>
                      <w:szCs w:val="21"/>
                      <w:highlight w:val="none"/>
                      <w:lang w:val="en-US" w:eastAsia="zh-CN"/>
                    </w:rPr>
                    <w:t>/度</w:t>
                  </w:r>
                </w:p>
              </w:tc>
              <w:tc>
                <w:tcPr>
                  <w:tcW w:w="485" w:type="pct"/>
                  <w:vMerge w:val="restart"/>
                  <w:tcBorders>
                    <w:tl2br w:val="nil"/>
                    <w:tr2bl w:val="nil"/>
                  </w:tcBorders>
                  <w:noWrap w:val="0"/>
                  <w:vAlign w:val="center"/>
                </w:tcPr>
                <w:p w14:paraId="44216A3D">
                  <w:pPr>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b/>
                      <w:bCs/>
                      <w:color w:val="auto"/>
                      <w:kern w:val="2"/>
                      <w:sz w:val="21"/>
                      <w:szCs w:val="21"/>
                      <w:highlight w:val="none"/>
                      <w:lang w:val="en-US" w:eastAsia="zh-CN" w:bidi="ar-SA"/>
                    </w:rPr>
                  </w:pPr>
                  <w:r>
                    <w:rPr>
                      <w:rFonts w:hint="eastAsia" w:ascii="Times New Roman" w:hAnsi="Times New Roman" w:eastAsia="宋体" w:cs="宋体"/>
                      <w:b/>
                      <w:bCs/>
                      <w:color w:val="auto"/>
                      <w:sz w:val="21"/>
                      <w:szCs w:val="21"/>
                      <w:highlight w:val="none"/>
                    </w:rPr>
                    <w:t>监测因子</w:t>
                  </w:r>
                </w:p>
              </w:tc>
              <w:tc>
                <w:tcPr>
                  <w:tcW w:w="1030" w:type="pct"/>
                  <w:vMerge w:val="restart"/>
                  <w:tcBorders>
                    <w:tl2br w:val="nil"/>
                    <w:tr2bl w:val="nil"/>
                  </w:tcBorders>
                  <w:noWrap w:val="0"/>
                  <w:vAlign w:val="center"/>
                </w:tcPr>
                <w:p w14:paraId="1DF0A355">
                  <w:pPr>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b/>
                      <w:bCs/>
                      <w:color w:val="auto"/>
                      <w:kern w:val="2"/>
                      <w:sz w:val="21"/>
                      <w:szCs w:val="21"/>
                      <w:highlight w:val="none"/>
                      <w:lang w:val="en-US" w:eastAsia="zh-CN" w:bidi="ar-SA"/>
                    </w:rPr>
                  </w:pPr>
                  <w:r>
                    <w:rPr>
                      <w:rFonts w:hint="eastAsia" w:ascii="Times New Roman" w:hAnsi="Times New Roman" w:eastAsia="宋体" w:cs="宋体"/>
                      <w:b/>
                      <w:bCs/>
                      <w:color w:val="auto"/>
                      <w:sz w:val="21"/>
                      <w:szCs w:val="21"/>
                      <w:highlight w:val="none"/>
                    </w:rPr>
                    <w:t>监测时段</w:t>
                  </w:r>
                </w:p>
              </w:tc>
              <w:tc>
                <w:tcPr>
                  <w:tcW w:w="635" w:type="pct"/>
                  <w:vMerge w:val="restart"/>
                  <w:tcBorders>
                    <w:tl2br w:val="nil"/>
                    <w:tr2bl w:val="nil"/>
                  </w:tcBorders>
                  <w:noWrap w:val="0"/>
                  <w:vAlign w:val="center"/>
                </w:tcPr>
                <w:p w14:paraId="35028FC4">
                  <w:pPr>
                    <w:pStyle w:val="46"/>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b/>
                      <w:bCs/>
                      <w:color w:val="auto"/>
                      <w:sz w:val="21"/>
                      <w:szCs w:val="21"/>
                      <w:highlight w:val="none"/>
                      <w:lang w:val="en-US" w:eastAsia="zh-CN" w:bidi="ar-SA"/>
                    </w:rPr>
                  </w:pPr>
                  <w:r>
                    <w:rPr>
                      <w:rFonts w:hint="eastAsia" w:ascii="Times New Roman" w:hAnsi="Times New Roman" w:eastAsia="宋体" w:cs="宋体"/>
                      <w:b/>
                      <w:bCs/>
                      <w:color w:val="auto"/>
                      <w:sz w:val="21"/>
                      <w:szCs w:val="21"/>
                      <w:highlight w:val="none"/>
                    </w:rPr>
                    <w:t>相对厂址方位</w:t>
                  </w:r>
                </w:p>
              </w:tc>
              <w:tc>
                <w:tcPr>
                  <w:tcW w:w="483" w:type="pct"/>
                  <w:vMerge w:val="restart"/>
                  <w:tcBorders>
                    <w:tl2br w:val="nil"/>
                    <w:tr2bl w:val="nil"/>
                  </w:tcBorders>
                  <w:noWrap w:val="0"/>
                  <w:vAlign w:val="center"/>
                </w:tcPr>
                <w:p w14:paraId="68CDAD8D">
                  <w:pPr>
                    <w:pStyle w:val="46"/>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b/>
                      <w:bCs/>
                      <w:color w:val="auto"/>
                      <w:sz w:val="21"/>
                      <w:szCs w:val="21"/>
                      <w:highlight w:val="none"/>
                      <w:lang w:val="en-US" w:eastAsia="zh-CN" w:bidi="ar-SA"/>
                    </w:rPr>
                  </w:pPr>
                  <w:r>
                    <w:rPr>
                      <w:rFonts w:hint="eastAsia" w:ascii="Times New Roman" w:hAnsi="Times New Roman" w:eastAsia="宋体" w:cs="宋体"/>
                      <w:b/>
                      <w:bCs/>
                      <w:color w:val="auto"/>
                      <w:sz w:val="21"/>
                      <w:szCs w:val="21"/>
                      <w:highlight w:val="none"/>
                    </w:rPr>
                    <w:t>相对厂界距离</w:t>
                  </w:r>
                  <w:r>
                    <w:rPr>
                      <w:rFonts w:hint="eastAsia" w:ascii="Times New Roman" w:hAnsi="Times New Roman" w:eastAsia="宋体" w:cs="宋体"/>
                      <w:b/>
                      <w:bCs/>
                      <w:color w:val="auto"/>
                      <w:sz w:val="21"/>
                      <w:szCs w:val="21"/>
                      <w:highlight w:val="none"/>
                      <w:lang w:eastAsia="zh-CN"/>
                    </w:rPr>
                    <w:t>（</w:t>
                  </w:r>
                  <w:r>
                    <w:rPr>
                      <w:rFonts w:hint="eastAsia" w:ascii="Times New Roman" w:hAnsi="Times New Roman" w:eastAsia="宋体" w:cs="宋体"/>
                      <w:b/>
                      <w:bCs/>
                      <w:color w:val="auto"/>
                      <w:sz w:val="21"/>
                      <w:szCs w:val="21"/>
                      <w:highlight w:val="none"/>
                      <w:lang w:val="en-US" w:eastAsia="zh-CN"/>
                    </w:rPr>
                    <w:t>m</w:t>
                  </w:r>
                  <w:r>
                    <w:rPr>
                      <w:rFonts w:hint="eastAsia" w:ascii="Times New Roman" w:hAnsi="Times New Roman" w:eastAsia="宋体" w:cs="宋体"/>
                      <w:b/>
                      <w:bCs/>
                      <w:color w:val="auto"/>
                      <w:sz w:val="21"/>
                      <w:szCs w:val="21"/>
                      <w:highlight w:val="none"/>
                      <w:lang w:eastAsia="zh-CN"/>
                    </w:rPr>
                    <w:t>）</w:t>
                  </w:r>
                </w:p>
              </w:tc>
            </w:tr>
            <w:tr w14:paraId="5B0689A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567" w:hRule="exact"/>
              </w:trPr>
              <w:tc>
                <w:tcPr>
                  <w:tcW w:w="639" w:type="pct"/>
                  <w:vMerge w:val="continue"/>
                  <w:tcBorders>
                    <w:tl2br w:val="nil"/>
                    <w:tr2bl w:val="nil"/>
                  </w:tcBorders>
                  <w:noWrap w:val="0"/>
                  <w:vAlign w:val="center"/>
                </w:tcPr>
                <w:p w14:paraId="1A09C7E1">
                  <w:pPr>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color w:val="auto"/>
                      <w:sz w:val="21"/>
                      <w:szCs w:val="21"/>
                      <w:highlight w:val="none"/>
                    </w:rPr>
                  </w:pPr>
                </w:p>
              </w:tc>
              <w:tc>
                <w:tcPr>
                  <w:tcW w:w="870" w:type="pct"/>
                  <w:tcBorders>
                    <w:tl2br w:val="nil"/>
                    <w:tr2bl w:val="nil"/>
                  </w:tcBorders>
                  <w:noWrap w:val="0"/>
                  <w:vAlign w:val="center"/>
                </w:tcPr>
                <w:p w14:paraId="016A5815">
                  <w:pPr>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color w:val="auto"/>
                      <w:kern w:val="2"/>
                      <w:sz w:val="21"/>
                      <w:szCs w:val="21"/>
                      <w:highlight w:val="none"/>
                      <w:lang w:val="en-US" w:eastAsia="zh-CN" w:bidi="ar-SA"/>
                    </w:rPr>
                  </w:pPr>
                  <w:r>
                    <w:rPr>
                      <w:rFonts w:hint="eastAsia" w:ascii="Times New Roman" w:hAnsi="Times New Roman" w:eastAsia="宋体" w:cs="宋体"/>
                      <w:color w:val="auto"/>
                      <w:sz w:val="21"/>
                      <w:szCs w:val="21"/>
                      <w:highlight w:val="none"/>
                      <w:lang w:val="en-US" w:eastAsia="zh-CN"/>
                    </w:rPr>
                    <w:t>经度</w:t>
                  </w:r>
                </w:p>
              </w:tc>
              <w:tc>
                <w:tcPr>
                  <w:tcW w:w="855" w:type="pct"/>
                  <w:tcBorders>
                    <w:tl2br w:val="nil"/>
                    <w:tr2bl w:val="nil"/>
                  </w:tcBorders>
                  <w:noWrap w:val="0"/>
                  <w:vAlign w:val="center"/>
                </w:tcPr>
                <w:p w14:paraId="0F91B9D9">
                  <w:pPr>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color w:val="auto"/>
                      <w:kern w:val="2"/>
                      <w:sz w:val="21"/>
                      <w:szCs w:val="21"/>
                      <w:highlight w:val="none"/>
                      <w:lang w:val="en-US" w:eastAsia="zh-CN" w:bidi="ar-SA"/>
                    </w:rPr>
                  </w:pPr>
                  <w:r>
                    <w:rPr>
                      <w:rFonts w:hint="eastAsia" w:ascii="Times New Roman" w:hAnsi="Times New Roman" w:eastAsia="宋体" w:cs="宋体"/>
                      <w:color w:val="auto"/>
                      <w:sz w:val="21"/>
                      <w:szCs w:val="21"/>
                      <w:highlight w:val="none"/>
                      <w:lang w:val="en-US" w:eastAsia="zh-CN"/>
                    </w:rPr>
                    <w:t>纬度</w:t>
                  </w:r>
                </w:p>
              </w:tc>
              <w:tc>
                <w:tcPr>
                  <w:tcW w:w="485" w:type="pct"/>
                  <w:vMerge w:val="continue"/>
                  <w:tcBorders>
                    <w:tl2br w:val="nil"/>
                    <w:tr2bl w:val="nil"/>
                  </w:tcBorders>
                  <w:noWrap w:val="0"/>
                  <w:vAlign w:val="center"/>
                </w:tcPr>
                <w:p w14:paraId="326E764C">
                  <w:pPr>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color w:val="auto"/>
                      <w:sz w:val="21"/>
                      <w:szCs w:val="21"/>
                      <w:highlight w:val="none"/>
                      <w:lang w:eastAsia="zh-CN"/>
                    </w:rPr>
                  </w:pPr>
                </w:p>
              </w:tc>
              <w:tc>
                <w:tcPr>
                  <w:tcW w:w="1030" w:type="pct"/>
                  <w:vMerge w:val="continue"/>
                  <w:tcBorders>
                    <w:tl2br w:val="nil"/>
                    <w:tr2bl w:val="nil"/>
                  </w:tcBorders>
                  <w:noWrap w:val="0"/>
                  <w:vAlign w:val="center"/>
                </w:tcPr>
                <w:p w14:paraId="13E3395B">
                  <w:pPr>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color w:val="auto"/>
                      <w:sz w:val="21"/>
                      <w:szCs w:val="21"/>
                      <w:highlight w:val="none"/>
                    </w:rPr>
                  </w:pPr>
                </w:p>
              </w:tc>
              <w:tc>
                <w:tcPr>
                  <w:tcW w:w="635" w:type="pct"/>
                  <w:vMerge w:val="continue"/>
                  <w:tcBorders>
                    <w:tl2br w:val="nil"/>
                    <w:tr2bl w:val="nil"/>
                  </w:tcBorders>
                  <w:noWrap w:val="0"/>
                  <w:vAlign w:val="center"/>
                </w:tcPr>
                <w:p w14:paraId="0A601B19">
                  <w:pPr>
                    <w:pStyle w:val="46"/>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color w:val="auto"/>
                      <w:sz w:val="21"/>
                      <w:szCs w:val="21"/>
                      <w:highlight w:val="none"/>
                      <w:lang w:val="en-US" w:eastAsia="zh-CN"/>
                    </w:rPr>
                  </w:pPr>
                </w:p>
              </w:tc>
              <w:tc>
                <w:tcPr>
                  <w:tcW w:w="483" w:type="pct"/>
                  <w:vMerge w:val="continue"/>
                  <w:tcBorders>
                    <w:tl2br w:val="nil"/>
                    <w:tr2bl w:val="nil"/>
                  </w:tcBorders>
                  <w:noWrap w:val="0"/>
                  <w:vAlign w:val="center"/>
                </w:tcPr>
                <w:p w14:paraId="2530A254">
                  <w:pPr>
                    <w:pStyle w:val="46"/>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color w:val="auto"/>
                      <w:sz w:val="21"/>
                      <w:szCs w:val="21"/>
                      <w:highlight w:val="none"/>
                      <w:lang w:val="en-US" w:eastAsia="zh-CN"/>
                    </w:rPr>
                  </w:pPr>
                </w:p>
              </w:tc>
            </w:tr>
            <w:tr w14:paraId="6F400CC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70" w:hRule="exact"/>
              </w:trPr>
              <w:tc>
                <w:tcPr>
                  <w:tcW w:w="639" w:type="pct"/>
                  <w:tcBorders>
                    <w:tl2br w:val="nil"/>
                    <w:tr2bl w:val="nil"/>
                  </w:tcBorders>
                  <w:noWrap w:val="0"/>
                  <w:vAlign w:val="center"/>
                </w:tcPr>
                <w:p w14:paraId="0A4332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下屯</w:t>
                  </w:r>
                </w:p>
              </w:tc>
              <w:tc>
                <w:tcPr>
                  <w:tcW w:w="870" w:type="pct"/>
                  <w:tcBorders>
                    <w:tl2br w:val="nil"/>
                    <w:tr2bl w:val="nil"/>
                  </w:tcBorders>
                  <w:noWrap w:val="0"/>
                  <w:vAlign w:val="center"/>
                </w:tcPr>
                <w:p w14:paraId="5EA1E7FC">
                  <w:pPr>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130°36'57.7058"</w:t>
                  </w:r>
                </w:p>
              </w:tc>
              <w:tc>
                <w:tcPr>
                  <w:tcW w:w="855" w:type="pct"/>
                  <w:tcBorders>
                    <w:tl2br w:val="nil"/>
                    <w:tr2bl w:val="nil"/>
                  </w:tcBorders>
                  <w:noWrap w:val="0"/>
                  <w:vAlign w:val="center"/>
                </w:tcPr>
                <w:p w14:paraId="0244F0A4">
                  <w:pPr>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45°05'43.9014"</w:t>
                  </w:r>
                </w:p>
              </w:tc>
              <w:tc>
                <w:tcPr>
                  <w:tcW w:w="485" w:type="pct"/>
                  <w:tcBorders>
                    <w:tl2br w:val="nil"/>
                    <w:tr2bl w:val="nil"/>
                  </w:tcBorders>
                  <w:noWrap w:val="0"/>
                  <w:vAlign w:val="center"/>
                </w:tcPr>
                <w:p w14:paraId="67CFBD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eastAsia"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color w:val="auto"/>
                      <w:kern w:val="0"/>
                      <w:sz w:val="21"/>
                      <w:szCs w:val="21"/>
                      <w:highlight w:val="none"/>
                      <w:lang w:val="en-US" w:eastAsia="zh-CN"/>
                    </w:rPr>
                    <w:t>TSP</w:t>
                  </w:r>
                </w:p>
              </w:tc>
              <w:tc>
                <w:tcPr>
                  <w:tcW w:w="1030" w:type="pct"/>
                  <w:tcBorders>
                    <w:tl2br w:val="nil"/>
                    <w:tr2bl w:val="nil"/>
                  </w:tcBorders>
                  <w:noWrap w:val="0"/>
                  <w:vAlign w:val="center"/>
                </w:tcPr>
                <w:p w14:paraId="3B96FC2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2024.8.3-2024.8.9</w:t>
                  </w:r>
                </w:p>
              </w:tc>
              <w:tc>
                <w:tcPr>
                  <w:tcW w:w="635" w:type="pct"/>
                  <w:tcBorders>
                    <w:tl2br w:val="nil"/>
                    <w:tr2bl w:val="nil"/>
                  </w:tcBorders>
                  <w:noWrap w:val="0"/>
                  <w:vAlign w:val="center"/>
                </w:tcPr>
                <w:p w14:paraId="675C51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ENE</w:t>
                  </w:r>
                </w:p>
              </w:tc>
              <w:tc>
                <w:tcPr>
                  <w:tcW w:w="483" w:type="pct"/>
                  <w:tcBorders>
                    <w:tl2br w:val="nil"/>
                    <w:tr2bl w:val="nil"/>
                  </w:tcBorders>
                  <w:noWrap w:val="0"/>
                  <w:vAlign w:val="center"/>
                </w:tcPr>
                <w:p w14:paraId="055317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2000</w:t>
                  </w:r>
                </w:p>
              </w:tc>
            </w:tr>
          </w:tbl>
          <w:p w14:paraId="12A74880">
            <w:pPr>
              <w:keepNext w:val="0"/>
              <w:keepLines w:val="0"/>
              <w:pageBreakBefore w:val="0"/>
              <w:widowControl w:val="0"/>
              <w:kinsoku/>
              <w:wordWrap/>
              <w:overflowPunct/>
              <w:topLinePunct w:val="0"/>
              <w:autoSpaceDE/>
              <w:autoSpaceDN/>
              <w:bidi w:val="0"/>
              <w:adjustRightInd w:val="0"/>
              <w:snapToGrid w:val="0"/>
              <w:spacing w:before="157" w:beforeLines="50" w:line="240" w:lineRule="auto"/>
              <w:ind w:left="0" w:leftChars="0" w:firstLine="0" w:firstLineChars="0"/>
              <w:textAlignment w:val="auto"/>
              <w:rPr>
                <w:rFonts w:hint="eastAsia" w:ascii="Times New Roman" w:hAnsi="Times New Roman" w:eastAsia="宋体" w:cs="宋体"/>
                <w:color w:val="auto"/>
                <w:sz w:val="24"/>
                <w:szCs w:val="24"/>
                <w:highlight w:val="none"/>
                <w:lang w:val="en-US" w:eastAsia="zh-CN"/>
              </w:rPr>
            </w:pPr>
            <w:r>
              <w:rPr>
                <w:color w:val="auto"/>
                <w:highlight w:val="none"/>
              </w:rPr>
              <w:drawing>
                <wp:anchor distT="0" distB="0" distL="114300" distR="114300" simplePos="0" relativeHeight="251666432" behindDoc="0" locked="0" layoutInCell="1" allowOverlap="1">
                  <wp:simplePos x="0" y="0"/>
                  <wp:positionH relativeFrom="column">
                    <wp:posOffset>-8255</wp:posOffset>
                  </wp:positionH>
                  <wp:positionV relativeFrom="paragraph">
                    <wp:posOffset>92710</wp:posOffset>
                  </wp:positionV>
                  <wp:extent cx="515620" cy="481965"/>
                  <wp:effectExtent l="0" t="0" r="17780" b="13335"/>
                  <wp:wrapNone/>
                  <wp:docPr id="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
                          <pic:cNvPicPr>
                            <a:picLocks noChangeAspect="1"/>
                          </pic:cNvPicPr>
                        </pic:nvPicPr>
                        <pic:blipFill>
                          <a:blip r:embed="rId25"/>
                          <a:stretch>
                            <a:fillRect/>
                          </a:stretch>
                        </pic:blipFill>
                        <pic:spPr>
                          <a:xfrm>
                            <a:off x="0" y="0"/>
                            <a:ext cx="515620" cy="481965"/>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1907540</wp:posOffset>
                      </wp:positionH>
                      <wp:positionV relativeFrom="paragraph">
                        <wp:posOffset>1526540</wp:posOffset>
                      </wp:positionV>
                      <wp:extent cx="1003935" cy="311785"/>
                      <wp:effectExtent l="0" t="0" r="0" b="0"/>
                      <wp:wrapNone/>
                      <wp:docPr id="94" name="文本框 94"/>
                      <wp:cNvGraphicFramePr/>
                      <a:graphic xmlns:a="http://schemas.openxmlformats.org/drawingml/2006/main">
                        <a:graphicData uri="http://schemas.microsoft.com/office/word/2010/wordprocessingShape">
                          <wps:wsp>
                            <wps:cNvSpPr txBox="1"/>
                            <wps:spPr>
                              <a:xfrm rot="20100000">
                                <a:off x="3046095" y="3269615"/>
                                <a:ext cx="1003935" cy="311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CF3687">
                                  <w:pPr>
                                    <w:rPr>
                                      <w:rFonts w:hint="default" w:eastAsia="宋体"/>
                                      <w:b/>
                                      <w:bCs w:val="0"/>
                                      <w:color w:val="FFFF00"/>
                                      <w:lang w:val="en-US" w:eastAsia="zh-CN"/>
                                    </w:rPr>
                                  </w:pPr>
                                  <w:r>
                                    <w:rPr>
                                      <w:rFonts w:hint="eastAsia"/>
                                      <w:b/>
                                      <w:bCs w:val="0"/>
                                      <w:color w:val="FFFF00"/>
                                      <w:lang w:val="en-US" w:eastAsia="zh-CN"/>
                                    </w:rPr>
                                    <w:t>2000m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0.2pt;margin-top:120.2pt;height:24.55pt;width:79.05pt;rotation:-1638400f;z-index:251672576;mso-width-relative:page;mso-height-relative:page;" filled="f" stroked="f" coordsize="21600,21600" o:gfxdata="UEsDBAoAAAAAAIdO4kAAAAAAAAAAAAAAAAAEAAAAZHJzL1BLAwQUAAAACACHTuJAkSYnndkAAAAL&#10;AQAADwAAAGRycy9kb3ducmV2LnhtbE2PPU/DMBCGdyT+g3VIbNROSVBI43RAqpAQS1skGN3YTULt&#10;sxU7Tfn3XCfY7uPRe8/V64uz7GzGOHiUkC0EMIOt1wN2Ej72m4cSWEwKtbIejYQfE2Hd3N7UqtJ+&#10;xq0571LHKARjpST0KYWK89j2xqm48MEg7Y5+dCpRO3Zcj2qmcGf5Uogn7tSAdKFXwbz0pj3tJidB&#10;x7dt+W2/3rPT9LmJrzrs3RykvL/LxApYMpf0B8NVn9ShIaeDn1BHZiU8CpETKmGZXwsi8qIsgB1o&#10;Uj4XwJua//+h+QVQSwMEFAAAAAgAh07iQJnc6sdPAgAAgwQAAA4AAABkcnMvZTJvRG9jLnhtbK1U&#10;zW7bMAy+D9g7CLovtvPXJohTZA0yDCjWAtmwsyLLsQFJ1CSldvcA2xv0tMvue64+xyjZyYJuhx6W&#10;g0CRn0l+H6ksrlolyb2wrgad02yQUiI0h6LW+5x++rh5c0mJ80wXTIIWOX0Qjl4tX79aNGYuhlCB&#10;LIQlmES7eWNyWnlv5knieCUUcwMwQmOwBKuYx6vdJ4VlDWZXMhmm6TRpwBbGAhfOoXfdBWmf0b4k&#10;IZRlzcUa+EEJ7busVkjmkZKrauPoMnZbloL727J0whOZU2Tq44lF0N6FM1ku2Hxvmalq3rfAXtLC&#10;M06K1RqLnlKtmWfkYOu/UqmaW3BQ+gEHlXREoiLIIkufabOtmBGRC0rtzEl09//S8g/3d5bURU5n&#10;Y0o0Uzjxp8fvTz9+Pf38RtCHAjXGzRG3NYj07VtocW2OfofOwLstrSIWUN/AI/yiHEiQIHyUjqfp&#10;bELJA9rD6WyaTTrlResJD/nSdDQbIYAHRJZdXEZA0iUOBYx1/p0ARYKRU4uTjRXY/Y3z2CRCj5AA&#10;17CppYzTlZo0OZ2OJl1Lpwh+ITV+GOh1NILl213bc95B8YCUIyvcF2f4psbiN8z5O2ZxTdCJD8nf&#10;4lFKwCLQW5RUYL/+yx/wOD2MUtLg2uXUfTkwKyiR7zXOdZaNx2FP42U8uRjixZ5HducRfVDXgJud&#10;xe6iGfBeHs3SgvqM720VqmKIaY61c+qP5rXvHgO+Vy5WqwjCzTTM3+it4SF1J+fq4KGso9JBpk6b&#10;Xj3czTiA/h2F5T+/R9Sf/47l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EmJ53ZAAAACwEAAA8A&#10;AAAAAAAAAQAgAAAAIgAAAGRycy9kb3ducmV2LnhtbFBLAQIUABQAAAAIAIdO4kCZ3OrHTwIAAIME&#10;AAAOAAAAAAAAAAEAIAAAACgBAABkcnMvZTJvRG9jLnhtbFBLBQYAAAAABgAGAFkBAADpBQAAAAA=&#10;">
                      <v:fill on="f" focussize="0,0"/>
                      <v:stroke on="f" weight="0.5pt"/>
                      <v:imagedata o:title=""/>
                      <o:lock v:ext="edit" aspectratio="f"/>
                      <v:textbox>
                        <w:txbxContent>
                          <w:p w14:paraId="31CF3687">
                            <w:pPr>
                              <w:rPr>
                                <w:rFonts w:hint="default" w:eastAsia="宋体"/>
                                <w:b/>
                                <w:bCs w:val="0"/>
                                <w:color w:val="FFFF00"/>
                                <w:lang w:val="en-US" w:eastAsia="zh-CN"/>
                              </w:rPr>
                            </w:pPr>
                            <w:r>
                              <w:rPr>
                                <w:rFonts w:hint="eastAsia"/>
                                <w:b/>
                                <w:bCs w:val="0"/>
                                <w:color w:val="FFFF00"/>
                                <w:lang w:val="en-US" w:eastAsia="zh-CN"/>
                              </w:rPr>
                              <w:t>2000m</w:t>
                            </w:r>
                          </w:p>
                        </w:txbxContent>
                      </v:textbox>
                    </v:shape>
                  </w:pict>
                </mc:Fallback>
              </mc:AlternateContent>
            </w:r>
            <w:r>
              <w:rPr>
                <w:color w:val="auto"/>
                <w:sz w:val="24"/>
                <w:highlight w:val="none"/>
              </w:rPr>
              <mc:AlternateContent>
                <mc:Choice Requires="wps">
                  <w:drawing>
                    <wp:anchor distT="0" distB="0" distL="114300" distR="114300" simplePos="0" relativeHeight="251671552" behindDoc="0" locked="0" layoutInCell="1" allowOverlap="1">
                      <wp:simplePos x="0" y="0"/>
                      <wp:positionH relativeFrom="column">
                        <wp:posOffset>1188085</wp:posOffset>
                      </wp:positionH>
                      <wp:positionV relativeFrom="paragraph">
                        <wp:posOffset>1037590</wp:posOffset>
                      </wp:positionV>
                      <wp:extent cx="3250565" cy="1581785"/>
                      <wp:effectExtent l="5715" t="11430" r="20320" b="26035"/>
                      <wp:wrapNone/>
                      <wp:docPr id="93" name="直接连接符 93"/>
                      <wp:cNvGraphicFramePr/>
                      <a:graphic xmlns:a="http://schemas.openxmlformats.org/drawingml/2006/main">
                        <a:graphicData uri="http://schemas.microsoft.com/office/word/2010/wordprocessingShape">
                          <wps:wsp>
                            <wps:cNvCnPr>
                              <a:endCxn id="91" idx="4"/>
                            </wps:cNvCnPr>
                            <wps:spPr>
                              <a:xfrm flipV="1">
                                <a:off x="2673350" y="5088255"/>
                                <a:ext cx="3250565" cy="158178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93.55pt;margin-top:81.7pt;height:124.55pt;width:255.95pt;z-index:251671552;mso-width-relative:page;mso-height-relative:page;" filled="f" stroked="t" coordsize="21600,21600" o:gfxdata="UEsDBAoAAAAAAIdO4kAAAAAAAAAAAAAAAAAEAAAAZHJzL1BLAwQUAAAACACHTuJAY/jKS9cAAAAL&#10;AQAADwAAAGRycy9kb3ducmV2LnhtbE2PTU+DQBCG7yb+h8008WYXCsUWWXrQePBiUqr3LTsFUnaW&#10;sAvUf+940tu8mSfvR3G42V7MOPrOkYJ4HYFAqp3pqFHweXp73IHwQZPRvSNU8I0eDuX9XaFz4xY6&#10;4lyFRrAJ+VwraEMYcil93aLVfu0GJP5d3Gh1YDk20ox6YXPby00UZdLqjjih1QO+tFhfq8kq+KJk&#10;cu/b1zSaq+Ogk8vHsrSo1MMqjp5BBLyFPxh+63N1KLnT2U1kvOhZ755iRvnIkhQEE9l+z+vOCtJ4&#10;swVZFvL/hvIHUEsDBBQAAAAIAIdO4kA5DXpvCQIAAOEDAAAOAAAAZHJzL2Uyb0RvYy54bWytUzuO&#10;2zAQ7QPkDgT7WLK98iqC5S1sOE2QGMinpylKIsAfOFzLvkQuECBdUqVMv7fJ5hgZUs7uZtNsERUU&#10;qXnz9ObNcHl11IochAdpTU2nk5wSYbhtpOlq+uH99kVJCQRmGqasETU9CaBXq+fPloOrxMz2VjXC&#10;EyQxUA2upn0Irsoy4L3QDCbWCYPB1nrNAh59lzWeDciuVTbL80U2WN84b7kAwK+bMUjPjP4phLZt&#10;JRcby6+1MGFk9UKxgCVBLx3QVVLbtoKHt20LIhBVU6w0pBV/gvt9XLPVklWdZ66X/CyBPUXCo5o0&#10;kwZ/eke1YYGRay//odKSewu2DRNudTYWkhzBKqb5I2/e9cyJVAtaDe7OdPh/tPzNYeeJbGr6ck6J&#10;YRo7fvv5x89PX3/dfMH19vs3ghG0aXBQIXptdj4WKkyzPpoxc0rxfazpRcRlfwHjAdyYcmy9Jq2S&#10;7iPOXXIL6yeYN1tczucFtuRU0yIvy1lRjI0Rx0A4AuazIi8WBSUcEdOinF6WCZGxKpJGPc5DeCWs&#10;JnFTUyVNdI5V7PAaQpR1D4mfjd1KpVL3lSEDaiguclTAGY50i6OEW+3QFjAdJUx1eFd48IkSrJJN&#10;TI9E4Lv9WnlyYDhh222OT3IBIw9hUdWGQT/iUugMU+bs2WhTNGxvm9PO//ESO5/kn6c0jtbDc8q+&#10;v5mr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P4ykvXAAAACwEAAA8AAAAAAAAAAQAgAAAAIgAA&#10;AGRycy9kb3ducmV2LnhtbFBLAQIUABQAAAAIAIdO4kA5DXpvCQIAAOEDAAAOAAAAAAAAAAEAIAAA&#10;ACYBAABkcnMvZTJvRG9jLnhtbFBLBQYAAAAABgAGAFkBAAChBQAAAAA=&#10;">
                      <v:fill on="f" focussize="0,0"/>
                      <v:stroke weight="2pt" color="#FF0000 [3204]" joinstyle="round"/>
                      <v:imagedata o:title=""/>
                      <o:lock v:ext="edit" aspectratio="f"/>
                    </v:line>
                  </w:pict>
                </mc:Fallback>
              </mc:AlternateContent>
            </w:r>
            <w:r>
              <w:rPr>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137795</wp:posOffset>
                      </wp:positionH>
                      <wp:positionV relativeFrom="paragraph">
                        <wp:posOffset>1887220</wp:posOffset>
                      </wp:positionV>
                      <wp:extent cx="1038225" cy="381000"/>
                      <wp:effectExtent l="12700" t="12700" r="15875" b="234950"/>
                      <wp:wrapNone/>
                      <wp:docPr id="92" name="矩形标注 92"/>
                      <wp:cNvGraphicFramePr/>
                      <a:graphic xmlns:a="http://schemas.openxmlformats.org/drawingml/2006/main">
                        <a:graphicData uri="http://schemas.microsoft.com/office/word/2010/wordprocessingShape">
                          <wps:wsp>
                            <wps:cNvSpPr/>
                            <wps:spPr>
                              <a:xfrm>
                                <a:off x="0" y="0"/>
                                <a:ext cx="1038225" cy="381000"/>
                              </a:xfrm>
                              <a:prstGeom prst="wedgeRectCallout">
                                <a:avLst>
                                  <a:gd name="adj1" fmla="val 32800"/>
                                  <a:gd name="adj2" fmla="val 105666"/>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77DC848">
                                  <w:pPr>
                                    <w:spacing w:line="240" w:lineRule="auto"/>
                                    <w:ind w:left="0" w:leftChars="0" w:firstLine="0" w:firstLineChars="0"/>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85pt;margin-top:148.6pt;height:30pt;width:81.75pt;z-index:251669504;v-text-anchor:middle;mso-width-relative:page;mso-height-relative:page;" fillcolor="#FFFFFF [3212]" filled="t" stroked="t" coordsize="21600,21600" o:gfxdata="UEsDBAoAAAAAAIdO4kAAAAAAAAAAAAAAAAAEAAAAZHJzL1BLAwQUAAAACACHTuJAyLWIPtcAAAAK&#10;AQAADwAAAGRycy9kb3ducmV2LnhtbE2Py07DMBBF90j8gzVI7KidoNA0jdMFUBalQqLwAU48JFHj&#10;cRS7r79nuoLVvK7uPVOuzm4QR5xC70lDMlMgkBpve2o1fH+tH3IQIRqyZvCEGi4YYFXd3pSmsP5E&#10;n3jcxVawCYXCaOhiHAspQ9OhM2HmRyS+/fjJmcjj1Eo7mRObu0GmSj1JZ3rihM6M+Nxhs98dnIb3&#10;/DLK9aZ5+ahd9raR21ec1F7r+7tELUFEPMc/MVzxGR0qZqr9gWwQg4Y0mbOS62KegrgK8oybWsNj&#10;xhtZlfL/C9UvUEsDBBQAAAAIAIdO4kD1NEh0pQIAAE4FAAAOAAAAZHJzL2Uyb0RvYy54bWytVM1u&#10;EzEQviPxDpbvdH/yQxp1U0WJgpAqWlEQZ8dr7y7yH7aTTXkBHgPECc6ceRzKazD2bpukcOiBHDYz&#10;nvHn+b7x+Ox8JwXaMusarQqcnaQYMUV12aiqwG/frJ5NMHKeqJIIrViBb5jD57OnT85aM2W5rrUo&#10;mUUAoty0NQWuvTfTJHG0ZpK4E22YgiDXVhIPrq2S0pIW0KVI8jQdJ622pbGaMudgddkFcY9oHwOo&#10;OW8oW2q6kUz5DtUyQTxQcnVjHJ7Fajln1F9y7phHosDA1McvHAL2OnyT2RmZVpaYuqF9CeQxJTzg&#10;JEmj4NB7qCXxBG1s8xeUbKjVTnN/QrVMOiJREWCRpQ+0ua6JYZELSO3Mveju/8HSV9sri5qywKc5&#10;RopI6Pjvz99//fx6++XT7Y9vCJZBo9a4KaRemyvbew7MQHjHrQz/QAXtoq4397qynUcUFrN0MMnz&#10;EUYUYoNJlqZR+GS/21jnXzAtUTAK3LKyYq+heQsihN74KC3ZXjgfNS77Qkn5PsOISwEt2xKBBvmk&#10;Q4Y+HOQAsX1Olo7G43HgBMf3kGDdFRDwnRZNuWqEiI6t1gthEeAXeBV//eajNKFQW+B8NIQCECUw&#10;FxzuI5jSgLZOVRgRUcHAUW8jm6Pd7vAQUGcv0FFaKHJJXN0VE0N9LUIBn9Ckri3B8rv1ru/VWpc3&#10;0GWru+vvDF01AHVBnL8iFsSDmuFF8Jfw4UIDEd1bGNXafvzXesiHawhRjFqYHyD5YUMsw0i8VHBB&#10;T7PhMAxcdIaj5zk49jCyPoyojVxoEBjaCdVFM+R7cWdyq+U7eDjm4VQIEUXh7E7O3ln4bq7h6aFs&#10;Po9pMGSG+At1bWgADw1Ver7xmjc+XIEgVKdO78CYxZvRPwlhjg/9mLV/Bmd/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Mi1iD7XAAAACgEAAA8AAAAAAAAAAQAgAAAAIgAAAGRycy9kb3ducmV2Lnht&#10;bFBLAQIUABQAAAAIAIdO4kD1NEh0pQIAAE4FAAAOAAAAAAAAAAEAIAAAACYBAABkcnMvZTJvRG9j&#10;LnhtbFBLBQYAAAAABgAGAFkBAAA9BgAAAAA=&#10;" adj="17885,33624">
                      <v:fill on="t" focussize="0,0"/>
                      <v:stroke weight="2pt" color="#000000 [3213]" joinstyle="round"/>
                      <v:imagedata o:title=""/>
                      <o:lock v:ext="edit" aspectratio="f"/>
                      <v:textbox>
                        <w:txbxContent>
                          <w:p w14:paraId="077DC848">
                            <w:pPr>
                              <w:spacing w:line="240" w:lineRule="auto"/>
                              <w:ind w:left="0" w:leftChars="0" w:firstLine="0" w:firstLineChars="0"/>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w:t>
                            </w:r>
                          </w:p>
                        </w:txbxContent>
                      </v:textbox>
                    </v:shape>
                  </w:pict>
                </mc:Fallback>
              </mc:AlternateContent>
            </w:r>
            <w:r>
              <w:rPr>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3578860</wp:posOffset>
                      </wp:positionH>
                      <wp:positionV relativeFrom="paragraph">
                        <wp:posOffset>444500</wp:posOffset>
                      </wp:positionV>
                      <wp:extent cx="1038225" cy="381000"/>
                      <wp:effectExtent l="12700" t="12700" r="15875" b="234950"/>
                      <wp:wrapNone/>
                      <wp:docPr id="91" name="矩形标注 91"/>
                      <wp:cNvGraphicFramePr/>
                      <a:graphic xmlns:a="http://schemas.openxmlformats.org/drawingml/2006/main">
                        <a:graphicData uri="http://schemas.microsoft.com/office/word/2010/wordprocessingShape">
                          <wps:wsp>
                            <wps:cNvSpPr/>
                            <wps:spPr>
                              <a:xfrm>
                                <a:off x="4327525" y="3408045"/>
                                <a:ext cx="1038225" cy="381000"/>
                              </a:xfrm>
                              <a:prstGeom prst="wedgeRectCallout">
                                <a:avLst>
                                  <a:gd name="adj1" fmla="val 32800"/>
                                  <a:gd name="adj2" fmla="val 105666"/>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331A6E5">
                                  <w:pPr>
                                    <w:ind w:left="0" w:leftChars="0" w:firstLine="0" w:firstLineChars="0"/>
                                    <w:jc w:val="both"/>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下屯监测点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1.8pt;margin-top:35pt;height:30pt;width:81.75pt;z-index:251667456;v-text-anchor:middle;mso-width-relative:page;mso-height-relative:page;" fillcolor="#FFFFFF [3212]" filled="t" stroked="t" coordsize="21600,21600" o:gfxdata="UEsDBAoAAAAAAIdO4kAAAAAAAAAAAAAAAAAEAAAAZHJzL1BLAwQUAAAACACHTuJALtVMndcAAAAK&#10;AQAADwAAAGRycy9kb3ducmV2LnhtbE2Py07DMBBF90j8gzVI7KidVk2qEKcLoCwKqkThA5x4SKLG&#10;48h2X3/PsILlzBzdObdaX9woThji4ElDNlMgkFpvB+o0fH1uHlYgYjJkzegJNVwxwrq+valMaf2Z&#10;PvC0T53gEIql0dCnNJVSxrZHZ+LMT0h8+/bBmcRj6KQN5szhbpRzpXLpzED8oTcTPvXYHvZHp+Ft&#10;dZ3kZts+7xq3fN3K9xcM6qD1/V2mHkEkvKQ/GH71WR1qdmr8kWwUo4ZlvsgZ1VAo7sRAMS8yEA2T&#10;C97IupL/K9Q/UEsDBBQAAAAIAIdO4kAQXevbrwIAAFoFAAAOAAAAZHJzL2Uyb0RvYy54bWytVM1u&#10;EzEQviPxDpbvdH+ySdOomypKFIRU0YqCODtee3eR/7CdbMoL8BggTnDmzONQXoOxd9umhQMHcnBm&#10;PLOf5/vG49OzvRRox6xrtSpxdpRixBTVVavqEr95vX42xch5oioitGIlvmYOn82fPjntzIzlutGi&#10;YhYBiHKzzpS48d7MksTRhknijrRhCoJcW0k8uLZOKks6QJciydN0knTaVsZqypyD3VUfxAOi/RdA&#10;zXlL2UrTrWTK96iWCeKBkmta4/A8Vss5o/6Cc8c8EiUGpj6ucAjYm7Am81Myqy0xTUuHEsi/lPCI&#10;kyStgkPvoFbEE7S17R9QsqVWO839EdUy6YlERYBFlj7S5qohhkUuILUzd6K7/wdLX+4uLWqrEp9k&#10;GCkioeO/Pn37+ePLzeePN9+/ItgGjTrjZpB6ZS7t4DkwA+E9tzL8AxW0L3Exyo/H+Rij6xKPinSa&#10;FuNeY7b3iEJClo6meUigIWOapWlsQnKPZKzzz5mWKBgl7lhVs1fQyCURQm99lJnszp2PeldD0aR6&#10;BwS4FNC+HRFolE97ZOjJQU5+mJOl48lkEuqD4wdIsG4LCPhOi7Zat0JEx9abpbAI8Eu8jr/h4wdp&#10;QqGuxPm4gAIQJTAjHO4mmNKAzk7VGBFRw/BRbyObB1+7w0NAnXuBHqSFIlfENX0xMTTUIhTwCQ3r&#10;WxQsv9/sh75tdHUNHbe6HwVn6LoFqHPi/CWxIB7UDK+Dv4CFCw1E9GBh1Gj74W/7IR+uJEQx6mCW&#10;gOT7LbEMI/FCwWU9yYoiDF90ivFxDo49jGwOI2orlxoEhnZCddEM+V7cmtxq+RYekUU4FUJEUTi7&#10;l3Nwlr6fcXiGKFssYhoMnCH+XF0ZGsBDQ5VebL3mrQ9XIAjVqzM4MHLxZgzPQ5jpQz9m3T+J8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u1Uyd1wAAAAoBAAAPAAAAAAAAAAEAIAAAACIAAABkcnMv&#10;ZG93bnJldi54bWxQSwECFAAUAAAACACHTuJAEF3r268CAABaBQAADgAAAAAAAAABACAAAAAmAQAA&#10;ZHJzL2Uyb0RvYy54bWxQSwUGAAAAAAYABgBZAQAARwYAAAAA&#10;" adj="17885,33624">
                      <v:fill on="t" focussize="0,0"/>
                      <v:stroke weight="2pt" color="#000000 [3213]" joinstyle="round"/>
                      <v:imagedata o:title=""/>
                      <o:lock v:ext="edit" aspectratio="f"/>
                      <v:textbox>
                        <w:txbxContent>
                          <w:p w14:paraId="3331A6E5">
                            <w:pPr>
                              <w:ind w:left="0" w:leftChars="0" w:firstLine="0" w:firstLineChars="0"/>
                              <w:jc w:val="both"/>
                              <w:rPr>
                                <w:rFonts w:hint="default"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下屯监测点</w:t>
                            </w:r>
                          </w:p>
                        </w:txbxContent>
                      </v:textbox>
                    </v:shape>
                  </w:pict>
                </mc:Fallback>
              </mc:AlternateContent>
            </w:r>
            <w:r>
              <w:rPr>
                <w:color w:val="auto"/>
                <w:highlight w:val="none"/>
              </w:rPr>
              <w:drawing>
                <wp:inline distT="0" distB="0" distL="114300" distR="114300">
                  <wp:extent cx="4928235" cy="3068955"/>
                  <wp:effectExtent l="0" t="0" r="5715" b="17145"/>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26"/>
                          <a:stretch>
                            <a:fillRect/>
                          </a:stretch>
                        </pic:blipFill>
                        <pic:spPr>
                          <a:xfrm>
                            <a:off x="0" y="0"/>
                            <a:ext cx="4928235" cy="3068955"/>
                          </a:xfrm>
                          <a:prstGeom prst="rect">
                            <a:avLst/>
                          </a:prstGeom>
                          <a:noFill/>
                          <a:ln>
                            <a:noFill/>
                          </a:ln>
                        </pic:spPr>
                      </pic:pic>
                    </a:graphicData>
                  </a:graphic>
                </wp:inline>
              </w:drawing>
            </w:r>
          </w:p>
          <w:p w14:paraId="71497AE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Times New Roman" w:hAnsi="Times New Roman" w:eastAsia="宋体" w:cs="宋体"/>
                <w:color w:val="auto"/>
                <w:sz w:val="24"/>
                <w:szCs w:val="24"/>
                <w:highlight w:val="none"/>
                <w:lang w:val="en-US" w:eastAsia="zh-CN"/>
              </w:rPr>
            </w:pPr>
            <w:r>
              <w:rPr>
                <w:rFonts w:hint="eastAsia" w:ascii="Times New Roman" w:hAnsi="Times New Roman" w:eastAsia="宋体" w:cs="宋体"/>
                <w:b/>
                <w:bCs/>
                <w:color w:val="auto"/>
                <w:sz w:val="21"/>
                <w:szCs w:val="21"/>
                <w:highlight w:val="none"/>
                <w:lang w:val="en-US" w:eastAsia="zh-CN"/>
              </w:rPr>
              <w:t>图3-1 大气监测点位示意图</w:t>
            </w:r>
          </w:p>
          <w:p w14:paraId="01915BD1">
            <w:pPr>
              <w:pStyle w:val="130"/>
              <w:ind w:firstLine="420"/>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lang w:val="en-US" w:eastAsia="zh-CN"/>
              </w:rPr>
              <w:t>②</w:t>
            </w:r>
            <w:r>
              <w:rPr>
                <w:rFonts w:hint="eastAsia" w:ascii="Times New Roman" w:hAnsi="Times New Roman" w:eastAsia="宋体" w:cs="宋体"/>
                <w:color w:val="auto"/>
                <w:sz w:val="24"/>
                <w:szCs w:val="24"/>
                <w:highlight w:val="none"/>
              </w:rPr>
              <w:t>特征污染物环境质量现状监测</w:t>
            </w:r>
          </w:p>
          <w:p w14:paraId="31810E47">
            <w:pPr>
              <w:pStyle w:val="11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宋体"/>
                <w:color w:val="auto"/>
                <w:sz w:val="24"/>
                <w:szCs w:val="24"/>
                <w:highlight w:val="none"/>
              </w:rPr>
              <w:t>本项目特征污染物环境质量现状监测结果见表3-3。</w:t>
            </w:r>
          </w:p>
          <w:p w14:paraId="037FA3DE">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Chars="0" w:firstLine="0" w:firstLineChars="0"/>
              <w:jc w:val="center"/>
              <w:textAlignment w:val="auto"/>
              <w:rPr>
                <w:rFonts w:hint="eastAsia" w:ascii="Times New Roman" w:hAnsi="Times New Roman" w:eastAsia="宋体" w:cs="宋体"/>
                <w:color w:val="auto"/>
                <w:sz w:val="24"/>
                <w:szCs w:val="24"/>
                <w:highlight w:val="none"/>
              </w:rPr>
            </w:pPr>
            <w:r>
              <w:rPr>
                <w:rFonts w:hint="eastAsia" w:ascii="Times New Roman" w:hAnsi="Times New Roman" w:eastAsia="宋体" w:cs="宋体"/>
                <w:b/>
                <w:bCs/>
                <w:color w:val="auto"/>
                <w:sz w:val="21"/>
                <w:szCs w:val="21"/>
                <w:highlight w:val="none"/>
                <w:lang w:val="en-US" w:eastAsia="zh-CN"/>
              </w:rPr>
              <w:t>表3-3  特征污染物环境质量现状（监测结果）表</w:t>
            </w:r>
          </w:p>
          <w:tbl>
            <w:tblPr>
              <w:tblStyle w:val="37"/>
              <w:tblW w:w="777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1"/>
              <w:gridCol w:w="798"/>
              <w:gridCol w:w="834"/>
              <w:gridCol w:w="650"/>
              <w:gridCol w:w="568"/>
              <w:gridCol w:w="955"/>
              <w:gridCol w:w="1163"/>
              <w:gridCol w:w="887"/>
              <w:gridCol w:w="624"/>
              <w:gridCol w:w="563"/>
            </w:tblGrid>
            <w:tr w14:paraId="02DB3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470" w:type="pct"/>
                  <w:vMerge w:val="restart"/>
                  <w:tcBorders>
                    <w:tl2br w:val="nil"/>
                    <w:tr2bl w:val="nil"/>
                  </w:tcBorders>
                  <w:noWrap w:val="0"/>
                  <w:tcMar>
                    <w:left w:w="57" w:type="dxa"/>
                    <w:right w:w="57" w:type="dxa"/>
                  </w:tcMar>
                  <w:vAlign w:val="center"/>
                </w:tcPr>
                <w:p w14:paraId="7F40A6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val="0"/>
                      <w:color w:val="auto"/>
                      <w:kern w:val="0"/>
                      <w:sz w:val="21"/>
                      <w:szCs w:val="21"/>
                      <w:highlight w:val="none"/>
                    </w:rPr>
                  </w:pPr>
                  <w:r>
                    <w:rPr>
                      <w:rFonts w:hint="eastAsia" w:ascii="Times New Roman" w:hAnsi="Times New Roman" w:eastAsia="宋体" w:cs="宋体"/>
                      <w:b/>
                      <w:bCs w:val="0"/>
                      <w:color w:val="auto"/>
                      <w:kern w:val="0"/>
                      <w:sz w:val="21"/>
                      <w:szCs w:val="21"/>
                      <w:highlight w:val="none"/>
                    </w:rPr>
                    <w:t>监测点位</w:t>
                  </w:r>
                </w:p>
              </w:tc>
              <w:tc>
                <w:tcPr>
                  <w:tcW w:w="1049" w:type="pct"/>
                  <w:gridSpan w:val="2"/>
                  <w:tcBorders>
                    <w:tl2br w:val="nil"/>
                    <w:tr2bl w:val="nil"/>
                  </w:tcBorders>
                  <w:noWrap w:val="0"/>
                  <w:tcMar>
                    <w:left w:w="57" w:type="dxa"/>
                    <w:right w:w="57" w:type="dxa"/>
                  </w:tcMar>
                  <w:vAlign w:val="center"/>
                </w:tcPr>
                <w:p w14:paraId="064198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val="0"/>
                      <w:color w:val="auto"/>
                      <w:kern w:val="0"/>
                      <w:sz w:val="21"/>
                      <w:szCs w:val="21"/>
                      <w:highlight w:val="none"/>
                    </w:rPr>
                  </w:pPr>
                  <w:r>
                    <w:rPr>
                      <w:rFonts w:hint="eastAsia" w:ascii="Times New Roman" w:hAnsi="Times New Roman" w:eastAsia="宋体" w:cs="宋体"/>
                      <w:b/>
                      <w:bCs w:val="0"/>
                      <w:color w:val="auto"/>
                      <w:kern w:val="0"/>
                      <w:sz w:val="21"/>
                      <w:szCs w:val="21"/>
                      <w:highlight w:val="none"/>
                    </w:rPr>
                    <w:t>监测点坐标/°</w:t>
                  </w:r>
                </w:p>
              </w:tc>
              <w:tc>
                <w:tcPr>
                  <w:tcW w:w="418" w:type="pct"/>
                  <w:vMerge w:val="restart"/>
                  <w:tcBorders>
                    <w:tl2br w:val="nil"/>
                    <w:tr2bl w:val="nil"/>
                  </w:tcBorders>
                  <w:noWrap w:val="0"/>
                  <w:tcMar>
                    <w:left w:w="57" w:type="dxa"/>
                    <w:right w:w="57" w:type="dxa"/>
                  </w:tcMar>
                  <w:vAlign w:val="center"/>
                </w:tcPr>
                <w:p w14:paraId="7EBB73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val="0"/>
                      <w:color w:val="auto"/>
                      <w:kern w:val="0"/>
                      <w:sz w:val="21"/>
                      <w:szCs w:val="21"/>
                      <w:highlight w:val="none"/>
                    </w:rPr>
                  </w:pPr>
                  <w:r>
                    <w:rPr>
                      <w:rFonts w:hint="eastAsia" w:ascii="Times New Roman" w:hAnsi="Times New Roman" w:eastAsia="宋体" w:cs="宋体"/>
                      <w:b/>
                      <w:bCs w:val="0"/>
                      <w:color w:val="auto"/>
                      <w:kern w:val="0"/>
                      <w:sz w:val="21"/>
                      <w:szCs w:val="21"/>
                      <w:highlight w:val="none"/>
                    </w:rPr>
                    <w:t>污染物</w:t>
                  </w:r>
                </w:p>
              </w:tc>
              <w:tc>
                <w:tcPr>
                  <w:tcW w:w="365" w:type="pct"/>
                  <w:vMerge w:val="restart"/>
                  <w:tcBorders>
                    <w:tl2br w:val="nil"/>
                    <w:tr2bl w:val="nil"/>
                  </w:tcBorders>
                  <w:noWrap w:val="0"/>
                  <w:tcMar>
                    <w:left w:w="57" w:type="dxa"/>
                    <w:right w:w="57" w:type="dxa"/>
                  </w:tcMar>
                  <w:vAlign w:val="center"/>
                </w:tcPr>
                <w:p w14:paraId="26997B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val="0"/>
                      <w:color w:val="auto"/>
                      <w:kern w:val="0"/>
                      <w:sz w:val="21"/>
                      <w:szCs w:val="21"/>
                      <w:highlight w:val="none"/>
                    </w:rPr>
                  </w:pPr>
                  <w:r>
                    <w:rPr>
                      <w:rFonts w:hint="eastAsia" w:ascii="Times New Roman" w:hAnsi="Times New Roman" w:eastAsia="宋体" w:cs="宋体"/>
                      <w:b/>
                      <w:bCs w:val="0"/>
                      <w:color w:val="auto"/>
                      <w:kern w:val="0"/>
                      <w:sz w:val="21"/>
                      <w:szCs w:val="21"/>
                      <w:highlight w:val="none"/>
                    </w:rPr>
                    <w:t>平均时间</w:t>
                  </w:r>
                </w:p>
              </w:tc>
              <w:tc>
                <w:tcPr>
                  <w:tcW w:w="614" w:type="pct"/>
                  <w:vMerge w:val="restart"/>
                  <w:tcBorders>
                    <w:tl2br w:val="nil"/>
                    <w:tr2bl w:val="nil"/>
                  </w:tcBorders>
                  <w:noWrap w:val="0"/>
                  <w:tcMar>
                    <w:left w:w="57" w:type="dxa"/>
                    <w:right w:w="57" w:type="dxa"/>
                  </w:tcMar>
                  <w:vAlign w:val="center"/>
                </w:tcPr>
                <w:p w14:paraId="6CD14D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val="0"/>
                      <w:color w:val="auto"/>
                      <w:kern w:val="0"/>
                      <w:sz w:val="21"/>
                      <w:szCs w:val="21"/>
                      <w:highlight w:val="none"/>
                    </w:rPr>
                  </w:pPr>
                  <w:r>
                    <w:rPr>
                      <w:rFonts w:hint="eastAsia" w:ascii="Times New Roman" w:hAnsi="Times New Roman" w:eastAsia="宋体" w:cs="宋体"/>
                      <w:b/>
                      <w:bCs w:val="0"/>
                      <w:color w:val="auto"/>
                      <w:kern w:val="0"/>
                      <w:sz w:val="21"/>
                      <w:szCs w:val="21"/>
                      <w:highlight w:val="none"/>
                    </w:rPr>
                    <w:t>评价标准/(mg/m</w:t>
                  </w:r>
                  <w:r>
                    <w:rPr>
                      <w:rFonts w:hint="eastAsia" w:ascii="Times New Roman" w:hAnsi="Times New Roman" w:eastAsia="宋体" w:cs="宋体"/>
                      <w:b/>
                      <w:bCs w:val="0"/>
                      <w:color w:val="auto"/>
                      <w:kern w:val="0"/>
                      <w:sz w:val="21"/>
                      <w:szCs w:val="21"/>
                      <w:highlight w:val="none"/>
                      <w:vertAlign w:val="superscript"/>
                    </w:rPr>
                    <w:t>3</w:t>
                  </w:r>
                  <w:r>
                    <w:rPr>
                      <w:rFonts w:hint="eastAsia" w:ascii="Times New Roman" w:hAnsi="Times New Roman" w:eastAsia="宋体" w:cs="宋体"/>
                      <w:b/>
                      <w:bCs w:val="0"/>
                      <w:color w:val="auto"/>
                      <w:kern w:val="0"/>
                      <w:sz w:val="21"/>
                      <w:szCs w:val="21"/>
                      <w:highlight w:val="none"/>
                    </w:rPr>
                    <w:t>)</w:t>
                  </w:r>
                </w:p>
              </w:tc>
              <w:tc>
                <w:tcPr>
                  <w:tcW w:w="748" w:type="pct"/>
                  <w:vMerge w:val="restart"/>
                  <w:tcBorders>
                    <w:tl2br w:val="nil"/>
                    <w:tr2bl w:val="nil"/>
                  </w:tcBorders>
                  <w:noWrap w:val="0"/>
                  <w:tcMar>
                    <w:left w:w="57" w:type="dxa"/>
                    <w:right w:w="57" w:type="dxa"/>
                  </w:tcMar>
                  <w:vAlign w:val="center"/>
                </w:tcPr>
                <w:p w14:paraId="2437F0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val="0"/>
                      <w:color w:val="auto"/>
                      <w:kern w:val="0"/>
                      <w:sz w:val="21"/>
                      <w:szCs w:val="21"/>
                      <w:highlight w:val="none"/>
                    </w:rPr>
                  </w:pPr>
                  <w:r>
                    <w:rPr>
                      <w:rFonts w:hint="eastAsia" w:ascii="Times New Roman" w:hAnsi="Times New Roman" w:eastAsia="宋体" w:cs="宋体"/>
                      <w:b/>
                      <w:bCs w:val="0"/>
                      <w:color w:val="auto"/>
                      <w:kern w:val="0"/>
                      <w:sz w:val="21"/>
                      <w:szCs w:val="21"/>
                      <w:highlight w:val="none"/>
                    </w:rPr>
                    <w:t>监测浓度范围/(</w:t>
                  </w:r>
                  <w:r>
                    <w:rPr>
                      <w:rFonts w:hint="default" w:ascii="Times New Roman" w:hAnsi="Times New Roman" w:eastAsia="宋体" w:cs="Times New Roman"/>
                      <w:color w:val="auto"/>
                      <w:sz w:val="21"/>
                      <w:szCs w:val="21"/>
                      <w:highlight w:val="none"/>
                    </w:rPr>
                    <w:t>μ</w:t>
                  </w:r>
                  <w:r>
                    <w:rPr>
                      <w:rFonts w:hint="eastAsia" w:ascii="Times New Roman" w:hAnsi="Times New Roman" w:eastAsia="宋体" w:cs="宋体"/>
                      <w:b/>
                      <w:bCs w:val="0"/>
                      <w:color w:val="auto"/>
                      <w:kern w:val="0"/>
                      <w:sz w:val="21"/>
                      <w:szCs w:val="21"/>
                      <w:highlight w:val="none"/>
                    </w:rPr>
                    <w:t>g/m</w:t>
                  </w:r>
                  <w:r>
                    <w:rPr>
                      <w:rFonts w:hint="eastAsia" w:ascii="Times New Roman" w:hAnsi="Times New Roman" w:eastAsia="宋体" w:cs="宋体"/>
                      <w:b/>
                      <w:bCs w:val="0"/>
                      <w:color w:val="auto"/>
                      <w:kern w:val="0"/>
                      <w:sz w:val="21"/>
                      <w:szCs w:val="21"/>
                      <w:highlight w:val="none"/>
                      <w:vertAlign w:val="superscript"/>
                    </w:rPr>
                    <w:t>3</w:t>
                  </w:r>
                  <w:r>
                    <w:rPr>
                      <w:rFonts w:hint="eastAsia" w:ascii="Times New Roman" w:hAnsi="Times New Roman" w:eastAsia="宋体" w:cs="宋体"/>
                      <w:b/>
                      <w:bCs w:val="0"/>
                      <w:color w:val="auto"/>
                      <w:kern w:val="0"/>
                      <w:sz w:val="21"/>
                      <w:szCs w:val="21"/>
                      <w:highlight w:val="none"/>
                    </w:rPr>
                    <w:t>)</w:t>
                  </w:r>
                </w:p>
              </w:tc>
              <w:tc>
                <w:tcPr>
                  <w:tcW w:w="570" w:type="pct"/>
                  <w:vMerge w:val="restart"/>
                  <w:tcBorders>
                    <w:tl2br w:val="nil"/>
                    <w:tr2bl w:val="nil"/>
                  </w:tcBorders>
                  <w:noWrap w:val="0"/>
                  <w:tcMar>
                    <w:left w:w="57" w:type="dxa"/>
                    <w:right w:w="57" w:type="dxa"/>
                  </w:tcMar>
                  <w:vAlign w:val="center"/>
                </w:tcPr>
                <w:p w14:paraId="476857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val="0"/>
                      <w:color w:val="auto"/>
                      <w:kern w:val="0"/>
                      <w:sz w:val="21"/>
                      <w:szCs w:val="21"/>
                      <w:highlight w:val="none"/>
                    </w:rPr>
                  </w:pPr>
                  <w:r>
                    <w:rPr>
                      <w:rFonts w:hint="eastAsia" w:ascii="Times New Roman" w:hAnsi="Times New Roman" w:eastAsia="宋体" w:cs="宋体"/>
                      <w:b/>
                      <w:bCs w:val="0"/>
                      <w:color w:val="auto"/>
                      <w:kern w:val="0"/>
                      <w:sz w:val="21"/>
                      <w:szCs w:val="21"/>
                      <w:highlight w:val="none"/>
                    </w:rPr>
                    <w:t>最大浓度占标率/%</w:t>
                  </w:r>
                </w:p>
              </w:tc>
              <w:tc>
                <w:tcPr>
                  <w:tcW w:w="401" w:type="pct"/>
                  <w:vMerge w:val="restart"/>
                  <w:tcBorders>
                    <w:tl2br w:val="nil"/>
                    <w:tr2bl w:val="nil"/>
                  </w:tcBorders>
                  <w:noWrap w:val="0"/>
                  <w:tcMar>
                    <w:left w:w="57" w:type="dxa"/>
                    <w:right w:w="57" w:type="dxa"/>
                  </w:tcMar>
                  <w:vAlign w:val="center"/>
                </w:tcPr>
                <w:p w14:paraId="426361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val="0"/>
                      <w:color w:val="auto"/>
                      <w:kern w:val="0"/>
                      <w:sz w:val="21"/>
                      <w:szCs w:val="21"/>
                      <w:highlight w:val="none"/>
                    </w:rPr>
                  </w:pPr>
                  <w:r>
                    <w:rPr>
                      <w:rFonts w:hint="eastAsia" w:ascii="Times New Roman" w:hAnsi="Times New Roman" w:eastAsia="宋体" w:cs="宋体"/>
                      <w:b/>
                      <w:bCs w:val="0"/>
                      <w:color w:val="auto"/>
                      <w:kern w:val="0"/>
                      <w:sz w:val="21"/>
                      <w:szCs w:val="21"/>
                      <w:highlight w:val="none"/>
                    </w:rPr>
                    <w:t>超标率/%</w:t>
                  </w:r>
                </w:p>
              </w:tc>
              <w:tc>
                <w:tcPr>
                  <w:tcW w:w="362" w:type="pct"/>
                  <w:vMerge w:val="restart"/>
                  <w:tcBorders>
                    <w:tl2br w:val="nil"/>
                    <w:tr2bl w:val="nil"/>
                  </w:tcBorders>
                  <w:noWrap w:val="0"/>
                  <w:tcMar>
                    <w:left w:w="57" w:type="dxa"/>
                    <w:right w:w="57" w:type="dxa"/>
                  </w:tcMar>
                  <w:vAlign w:val="center"/>
                </w:tcPr>
                <w:p w14:paraId="6AF7A3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b/>
                      <w:bCs w:val="0"/>
                      <w:color w:val="auto"/>
                      <w:kern w:val="0"/>
                      <w:sz w:val="21"/>
                      <w:szCs w:val="21"/>
                      <w:highlight w:val="none"/>
                    </w:rPr>
                  </w:pPr>
                  <w:r>
                    <w:rPr>
                      <w:rFonts w:hint="eastAsia" w:ascii="Times New Roman" w:hAnsi="Times New Roman" w:eastAsia="宋体" w:cs="宋体"/>
                      <w:b/>
                      <w:bCs w:val="0"/>
                      <w:color w:val="auto"/>
                      <w:kern w:val="0"/>
                      <w:sz w:val="21"/>
                      <w:szCs w:val="21"/>
                      <w:highlight w:val="none"/>
                    </w:rPr>
                    <w:t>达标情况</w:t>
                  </w:r>
                </w:p>
              </w:tc>
            </w:tr>
            <w:tr w14:paraId="7B8A7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470" w:type="pct"/>
                  <w:vMerge w:val="continue"/>
                  <w:tcBorders>
                    <w:tl2br w:val="nil"/>
                    <w:tr2bl w:val="nil"/>
                  </w:tcBorders>
                  <w:noWrap w:val="0"/>
                  <w:tcMar>
                    <w:left w:w="57" w:type="dxa"/>
                    <w:right w:w="57" w:type="dxa"/>
                  </w:tcMar>
                  <w:vAlign w:val="center"/>
                </w:tcPr>
                <w:p w14:paraId="1E4FA0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kern w:val="0"/>
                      <w:sz w:val="21"/>
                      <w:szCs w:val="21"/>
                      <w:highlight w:val="none"/>
                    </w:rPr>
                  </w:pPr>
                </w:p>
              </w:tc>
              <w:tc>
                <w:tcPr>
                  <w:tcW w:w="513" w:type="pct"/>
                  <w:tcBorders>
                    <w:tl2br w:val="nil"/>
                    <w:tr2bl w:val="nil"/>
                  </w:tcBorders>
                  <w:noWrap w:val="0"/>
                  <w:tcMar>
                    <w:left w:w="57" w:type="dxa"/>
                    <w:right w:w="57" w:type="dxa"/>
                  </w:tcMar>
                  <w:vAlign w:val="center"/>
                </w:tcPr>
                <w:p w14:paraId="21D42A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kern w:val="0"/>
                      <w:sz w:val="21"/>
                      <w:szCs w:val="21"/>
                      <w:highlight w:val="none"/>
                    </w:rPr>
                    <w:t>北纬</w:t>
                  </w:r>
                </w:p>
              </w:tc>
              <w:tc>
                <w:tcPr>
                  <w:tcW w:w="536" w:type="pct"/>
                  <w:tcBorders>
                    <w:tl2br w:val="nil"/>
                    <w:tr2bl w:val="nil"/>
                  </w:tcBorders>
                  <w:noWrap w:val="0"/>
                  <w:tcMar>
                    <w:left w:w="57" w:type="dxa"/>
                    <w:right w:w="57" w:type="dxa"/>
                  </w:tcMar>
                  <w:vAlign w:val="center"/>
                </w:tcPr>
                <w:p w14:paraId="41DDFC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kern w:val="0"/>
                      <w:sz w:val="21"/>
                      <w:szCs w:val="21"/>
                      <w:highlight w:val="none"/>
                    </w:rPr>
                    <w:t>东经</w:t>
                  </w:r>
                </w:p>
              </w:tc>
              <w:tc>
                <w:tcPr>
                  <w:tcW w:w="418" w:type="pct"/>
                  <w:vMerge w:val="continue"/>
                  <w:tcBorders>
                    <w:tl2br w:val="nil"/>
                    <w:tr2bl w:val="nil"/>
                  </w:tcBorders>
                  <w:noWrap w:val="0"/>
                  <w:tcMar>
                    <w:left w:w="57" w:type="dxa"/>
                    <w:right w:w="57" w:type="dxa"/>
                  </w:tcMar>
                  <w:vAlign w:val="center"/>
                </w:tcPr>
                <w:p w14:paraId="666C16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kern w:val="0"/>
                      <w:sz w:val="21"/>
                      <w:szCs w:val="21"/>
                      <w:highlight w:val="none"/>
                    </w:rPr>
                  </w:pPr>
                </w:p>
              </w:tc>
              <w:tc>
                <w:tcPr>
                  <w:tcW w:w="365" w:type="pct"/>
                  <w:vMerge w:val="continue"/>
                  <w:tcBorders>
                    <w:tl2br w:val="nil"/>
                    <w:tr2bl w:val="nil"/>
                  </w:tcBorders>
                  <w:noWrap w:val="0"/>
                  <w:tcMar>
                    <w:left w:w="57" w:type="dxa"/>
                    <w:right w:w="57" w:type="dxa"/>
                  </w:tcMar>
                  <w:vAlign w:val="center"/>
                </w:tcPr>
                <w:p w14:paraId="1E47D2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kern w:val="0"/>
                      <w:sz w:val="21"/>
                      <w:szCs w:val="21"/>
                      <w:highlight w:val="none"/>
                    </w:rPr>
                  </w:pPr>
                </w:p>
              </w:tc>
              <w:tc>
                <w:tcPr>
                  <w:tcW w:w="614" w:type="pct"/>
                  <w:vMerge w:val="continue"/>
                  <w:tcBorders>
                    <w:tl2br w:val="nil"/>
                    <w:tr2bl w:val="nil"/>
                  </w:tcBorders>
                  <w:noWrap w:val="0"/>
                  <w:tcMar>
                    <w:left w:w="57" w:type="dxa"/>
                    <w:right w:w="57" w:type="dxa"/>
                  </w:tcMar>
                  <w:vAlign w:val="center"/>
                </w:tcPr>
                <w:p w14:paraId="38C4F8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kern w:val="0"/>
                      <w:sz w:val="21"/>
                      <w:szCs w:val="21"/>
                      <w:highlight w:val="none"/>
                    </w:rPr>
                  </w:pPr>
                </w:p>
              </w:tc>
              <w:tc>
                <w:tcPr>
                  <w:tcW w:w="748" w:type="pct"/>
                  <w:vMerge w:val="continue"/>
                  <w:tcBorders>
                    <w:tl2br w:val="nil"/>
                    <w:tr2bl w:val="nil"/>
                  </w:tcBorders>
                  <w:noWrap w:val="0"/>
                  <w:tcMar>
                    <w:left w:w="57" w:type="dxa"/>
                    <w:right w:w="57" w:type="dxa"/>
                  </w:tcMar>
                  <w:vAlign w:val="center"/>
                </w:tcPr>
                <w:p w14:paraId="27F7D0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kern w:val="0"/>
                      <w:sz w:val="21"/>
                      <w:szCs w:val="21"/>
                      <w:highlight w:val="none"/>
                    </w:rPr>
                  </w:pPr>
                </w:p>
              </w:tc>
              <w:tc>
                <w:tcPr>
                  <w:tcW w:w="570" w:type="pct"/>
                  <w:vMerge w:val="continue"/>
                  <w:tcBorders>
                    <w:tl2br w:val="nil"/>
                    <w:tr2bl w:val="nil"/>
                  </w:tcBorders>
                  <w:noWrap w:val="0"/>
                  <w:tcMar>
                    <w:left w:w="57" w:type="dxa"/>
                    <w:right w:w="57" w:type="dxa"/>
                  </w:tcMar>
                  <w:vAlign w:val="center"/>
                </w:tcPr>
                <w:p w14:paraId="3DCF76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kern w:val="0"/>
                      <w:sz w:val="21"/>
                      <w:szCs w:val="21"/>
                      <w:highlight w:val="none"/>
                    </w:rPr>
                  </w:pPr>
                </w:p>
              </w:tc>
              <w:tc>
                <w:tcPr>
                  <w:tcW w:w="401" w:type="pct"/>
                  <w:vMerge w:val="continue"/>
                  <w:tcBorders>
                    <w:tl2br w:val="nil"/>
                    <w:tr2bl w:val="nil"/>
                  </w:tcBorders>
                  <w:noWrap w:val="0"/>
                  <w:tcMar>
                    <w:left w:w="57" w:type="dxa"/>
                    <w:right w:w="57" w:type="dxa"/>
                  </w:tcMar>
                  <w:vAlign w:val="center"/>
                </w:tcPr>
                <w:p w14:paraId="7B3C55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kern w:val="0"/>
                      <w:sz w:val="21"/>
                      <w:szCs w:val="21"/>
                      <w:highlight w:val="none"/>
                    </w:rPr>
                  </w:pPr>
                </w:p>
              </w:tc>
              <w:tc>
                <w:tcPr>
                  <w:tcW w:w="362" w:type="pct"/>
                  <w:vMerge w:val="continue"/>
                  <w:tcBorders>
                    <w:tl2br w:val="nil"/>
                    <w:tr2bl w:val="nil"/>
                  </w:tcBorders>
                  <w:noWrap w:val="0"/>
                  <w:tcMar>
                    <w:left w:w="57" w:type="dxa"/>
                    <w:right w:w="57" w:type="dxa"/>
                  </w:tcMar>
                  <w:vAlign w:val="center"/>
                </w:tcPr>
                <w:p w14:paraId="196047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kern w:val="0"/>
                      <w:sz w:val="21"/>
                      <w:szCs w:val="21"/>
                      <w:highlight w:val="none"/>
                    </w:rPr>
                  </w:pPr>
                </w:p>
              </w:tc>
            </w:tr>
            <w:tr w14:paraId="7B4E42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5" w:hRule="atLeast"/>
                <w:jc w:val="center"/>
              </w:trPr>
              <w:tc>
                <w:tcPr>
                  <w:tcW w:w="470" w:type="pct"/>
                  <w:tcBorders>
                    <w:tl2br w:val="nil"/>
                    <w:tr2bl w:val="nil"/>
                  </w:tcBorders>
                  <w:noWrap w:val="0"/>
                  <w:tcMar>
                    <w:left w:w="57" w:type="dxa"/>
                    <w:right w:w="57" w:type="dxa"/>
                  </w:tcMar>
                  <w:vAlign w:val="center"/>
                </w:tcPr>
                <w:p w14:paraId="0039FC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kern w:val="0"/>
                      <w:sz w:val="21"/>
                      <w:szCs w:val="21"/>
                      <w:highlight w:val="none"/>
                      <w:lang w:eastAsia="zh-CN"/>
                    </w:rPr>
                  </w:pPr>
                  <w:r>
                    <w:rPr>
                      <w:rFonts w:hint="eastAsia" w:ascii="Times New Roman" w:hAnsi="Times New Roman" w:eastAsia="宋体" w:cs="宋体"/>
                      <w:color w:val="auto"/>
                      <w:sz w:val="21"/>
                      <w:szCs w:val="21"/>
                      <w:highlight w:val="none"/>
                      <w:lang w:val="en-US" w:eastAsia="zh-CN"/>
                    </w:rPr>
                    <w:t>下屯</w:t>
                  </w:r>
                </w:p>
              </w:tc>
              <w:tc>
                <w:tcPr>
                  <w:tcW w:w="513" w:type="pct"/>
                  <w:tcBorders>
                    <w:tl2br w:val="nil"/>
                    <w:tr2bl w:val="nil"/>
                  </w:tcBorders>
                  <w:noWrap w:val="0"/>
                  <w:tcMar>
                    <w:left w:w="57" w:type="dxa"/>
                    <w:right w:w="57" w:type="dxa"/>
                  </w:tcMar>
                  <w:vAlign w:val="center"/>
                </w:tcPr>
                <w:p w14:paraId="79D276FD">
                  <w:pPr>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bCs/>
                      <w:color w:val="auto"/>
                      <w:kern w:val="2"/>
                      <w:sz w:val="21"/>
                      <w:szCs w:val="21"/>
                      <w:highlight w:val="none"/>
                      <w:lang w:val="en-US" w:eastAsia="zh-CN" w:bidi="ar-SA"/>
                    </w:rPr>
                  </w:pPr>
                  <w:r>
                    <w:rPr>
                      <w:rFonts w:hint="eastAsia" w:ascii="Times New Roman" w:hAnsi="Times New Roman" w:eastAsia="宋体" w:cs="宋体"/>
                      <w:color w:val="auto"/>
                      <w:sz w:val="21"/>
                      <w:szCs w:val="21"/>
                      <w:highlight w:val="none"/>
                      <w:lang w:val="en-US" w:eastAsia="zh-CN"/>
                    </w:rPr>
                    <w:t>130°36'57.7058"</w:t>
                  </w:r>
                </w:p>
              </w:tc>
              <w:tc>
                <w:tcPr>
                  <w:tcW w:w="536" w:type="pct"/>
                  <w:tcBorders>
                    <w:tl2br w:val="nil"/>
                    <w:tr2bl w:val="nil"/>
                  </w:tcBorders>
                  <w:noWrap w:val="0"/>
                  <w:tcMar>
                    <w:left w:w="57" w:type="dxa"/>
                    <w:right w:w="57" w:type="dxa"/>
                  </w:tcMar>
                  <w:vAlign w:val="center"/>
                </w:tcPr>
                <w:p w14:paraId="5B67937C">
                  <w:pPr>
                    <w:keepNext w:val="0"/>
                    <w:keepLines w:val="0"/>
                    <w:pageBreakBefore w:val="0"/>
                    <w:widowControl w:val="0"/>
                    <w:kinsoku/>
                    <w:wordWrap/>
                    <w:overflowPunct/>
                    <w:topLinePunct w:val="0"/>
                    <w:autoSpaceDE w:val="0"/>
                    <w:autoSpaceDN w:val="0"/>
                    <w:bidi w:val="0"/>
                    <w:adjustRightInd w:val="0"/>
                    <w:spacing w:line="240" w:lineRule="auto"/>
                    <w:ind w:firstLine="0" w:firstLineChars="0"/>
                    <w:jc w:val="center"/>
                    <w:rPr>
                      <w:rFonts w:hint="eastAsia" w:ascii="Times New Roman" w:hAnsi="Times New Roman" w:eastAsia="宋体" w:cs="宋体"/>
                      <w:bCs/>
                      <w:color w:val="auto"/>
                      <w:kern w:val="2"/>
                      <w:sz w:val="21"/>
                      <w:szCs w:val="21"/>
                      <w:highlight w:val="none"/>
                      <w:lang w:val="en-US" w:eastAsia="zh-CN" w:bidi="ar-SA"/>
                    </w:rPr>
                  </w:pPr>
                  <w:r>
                    <w:rPr>
                      <w:rFonts w:hint="eastAsia" w:ascii="Times New Roman" w:hAnsi="Times New Roman" w:eastAsia="宋体" w:cs="宋体"/>
                      <w:color w:val="auto"/>
                      <w:sz w:val="21"/>
                      <w:szCs w:val="21"/>
                      <w:highlight w:val="none"/>
                      <w:lang w:val="en-US" w:eastAsia="zh-CN"/>
                    </w:rPr>
                    <w:t>45°05'43.9014"</w:t>
                  </w:r>
                </w:p>
              </w:tc>
              <w:tc>
                <w:tcPr>
                  <w:tcW w:w="418" w:type="pct"/>
                  <w:tcBorders>
                    <w:tl2br w:val="nil"/>
                    <w:tr2bl w:val="nil"/>
                  </w:tcBorders>
                  <w:noWrap w:val="0"/>
                  <w:tcMar>
                    <w:left w:w="57" w:type="dxa"/>
                    <w:right w:w="57" w:type="dxa"/>
                  </w:tcMar>
                  <w:vAlign w:val="center"/>
                </w:tcPr>
                <w:p w14:paraId="58877C11">
                  <w:pPr>
                    <w:pStyle w:val="30"/>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lang w:val="en-US" w:eastAsia="zh-CN"/>
                    </w:rPr>
                    <w:t>TSP</w:t>
                  </w:r>
                </w:p>
              </w:tc>
              <w:tc>
                <w:tcPr>
                  <w:tcW w:w="365" w:type="pct"/>
                  <w:tcBorders>
                    <w:tl2br w:val="nil"/>
                    <w:tr2bl w:val="nil"/>
                  </w:tcBorders>
                  <w:noWrap w:val="0"/>
                  <w:tcMar>
                    <w:left w:w="57" w:type="dxa"/>
                    <w:right w:w="57" w:type="dxa"/>
                  </w:tcMar>
                  <w:vAlign w:val="center"/>
                </w:tcPr>
                <w:p w14:paraId="19C98E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sz w:val="21"/>
                      <w:szCs w:val="21"/>
                      <w:highlight w:val="none"/>
                    </w:rPr>
                    <w:t>24小时平均</w:t>
                  </w:r>
                </w:p>
              </w:tc>
              <w:tc>
                <w:tcPr>
                  <w:tcW w:w="614" w:type="pct"/>
                  <w:tcBorders>
                    <w:tl2br w:val="nil"/>
                    <w:tr2bl w:val="nil"/>
                  </w:tcBorders>
                  <w:noWrap w:val="0"/>
                  <w:tcMar>
                    <w:left w:w="57" w:type="dxa"/>
                    <w:right w:w="57" w:type="dxa"/>
                  </w:tcMar>
                  <w:vAlign w:val="center"/>
                </w:tcPr>
                <w:p w14:paraId="5D820B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kern w:val="0"/>
                      <w:sz w:val="21"/>
                      <w:szCs w:val="21"/>
                      <w:highlight w:val="none"/>
                      <w:lang w:val="en-US" w:eastAsia="zh-CN"/>
                    </w:rPr>
                  </w:pPr>
                  <w:r>
                    <w:rPr>
                      <w:rFonts w:hint="eastAsia" w:ascii="Times New Roman" w:hAnsi="Times New Roman" w:eastAsia="宋体" w:cs="宋体"/>
                      <w:color w:val="auto"/>
                      <w:sz w:val="21"/>
                      <w:szCs w:val="21"/>
                      <w:highlight w:val="none"/>
                    </w:rPr>
                    <w:t>300</w:t>
                  </w:r>
                  <w:r>
                    <w:rPr>
                      <w:rFonts w:hint="default" w:ascii="Times New Roman" w:hAnsi="Times New Roman" w:eastAsia="宋体" w:cs="Times New Roman"/>
                      <w:color w:val="auto"/>
                      <w:sz w:val="21"/>
                      <w:szCs w:val="21"/>
                      <w:highlight w:val="none"/>
                    </w:rPr>
                    <w:t>μ</w:t>
                  </w:r>
                  <w:r>
                    <w:rPr>
                      <w:rFonts w:hint="eastAsia" w:ascii="Times New Roman" w:hAnsi="Times New Roman" w:eastAsia="宋体" w:cs="宋体"/>
                      <w:color w:val="auto"/>
                      <w:sz w:val="21"/>
                      <w:szCs w:val="21"/>
                      <w:highlight w:val="none"/>
                    </w:rPr>
                    <w:t>g/m</w:t>
                  </w:r>
                  <w:r>
                    <w:rPr>
                      <w:rFonts w:hint="eastAsia" w:ascii="Times New Roman" w:hAnsi="Times New Roman" w:eastAsia="宋体" w:cs="宋体"/>
                      <w:color w:val="auto"/>
                      <w:sz w:val="21"/>
                      <w:szCs w:val="21"/>
                      <w:highlight w:val="none"/>
                      <w:vertAlign w:val="superscript"/>
                      <w:lang w:val="en-US" w:eastAsia="zh-CN"/>
                    </w:rPr>
                    <w:t>3</w:t>
                  </w:r>
                </w:p>
              </w:tc>
              <w:tc>
                <w:tcPr>
                  <w:tcW w:w="748" w:type="pct"/>
                  <w:tcBorders>
                    <w:tl2br w:val="nil"/>
                    <w:tr2bl w:val="nil"/>
                  </w:tcBorders>
                  <w:noWrap w:val="0"/>
                  <w:tcMar>
                    <w:left w:w="57" w:type="dxa"/>
                    <w:right w:w="57" w:type="dxa"/>
                  </w:tcMar>
                  <w:vAlign w:val="center"/>
                </w:tcPr>
                <w:p w14:paraId="7B644D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highlight w:val="none"/>
                    </w:rPr>
                  </w:pPr>
                  <w:r>
                    <w:rPr>
                      <w:rFonts w:hint="default" w:ascii="Times New Roman" w:hAnsi="Times New Roman" w:eastAsia="宋体" w:cs="宋体"/>
                      <w:color w:val="auto"/>
                      <w:sz w:val="21"/>
                      <w:szCs w:val="21"/>
                      <w:highlight w:val="none"/>
                      <w:lang w:val="en-US" w:eastAsia="zh-CN"/>
                    </w:rPr>
                    <w:t>107~123</w:t>
                  </w:r>
                </w:p>
              </w:tc>
              <w:tc>
                <w:tcPr>
                  <w:tcW w:w="570" w:type="pct"/>
                  <w:tcBorders>
                    <w:tl2br w:val="nil"/>
                    <w:tr2bl w:val="nil"/>
                  </w:tcBorders>
                  <w:noWrap w:val="0"/>
                  <w:tcMar>
                    <w:left w:w="57" w:type="dxa"/>
                    <w:right w:w="57" w:type="dxa"/>
                  </w:tcMar>
                  <w:vAlign w:val="center"/>
                </w:tcPr>
                <w:p w14:paraId="79FC5F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sz w:val="21"/>
                      <w:szCs w:val="21"/>
                      <w:highlight w:val="none"/>
                    </w:rPr>
                  </w:pPr>
                  <w:r>
                    <w:rPr>
                      <w:rFonts w:hint="default" w:ascii="Times New Roman" w:hAnsi="Times New Roman" w:eastAsia="宋体" w:cs="宋体"/>
                      <w:color w:val="auto"/>
                      <w:sz w:val="21"/>
                      <w:szCs w:val="21"/>
                      <w:highlight w:val="none"/>
                      <w:lang w:val="en-US" w:eastAsia="zh-CN"/>
                    </w:rPr>
                    <w:t>41.00</w:t>
                  </w:r>
                </w:p>
              </w:tc>
              <w:tc>
                <w:tcPr>
                  <w:tcW w:w="401" w:type="pct"/>
                  <w:tcBorders>
                    <w:tl2br w:val="nil"/>
                    <w:tr2bl w:val="nil"/>
                  </w:tcBorders>
                  <w:noWrap w:val="0"/>
                  <w:tcMar>
                    <w:left w:w="57" w:type="dxa"/>
                    <w:right w:w="57" w:type="dxa"/>
                  </w:tcMar>
                  <w:vAlign w:val="center"/>
                </w:tcPr>
                <w:p w14:paraId="0C0322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sz w:val="21"/>
                      <w:szCs w:val="21"/>
                      <w:highlight w:val="none"/>
                    </w:rPr>
                    <w:t>0</w:t>
                  </w:r>
                </w:p>
              </w:tc>
              <w:tc>
                <w:tcPr>
                  <w:tcW w:w="362" w:type="pct"/>
                  <w:tcBorders>
                    <w:tl2br w:val="nil"/>
                    <w:tr2bl w:val="nil"/>
                  </w:tcBorders>
                  <w:noWrap w:val="0"/>
                  <w:tcMar>
                    <w:left w:w="57" w:type="dxa"/>
                    <w:right w:w="0" w:type="dxa"/>
                  </w:tcMar>
                  <w:vAlign w:val="center"/>
                </w:tcPr>
                <w:p w14:paraId="7701F8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宋体"/>
                      <w:color w:val="auto"/>
                      <w:kern w:val="0"/>
                      <w:sz w:val="21"/>
                      <w:szCs w:val="21"/>
                      <w:highlight w:val="none"/>
                    </w:rPr>
                  </w:pPr>
                  <w:r>
                    <w:rPr>
                      <w:rFonts w:hint="eastAsia" w:ascii="Times New Roman" w:hAnsi="Times New Roman" w:eastAsia="宋体" w:cs="宋体"/>
                      <w:color w:val="auto"/>
                      <w:sz w:val="21"/>
                      <w:szCs w:val="21"/>
                      <w:highlight w:val="none"/>
                    </w:rPr>
                    <w:t>达标</w:t>
                  </w:r>
                </w:p>
              </w:tc>
            </w:tr>
          </w:tbl>
          <w:p w14:paraId="13455BA2">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Times New Roman" w:hAnsi="Times New Roman" w:eastAsia="宋体" w:cs="宋体"/>
                <w:color w:val="auto"/>
                <w:sz w:val="24"/>
                <w:szCs w:val="24"/>
                <w:highlight w:val="none"/>
                <w:lang w:val="en-US" w:eastAsia="zh-CN"/>
              </w:rPr>
            </w:pPr>
            <w:r>
              <w:rPr>
                <w:rFonts w:hint="eastAsia" w:ascii="Times New Roman" w:hAnsi="Times New Roman" w:eastAsia="宋体" w:cs="宋体"/>
                <w:iCs/>
                <w:color w:val="auto"/>
                <w:sz w:val="24"/>
                <w:highlight w:val="none"/>
                <w:lang w:val="en-US" w:eastAsia="zh-CN"/>
              </w:rPr>
              <w:t>由上表可知，</w:t>
            </w:r>
            <w:r>
              <w:rPr>
                <w:rFonts w:hint="eastAsia" w:ascii="Times New Roman" w:hAnsi="Times New Roman" w:eastAsia="宋体" w:cs="宋体"/>
                <w:color w:val="auto"/>
                <w:sz w:val="24"/>
                <w:szCs w:val="24"/>
                <w:highlight w:val="none"/>
                <w:lang w:val="en-US" w:eastAsia="zh-CN"/>
              </w:rPr>
              <w:t>TSP</w:t>
            </w:r>
            <w:r>
              <w:rPr>
                <w:rFonts w:hint="eastAsia" w:ascii="Times New Roman" w:hAnsi="Times New Roman" w:eastAsia="宋体" w:cs="宋体"/>
                <w:color w:val="auto"/>
                <w:sz w:val="24"/>
                <w:highlight w:val="none"/>
              </w:rPr>
              <w:t>24小时平均浓度满足《环境空气质量标准》（GB3095-2012）及其修改单中二级标准要求</w:t>
            </w:r>
            <w:r>
              <w:rPr>
                <w:rFonts w:hint="eastAsia" w:ascii="Times New Roman" w:hAnsi="Times New Roman" w:eastAsia="宋体" w:cs="宋体"/>
                <w:color w:val="auto"/>
                <w:sz w:val="24"/>
                <w:highlight w:val="none"/>
                <w:lang w:eastAsia="zh-CN"/>
              </w:rPr>
              <w:t>。</w:t>
            </w:r>
          </w:p>
          <w:p w14:paraId="79BB802F">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2.</w:t>
            </w:r>
            <w:r>
              <w:rPr>
                <w:rFonts w:hint="eastAsia" w:ascii="宋体" w:hAnsi="宋体" w:eastAsia="宋体" w:cs="宋体"/>
                <w:b/>
                <w:bCs w:val="0"/>
                <w:color w:val="auto"/>
                <w:spacing w:val="0"/>
                <w:sz w:val="24"/>
                <w:szCs w:val="24"/>
                <w:highlight w:val="none"/>
                <w:lang w:val="en-US" w:eastAsia="zh-CN"/>
              </w:rPr>
              <w:t>地表水质量现状</w:t>
            </w:r>
          </w:p>
          <w:p w14:paraId="58A30D80">
            <w:pPr>
              <w:pStyle w:val="147"/>
              <w:keepNext w:val="0"/>
              <w:keepLines w:val="0"/>
              <w:pageBreakBefore w:val="0"/>
              <w:widowControl w:val="0"/>
              <w:kinsoku/>
              <w:wordWrap/>
              <w:overflowPunct/>
              <w:topLinePunct w:val="0"/>
              <w:autoSpaceDE/>
              <w:autoSpaceDN/>
              <w:bidi w:val="0"/>
              <w:adjustRightInd w:val="0"/>
              <w:snapToGrid w:val="0"/>
              <w:spacing w:line="360" w:lineRule="auto"/>
              <w:ind w:left="0" w:right="0" w:firstLine="476"/>
              <w:jc w:val="both"/>
              <w:textAlignment w:val="auto"/>
              <w:rPr>
                <w:color w:val="auto"/>
                <w:sz w:val="24"/>
                <w:szCs w:val="24"/>
                <w:highlight w:val="none"/>
              </w:rPr>
            </w:pPr>
            <w:r>
              <w:rPr>
                <w:color w:val="auto"/>
                <w:spacing w:val="-2"/>
                <w:sz w:val="24"/>
                <w:szCs w:val="24"/>
                <w:highlight w:val="none"/>
              </w:rPr>
              <w:t>根据《全国重要江河湖泊水功能区划（</w:t>
            </w:r>
            <w:r>
              <w:rPr>
                <w:rFonts w:ascii="Times New Roman" w:hAnsi="Times New Roman" w:eastAsia="Times New Roman" w:cs="Times New Roman"/>
                <w:color w:val="auto"/>
                <w:spacing w:val="-2"/>
                <w:sz w:val="24"/>
                <w:szCs w:val="24"/>
                <w:highlight w:val="none"/>
              </w:rPr>
              <w:t>2011-2030</w:t>
            </w:r>
            <w:r>
              <w:rPr>
                <w:color w:val="auto"/>
                <w:spacing w:val="-2"/>
                <w:sz w:val="24"/>
                <w:szCs w:val="24"/>
                <w:highlight w:val="none"/>
              </w:rPr>
              <w:t>）》（黑龙江省）可知，本</w:t>
            </w:r>
            <w:r>
              <w:rPr>
                <w:color w:val="auto"/>
                <w:sz w:val="24"/>
                <w:szCs w:val="24"/>
                <w:highlight w:val="none"/>
              </w:rPr>
              <w:t>项目涉及地表水体为穆棱河（东胜村至鸡古路西</w:t>
            </w:r>
            <w:r>
              <w:rPr>
                <w:rFonts w:ascii="Times New Roman" w:hAnsi="Times New Roman" w:eastAsia="Times New Roman" w:cs="Times New Roman"/>
                <w:color w:val="auto"/>
                <w:sz w:val="24"/>
                <w:szCs w:val="24"/>
                <w:highlight w:val="none"/>
              </w:rPr>
              <w:t>100m</w:t>
            </w:r>
            <w:r>
              <w:rPr>
                <w:color w:val="auto"/>
                <w:sz w:val="24"/>
                <w:szCs w:val="24"/>
                <w:highlight w:val="none"/>
              </w:rPr>
              <w:t>至凯北站</w:t>
            </w:r>
            <w:r>
              <w:rPr>
                <w:color w:val="auto"/>
                <w:spacing w:val="16"/>
                <w:sz w:val="24"/>
                <w:szCs w:val="24"/>
                <w:highlight w:val="none"/>
              </w:rPr>
              <w:t>），</w:t>
            </w:r>
            <w:r>
              <w:rPr>
                <w:color w:val="auto"/>
                <w:sz w:val="24"/>
                <w:szCs w:val="24"/>
                <w:highlight w:val="none"/>
              </w:rPr>
              <w:t>属穆棱河鸡</w:t>
            </w:r>
            <w:r>
              <w:rPr>
                <w:color w:val="auto"/>
                <w:spacing w:val="-2"/>
                <w:sz w:val="24"/>
                <w:szCs w:val="24"/>
                <w:highlight w:val="none"/>
              </w:rPr>
              <w:t>西市过渡区，水质目标为</w:t>
            </w:r>
            <w:r>
              <w:rPr>
                <w:rFonts w:hint="eastAsia"/>
                <w:color w:val="auto"/>
                <w:spacing w:val="-2"/>
                <w:sz w:val="24"/>
                <w:szCs w:val="24"/>
                <w:highlight w:val="none"/>
                <w:lang w:eastAsia="zh-CN"/>
              </w:rPr>
              <w:t>Ⅳ类</w:t>
            </w:r>
            <w:r>
              <w:rPr>
                <w:color w:val="auto"/>
                <w:spacing w:val="-2"/>
                <w:sz w:val="24"/>
                <w:szCs w:val="24"/>
                <w:highlight w:val="none"/>
              </w:rPr>
              <w:t>。</w:t>
            </w:r>
          </w:p>
          <w:p w14:paraId="7420A74B">
            <w:pPr>
              <w:pStyle w:val="130"/>
              <w:keepNext w:val="0"/>
              <w:keepLines w:val="0"/>
              <w:pageBreakBefore w:val="0"/>
              <w:widowControl w:val="0"/>
              <w:kinsoku/>
              <w:wordWrap/>
              <w:overflowPunct/>
              <w:topLinePunct w:val="0"/>
              <w:autoSpaceDE/>
              <w:autoSpaceDN/>
              <w:bidi w:val="0"/>
              <w:adjustRightInd w:val="0"/>
              <w:snapToGrid w:val="0"/>
              <w:spacing w:line="360" w:lineRule="auto"/>
              <w:ind w:left="0" w:right="0" w:firstLine="480"/>
              <w:jc w:val="both"/>
              <w:textAlignment w:val="auto"/>
              <w:rPr>
                <w:rFonts w:hint="eastAsia" w:ascii="宋体" w:hAnsi="宋体" w:eastAsia="宋体" w:cs="宋体"/>
                <w:color w:val="auto"/>
                <w:spacing w:val="0"/>
                <w:sz w:val="24"/>
                <w:szCs w:val="24"/>
                <w:highlight w:val="none"/>
              </w:rPr>
            </w:pPr>
            <w:r>
              <w:rPr>
                <w:color w:val="auto"/>
                <w:spacing w:val="-1"/>
                <w:sz w:val="24"/>
                <w:szCs w:val="24"/>
                <w:highlight w:val="none"/>
              </w:rPr>
              <w:t>根据《</w:t>
            </w:r>
            <w:r>
              <w:rPr>
                <w:rFonts w:ascii="Times New Roman" w:hAnsi="Times New Roman" w:eastAsia="Times New Roman" w:cs="Times New Roman"/>
                <w:color w:val="auto"/>
                <w:spacing w:val="-1"/>
                <w:sz w:val="24"/>
                <w:szCs w:val="24"/>
                <w:highlight w:val="none"/>
              </w:rPr>
              <w:t>2024</w:t>
            </w:r>
            <w:r>
              <w:rPr>
                <w:color w:val="auto"/>
                <w:spacing w:val="-1"/>
                <w:sz w:val="24"/>
                <w:szCs w:val="24"/>
                <w:highlight w:val="none"/>
              </w:rPr>
              <w:t>年黑龙江省生态环境状况公报》，</w:t>
            </w:r>
            <w:r>
              <w:rPr>
                <w:color w:val="auto"/>
                <w:spacing w:val="-2"/>
                <w:sz w:val="24"/>
                <w:szCs w:val="24"/>
                <w:highlight w:val="none"/>
              </w:rPr>
              <w:t>穆棱河鸡东境内该段水体指标</w:t>
            </w:r>
            <w:r>
              <w:rPr>
                <w:color w:val="auto"/>
                <w:spacing w:val="-1"/>
                <w:sz w:val="24"/>
                <w:szCs w:val="24"/>
                <w:highlight w:val="none"/>
              </w:rPr>
              <w:t>可满足</w:t>
            </w:r>
            <w:r>
              <w:rPr>
                <w:rFonts w:ascii="Times New Roman" w:hAnsi="Times New Roman" w:eastAsia="Times New Roman" w:cs="Times New Roman"/>
                <w:color w:val="auto"/>
                <w:spacing w:val="-1"/>
                <w:sz w:val="24"/>
                <w:szCs w:val="24"/>
                <w:highlight w:val="none"/>
              </w:rPr>
              <w:t>Ⅲ</w:t>
            </w:r>
            <w:r>
              <w:rPr>
                <w:color w:val="auto"/>
                <w:spacing w:val="-1"/>
                <w:sz w:val="24"/>
                <w:szCs w:val="24"/>
                <w:highlight w:val="none"/>
              </w:rPr>
              <w:t>类水体功能标准，水体状况良好。</w:t>
            </w:r>
          </w:p>
          <w:p w14:paraId="0310E667">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3.</w:t>
            </w:r>
            <w:r>
              <w:rPr>
                <w:rFonts w:hint="eastAsia" w:ascii="宋体" w:hAnsi="宋体" w:eastAsia="宋体" w:cs="宋体"/>
                <w:b/>
                <w:bCs w:val="0"/>
                <w:color w:val="auto"/>
                <w:spacing w:val="0"/>
                <w:sz w:val="24"/>
                <w:szCs w:val="24"/>
                <w:highlight w:val="none"/>
                <w:lang w:val="en-US" w:eastAsia="zh-CN"/>
              </w:rPr>
              <w:t>声环境质量现状</w:t>
            </w:r>
          </w:p>
          <w:p w14:paraId="3C1E1F09">
            <w:pPr>
              <w:adjustRightInd w:val="0"/>
              <w:snapToGrid w:val="0"/>
              <w:spacing w:line="360" w:lineRule="auto"/>
              <w:ind w:firstLine="476" w:firstLineChars="200"/>
              <w:rPr>
                <w:color w:val="auto"/>
                <w:spacing w:val="-3"/>
                <w:sz w:val="24"/>
                <w:szCs w:val="24"/>
                <w:highlight w:val="none"/>
              </w:rPr>
            </w:pPr>
            <w:r>
              <w:rPr>
                <w:color w:val="auto"/>
                <w:spacing w:val="-1"/>
                <w:sz w:val="24"/>
                <w:szCs w:val="24"/>
                <w:highlight w:val="none"/>
              </w:rPr>
              <w:t>根据《</w:t>
            </w:r>
            <w:r>
              <w:rPr>
                <w:rFonts w:ascii="Times New Roman" w:hAnsi="Times New Roman" w:eastAsia="Times New Roman" w:cs="Times New Roman"/>
                <w:color w:val="auto"/>
                <w:spacing w:val="-1"/>
                <w:sz w:val="24"/>
                <w:szCs w:val="24"/>
                <w:highlight w:val="none"/>
              </w:rPr>
              <w:t>2024</w:t>
            </w:r>
            <w:r>
              <w:rPr>
                <w:color w:val="auto"/>
                <w:spacing w:val="-1"/>
                <w:sz w:val="24"/>
                <w:szCs w:val="24"/>
                <w:highlight w:val="none"/>
              </w:rPr>
              <w:t>年黑龙江省生态环境质量状况公报</w:t>
            </w:r>
            <w:r>
              <w:rPr>
                <w:color w:val="auto"/>
                <w:spacing w:val="-2"/>
                <w:sz w:val="24"/>
                <w:szCs w:val="24"/>
                <w:highlight w:val="none"/>
              </w:rPr>
              <w:t>》，鸡西市区域昼间声环境质</w:t>
            </w:r>
            <w:r>
              <w:rPr>
                <w:color w:val="auto"/>
                <w:sz w:val="24"/>
                <w:szCs w:val="24"/>
                <w:highlight w:val="none"/>
              </w:rPr>
              <w:t>量为二级，等效声级为</w:t>
            </w:r>
            <w:r>
              <w:rPr>
                <w:rFonts w:ascii="Times New Roman" w:hAnsi="Times New Roman" w:eastAsia="Times New Roman" w:cs="Times New Roman"/>
                <w:color w:val="auto"/>
                <w:sz w:val="24"/>
                <w:szCs w:val="24"/>
                <w:highlight w:val="none"/>
              </w:rPr>
              <w:t>53.6dB</w:t>
            </w:r>
            <w:r>
              <w:rPr>
                <w:color w:val="auto"/>
                <w:sz w:val="24"/>
                <w:szCs w:val="24"/>
                <w:highlight w:val="none"/>
              </w:rPr>
              <w:t>（</w:t>
            </w:r>
            <w:r>
              <w:rPr>
                <w:rFonts w:ascii="Times New Roman" w:hAnsi="Times New Roman" w:eastAsia="Times New Roman" w:cs="Times New Roman"/>
                <w:color w:val="auto"/>
                <w:sz w:val="24"/>
                <w:szCs w:val="24"/>
                <w:highlight w:val="none"/>
              </w:rPr>
              <w:t>A</w:t>
            </w:r>
            <w:r>
              <w:rPr>
                <w:color w:val="auto"/>
                <w:spacing w:val="13"/>
                <w:sz w:val="24"/>
                <w:szCs w:val="24"/>
                <w:highlight w:val="none"/>
              </w:rPr>
              <w:t>）；</w:t>
            </w:r>
            <w:r>
              <w:rPr>
                <w:color w:val="auto"/>
                <w:sz w:val="24"/>
                <w:szCs w:val="24"/>
                <w:highlight w:val="none"/>
              </w:rPr>
              <w:t>道路交通昼间声环境质量为一级，等效声</w:t>
            </w:r>
            <w:r>
              <w:rPr>
                <w:color w:val="auto"/>
                <w:spacing w:val="-3"/>
                <w:sz w:val="24"/>
                <w:szCs w:val="24"/>
                <w:highlight w:val="none"/>
              </w:rPr>
              <w:t>级为</w:t>
            </w:r>
            <w:r>
              <w:rPr>
                <w:rFonts w:ascii="Times New Roman" w:hAnsi="Times New Roman" w:eastAsia="Times New Roman" w:cs="Times New Roman"/>
                <w:color w:val="auto"/>
                <w:spacing w:val="-3"/>
                <w:sz w:val="24"/>
                <w:szCs w:val="24"/>
                <w:highlight w:val="none"/>
              </w:rPr>
              <w:t>65.8dB</w:t>
            </w:r>
            <w:r>
              <w:rPr>
                <w:color w:val="auto"/>
                <w:spacing w:val="-3"/>
                <w:sz w:val="24"/>
                <w:szCs w:val="24"/>
                <w:highlight w:val="none"/>
              </w:rPr>
              <w:t>（</w:t>
            </w:r>
            <w:r>
              <w:rPr>
                <w:rFonts w:ascii="Times New Roman" w:hAnsi="Times New Roman" w:eastAsia="Times New Roman" w:cs="Times New Roman"/>
                <w:color w:val="auto"/>
                <w:spacing w:val="-3"/>
                <w:sz w:val="24"/>
                <w:szCs w:val="24"/>
                <w:highlight w:val="none"/>
              </w:rPr>
              <w:t>A</w:t>
            </w:r>
            <w:r>
              <w:rPr>
                <w:color w:val="auto"/>
                <w:spacing w:val="15"/>
                <w:sz w:val="24"/>
                <w:szCs w:val="24"/>
                <w:highlight w:val="none"/>
              </w:rPr>
              <w:t>）；</w:t>
            </w:r>
            <w:r>
              <w:rPr>
                <w:color w:val="auto"/>
                <w:spacing w:val="-3"/>
                <w:sz w:val="24"/>
                <w:szCs w:val="24"/>
                <w:highlight w:val="none"/>
              </w:rPr>
              <w:t>功能区昼间达标率</w:t>
            </w:r>
            <w:r>
              <w:rPr>
                <w:rFonts w:ascii="Times New Roman" w:hAnsi="Times New Roman" w:eastAsia="Times New Roman" w:cs="Times New Roman"/>
                <w:color w:val="auto"/>
                <w:spacing w:val="-3"/>
                <w:sz w:val="24"/>
                <w:szCs w:val="24"/>
                <w:highlight w:val="none"/>
              </w:rPr>
              <w:t>100%</w:t>
            </w:r>
            <w:r>
              <w:rPr>
                <w:color w:val="auto"/>
                <w:spacing w:val="-3"/>
                <w:sz w:val="24"/>
                <w:szCs w:val="24"/>
                <w:highlight w:val="none"/>
              </w:rPr>
              <w:t>；功能区夜间达标率</w:t>
            </w:r>
            <w:r>
              <w:rPr>
                <w:rFonts w:ascii="Times New Roman" w:hAnsi="Times New Roman" w:eastAsia="Times New Roman" w:cs="Times New Roman"/>
                <w:color w:val="auto"/>
                <w:spacing w:val="-3"/>
                <w:sz w:val="24"/>
                <w:szCs w:val="24"/>
                <w:highlight w:val="none"/>
              </w:rPr>
              <w:t>100%</w:t>
            </w:r>
            <w:r>
              <w:rPr>
                <w:color w:val="auto"/>
                <w:spacing w:val="-3"/>
                <w:sz w:val="24"/>
                <w:szCs w:val="24"/>
                <w:highlight w:val="none"/>
              </w:rPr>
              <w:t>。</w:t>
            </w:r>
          </w:p>
          <w:p w14:paraId="56A9E41C">
            <w:pPr>
              <w:adjustRightInd w:val="0"/>
              <w:snapToGrid w:val="0"/>
              <w:spacing w:line="360" w:lineRule="auto"/>
              <w:ind w:left="0" w:leftChars="0" w:firstLine="0" w:firstLineChars="0"/>
              <w:rPr>
                <w:rFonts w:hint="default"/>
                <w:b/>
                <w:bCs w:val="0"/>
                <w:color w:val="auto"/>
                <w:kern w:val="0"/>
                <w:highlight w:val="none"/>
                <w:lang w:val="en-US" w:eastAsia="zh-CN"/>
              </w:rPr>
            </w:pPr>
            <w:r>
              <w:rPr>
                <w:rFonts w:hint="eastAsia"/>
                <w:b/>
                <w:bCs w:val="0"/>
                <w:color w:val="auto"/>
                <w:kern w:val="0"/>
                <w:highlight w:val="none"/>
                <w:lang w:val="en-US" w:eastAsia="zh-CN"/>
              </w:rPr>
              <w:t>4.</w:t>
            </w:r>
            <w:r>
              <w:rPr>
                <w:rFonts w:hint="default"/>
                <w:b/>
                <w:bCs w:val="0"/>
                <w:color w:val="auto"/>
                <w:kern w:val="0"/>
                <w:highlight w:val="none"/>
                <w:lang w:val="en-US" w:eastAsia="zh-CN"/>
              </w:rPr>
              <w:t>土壤、地下水环境质量现状</w:t>
            </w:r>
          </w:p>
          <w:p w14:paraId="02D69FF4">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kern w:val="0"/>
                <w:highlight w:val="none"/>
                <w:lang w:val="en-US" w:eastAsia="zh-CN"/>
              </w:rPr>
            </w:pPr>
            <w:r>
              <w:rPr>
                <w:rFonts w:hint="eastAsia"/>
                <w:color w:val="auto"/>
                <w:kern w:val="0"/>
                <w:highlight w:val="none"/>
                <w:lang w:val="en-US" w:eastAsia="zh-CN"/>
              </w:rPr>
              <w:t>根据《建设项目环境影响报告表编制技术指南（污染影响类）》（试行），地下水、土壤环境原则上不开展环境质量现状调查。建设项目存在土壤、地下水污染途径的，应结合污染源、保护目标分布情况开展现状调查以留作背景值。</w:t>
            </w:r>
          </w:p>
          <w:p w14:paraId="7EB35B9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kern w:val="0"/>
                <w:highlight w:val="none"/>
                <w:lang w:val="en-US" w:eastAsia="zh-CN"/>
              </w:rPr>
            </w:pPr>
            <w:r>
              <w:rPr>
                <w:rFonts w:hint="eastAsia"/>
                <w:color w:val="auto"/>
                <w:kern w:val="0"/>
                <w:highlight w:val="none"/>
                <w:lang w:val="en-US" w:eastAsia="zh-CN"/>
              </w:rPr>
              <w:t>本项目为热力生产和供应项目，运行过程不存在地下水、土壤环境污染途径，不存在污染地下水的特征因子，不存在污染地下水的途径。不会对地下水、土壤环境造成影响。因此，本次评价不进行地下水、土壤环境质量现状监测。</w:t>
            </w:r>
          </w:p>
          <w:p w14:paraId="2E2F6753">
            <w:pPr>
              <w:pStyle w:val="2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rPr>
                <w:rFonts w:hint="eastAsia" w:ascii="宋体" w:hAnsi="宋体" w:eastAsia="宋体" w:cs="宋体"/>
                <w:b/>
                <w:bCs w:val="0"/>
                <w:color w:val="auto"/>
                <w:kern w:val="0"/>
                <w:sz w:val="24"/>
                <w:szCs w:val="24"/>
                <w:highlight w:val="none"/>
                <w:lang w:val="en-US" w:eastAsia="zh-CN" w:bidi="ar-SA"/>
              </w:rPr>
            </w:pPr>
            <w:r>
              <w:rPr>
                <w:rFonts w:hint="eastAsia" w:ascii="宋体" w:hAnsi="宋体" w:eastAsia="宋体" w:cs="宋体"/>
                <w:b/>
                <w:bCs w:val="0"/>
                <w:color w:val="auto"/>
                <w:kern w:val="0"/>
                <w:sz w:val="24"/>
                <w:szCs w:val="24"/>
                <w:highlight w:val="none"/>
                <w:lang w:val="en-US" w:eastAsia="zh-CN" w:bidi="ar-SA"/>
              </w:rPr>
              <w:t>5</w:t>
            </w:r>
            <w:r>
              <w:rPr>
                <w:rFonts w:hint="eastAsia" w:cs="宋体"/>
                <w:b/>
                <w:bCs w:val="0"/>
                <w:color w:val="auto"/>
                <w:kern w:val="0"/>
                <w:sz w:val="24"/>
                <w:szCs w:val="24"/>
                <w:highlight w:val="none"/>
                <w:lang w:val="en-US" w:eastAsia="zh-CN" w:bidi="ar-SA"/>
              </w:rPr>
              <w:t>.</w:t>
            </w:r>
            <w:r>
              <w:rPr>
                <w:rFonts w:hint="eastAsia" w:ascii="宋体" w:hAnsi="宋体" w:eastAsia="宋体" w:cs="宋体"/>
                <w:b/>
                <w:bCs w:val="0"/>
                <w:color w:val="auto"/>
                <w:kern w:val="0"/>
                <w:sz w:val="24"/>
                <w:szCs w:val="24"/>
                <w:highlight w:val="none"/>
                <w:lang w:val="en-US" w:eastAsia="zh-CN" w:bidi="ar-SA"/>
              </w:rPr>
              <w:t>生态环境质量现状</w:t>
            </w:r>
          </w:p>
          <w:p w14:paraId="46287AB4">
            <w:pPr>
              <w:pStyle w:val="20"/>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宋体" w:hAnsi="宋体" w:eastAsia="宋体" w:cs="宋体"/>
                <w:b/>
                <w:bCs w:val="0"/>
                <w:color w:val="auto"/>
                <w:kern w:val="0"/>
                <w:sz w:val="24"/>
                <w:szCs w:val="24"/>
                <w:highlight w:val="none"/>
                <w:lang w:val="en-US" w:eastAsia="zh-CN" w:bidi="ar-SA"/>
              </w:rPr>
            </w:pPr>
            <w:r>
              <w:rPr>
                <w:rFonts w:hint="eastAsia" w:ascii="宋体" w:hAnsi="宋体" w:eastAsia="宋体" w:cs="宋体"/>
                <w:bCs/>
                <w:color w:val="auto"/>
                <w:kern w:val="0"/>
                <w:sz w:val="24"/>
                <w:szCs w:val="24"/>
                <w:highlight w:val="none"/>
                <w:lang w:val="en-US" w:eastAsia="zh-CN" w:bidi="ar-SA"/>
              </w:rPr>
              <w:t>本项目利用现有场地进行锅炉建</w:t>
            </w:r>
            <w:r>
              <w:rPr>
                <w:rFonts w:hint="eastAsia" w:cs="宋体"/>
                <w:bCs/>
                <w:color w:val="auto"/>
                <w:kern w:val="0"/>
                <w:sz w:val="24"/>
                <w:szCs w:val="24"/>
                <w:highlight w:val="none"/>
                <w:lang w:val="en-US" w:eastAsia="zh-CN" w:bidi="ar-SA"/>
              </w:rPr>
              <w:t>设</w:t>
            </w:r>
            <w:r>
              <w:rPr>
                <w:rFonts w:hint="eastAsia" w:ascii="宋体" w:hAnsi="宋体" w:eastAsia="宋体" w:cs="宋体"/>
                <w:bCs/>
                <w:color w:val="auto"/>
                <w:kern w:val="0"/>
                <w:sz w:val="24"/>
                <w:szCs w:val="24"/>
                <w:highlight w:val="none"/>
                <w:lang w:val="en-US" w:eastAsia="zh-CN" w:bidi="ar-SA"/>
              </w:rPr>
              <w:t>，不新增用地且用地范围内不含有生态环境保护目标，因此不进行生态环境质量现状调查。</w:t>
            </w:r>
          </w:p>
        </w:tc>
      </w:tr>
      <w:tr w14:paraId="7492A8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63" w:hRule="atLeast"/>
          <w:jc w:val="center"/>
        </w:trPr>
        <w:tc>
          <w:tcPr>
            <w:tcW w:w="542" w:type="dxa"/>
            <w:noWrap w:val="0"/>
            <w:vAlign w:val="center"/>
          </w:tcPr>
          <w:p w14:paraId="76340A17">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环境</w:t>
            </w:r>
          </w:p>
          <w:p w14:paraId="4B1A1B8E">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保护</w:t>
            </w:r>
          </w:p>
          <w:p w14:paraId="2B33F98D">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目标</w:t>
            </w:r>
          </w:p>
        </w:tc>
        <w:tc>
          <w:tcPr>
            <w:tcW w:w="7987" w:type="dxa"/>
            <w:noWrap w:val="0"/>
            <w:vAlign w:val="center"/>
          </w:tcPr>
          <w:p w14:paraId="0D8B6216">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1.</w:t>
            </w:r>
            <w:r>
              <w:rPr>
                <w:rFonts w:hint="eastAsia" w:ascii="宋体" w:hAnsi="宋体" w:eastAsia="宋体" w:cs="宋体"/>
                <w:b/>
                <w:bCs w:val="0"/>
                <w:color w:val="auto"/>
                <w:spacing w:val="0"/>
                <w:sz w:val="24"/>
                <w:szCs w:val="24"/>
                <w:highlight w:val="none"/>
                <w:lang w:val="en-US" w:eastAsia="zh-CN"/>
              </w:rPr>
              <w:t>大气环境</w:t>
            </w:r>
          </w:p>
          <w:p w14:paraId="4983C5D4">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bCs w:val="0"/>
                <w:color w:val="auto"/>
                <w:spacing w:val="0"/>
                <w:sz w:val="24"/>
                <w:szCs w:val="24"/>
                <w:highlight w:val="none"/>
                <w:lang w:val="en-US" w:eastAsia="zh-CN"/>
              </w:rPr>
            </w:pPr>
            <w:r>
              <w:rPr>
                <w:rFonts w:ascii="Times New Roman" w:hAnsi="Times New Roman"/>
                <w:color w:val="auto"/>
                <w:sz w:val="24"/>
                <w:highlight w:val="none"/>
              </w:rPr>
              <w:t>厂界外500米范围内不存在大气环境保护目标</w:t>
            </w:r>
            <w:r>
              <w:rPr>
                <w:rFonts w:hint="eastAsia" w:ascii="Times New Roman" w:hAnsi="Times New Roman"/>
                <w:color w:val="auto"/>
                <w:sz w:val="24"/>
                <w:highlight w:val="none"/>
                <w:lang w:eastAsia="zh-CN"/>
              </w:rPr>
              <w:t>。</w:t>
            </w:r>
          </w:p>
          <w:p w14:paraId="00A3FBF3">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2.</w:t>
            </w:r>
            <w:r>
              <w:rPr>
                <w:rFonts w:hint="eastAsia" w:ascii="宋体" w:hAnsi="宋体" w:eastAsia="宋体" w:cs="宋体"/>
                <w:b/>
                <w:bCs w:val="0"/>
                <w:color w:val="auto"/>
                <w:spacing w:val="0"/>
                <w:sz w:val="24"/>
                <w:szCs w:val="24"/>
                <w:highlight w:val="none"/>
                <w:lang w:val="en-US" w:eastAsia="zh-CN"/>
              </w:rPr>
              <w:t>声环境</w:t>
            </w:r>
          </w:p>
          <w:p w14:paraId="5B3AABDA">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bCs w:val="0"/>
                <w:color w:val="auto"/>
                <w:spacing w:val="0"/>
                <w:sz w:val="24"/>
                <w:szCs w:val="24"/>
                <w:highlight w:val="none"/>
                <w:lang w:val="en-US" w:eastAsia="zh-CN"/>
              </w:rPr>
            </w:pPr>
            <w:r>
              <w:rPr>
                <w:rFonts w:hint="eastAsia" w:ascii="Times New Roman" w:hAnsi="Times New Roman" w:eastAsia="宋体" w:cs="宋体"/>
                <w:color w:val="auto"/>
                <w:sz w:val="24"/>
                <w:szCs w:val="24"/>
                <w:highlight w:val="none"/>
              </w:rPr>
              <w:t>厂界外50m范围内无声环境保护目标</w:t>
            </w:r>
            <w:r>
              <w:rPr>
                <w:rFonts w:hint="eastAsia" w:ascii="Times New Roman" w:hAnsi="Times New Roman" w:eastAsia="宋体" w:cs="宋体"/>
                <w:color w:val="auto"/>
                <w:sz w:val="24"/>
                <w:szCs w:val="24"/>
                <w:highlight w:val="none"/>
                <w:lang w:val="en-US" w:eastAsia="zh-CN"/>
              </w:rPr>
              <w:t>。</w:t>
            </w:r>
          </w:p>
          <w:p w14:paraId="53351CA8">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3.</w:t>
            </w:r>
            <w:r>
              <w:rPr>
                <w:rFonts w:hint="eastAsia" w:ascii="宋体" w:hAnsi="宋体" w:eastAsia="宋体" w:cs="宋体"/>
                <w:b/>
                <w:bCs w:val="0"/>
                <w:color w:val="auto"/>
                <w:spacing w:val="0"/>
                <w:sz w:val="24"/>
                <w:szCs w:val="24"/>
                <w:highlight w:val="none"/>
                <w:lang w:val="en-US" w:eastAsia="zh-CN"/>
              </w:rPr>
              <w:t>地下水环境</w:t>
            </w:r>
          </w:p>
          <w:p w14:paraId="0569D12B">
            <w:pPr>
              <w:numPr>
                <w:ilvl w:val="0"/>
                <w:numId w:val="0"/>
              </w:numPr>
              <w:bidi w:val="0"/>
              <w:ind w:firstLine="480" w:firstLineChars="200"/>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厂界外500米范围内无</w:t>
            </w:r>
            <w:r>
              <w:rPr>
                <w:rFonts w:hint="eastAsia" w:ascii="宋体" w:hAnsi="宋体" w:eastAsia="宋体" w:cs="宋体"/>
                <w:color w:val="auto"/>
                <w:spacing w:val="0"/>
                <w:sz w:val="24"/>
                <w:szCs w:val="24"/>
                <w:highlight w:val="none"/>
              </w:rPr>
              <w:t>地下水集中式饮用水水源和热水、矿泉水、温泉等特殊地下水资源</w:t>
            </w:r>
            <w:r>
              <w:rPr>
                <w:rFonts w:hint="eastAsia" w:ascii="宋体" w:hAnsi="宋体" w:eastAsia="宋体" w:cs="宋体"/>
                <w:color w:val="auto"/>
                <w:spacing w:val="0"/>
                <w:sz w:val="24"/>
                <w:szCs w:val="24"/>
                <w:highlight w:val="none"/>
                <w:lang w:eastAsia="zh-CN"/>
              </w:rPr>
              <w:t>。</w:t>
            </w:r>
          </w:p>
        </w:tc>
      </w:tr>
      <w:tr w14:paraId="6D9FA8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542" w:type="dxa"/>
            <w:noWrap w:val="0"/>
            <w:tcMar>
              <w:left w:w="28" w:type="dxa"/>
              <w:right w:w="28" w:type="dxa"/>
            </w:tcMar>
            <w:vAlign w:val="center"/>
          </w:tcPr>
          <w:p w14:paraId="29669433">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污染</w:t>
            </w:r>
          </w:p>
          <w:p w14:paraId="54BEA09D">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物排</w:t>
            </w:r>
          </w:p>
          <w:p w14:paraId="0649019C">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放控</w:t>
            </w:r>
          </w:p>
          <w:p w14:paraId="67974AD8">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制标</w:t>
            </w:r>
          </w:p>
          <w:p w14:paraId="5BEB832D">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准</w:t>
            </w:r>
          </w:p>
        </w:tc>
        <w:tc>
          <w:tcPr>
            <w:tcW w:w="7987" w:type="dxa"/>
            <w:noWrap w:val="0"/>
            <w:vAlign w:val="center"/>
          </w:tcPr>
          <w:p w14:paraId="41118F11">
            <w:pPr>
              <w:spacing w:line="360" w:lineRule="auto"/>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1.</w:t>
            </w:r>
            <w:r>
              <w:rPr>
                <w:rFonts w:hint="eastAsia" w:ascii="宋体" w:hAnsi="宋体" w:eastAsia="宋体" w:cs="宋体"/>
                <w:b/>
                <w:bCs w:val="0"/>
                <w:color w:val="auto"/>
                <w:spacing w:val="0"/>
                <w:sz w:val="24"/>
                <w:szCs w:val="24"/>
                <w:highlight w:val="none"/>
                <w:lang w:val="en-US" w:eastAsia="zh-CN"/>
              </w:rPr>
              <w:t>废气</w:t>
            </w:r>
          </w:p>
          <w:p w14:paraId="5A7295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pacing w:val="0"/>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本项目施工期产生的扬尘执行《大气污染物综合排放标准》（GB16297-1996）无组织排放标准，见下表3-</w:t>
            </w:r>
            <w:r>
              <w:rPr>
                <w:rFonts w:hint="eastAsia" w:ascii="Times New Roman" w:hAnsi="Times New Roman" w:eastAsia="宋体" w:cs="Times New Roman"/>
                <w:color w:val="000000" w:themeColor="text1"/>
                <w:spacing w:val="0"/>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pacing w:val="0"/>
                <w:sz w:val="24"/>
                <w:szCs w:val="24"/>
                <w:highlight w:val="none"/>
                <w14:textFill>
                  <w14:solidFill>
                    <w14:schemeClr w14:val="tx1"/>
                  </w14:solidFill>
                </w14:textFill>
              </w:rPr>
              <w:t>。</w:t>
            </w:r>
          </w:p>
          <w:p w14:paraId="759153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pacing w:val="0"/>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pacing w:val="0"/>
                <w:sz w:val="21"/>
                <w:szCs w:val="21"/>
                <w:highlight w:val="none"/>
                <w14:textFill>
                  <w14:solidFill>
                    <w14:schemeClr w14:val="tx1"/>
                  </w14:solidFill>
                </w14:textFill>
              </w:rPr>
              <w:t>表3-</w:t>
            </w:r>
            <w:r>
              <w:rPr>
                <w:rFonts w:hint="eastAsia" w:ascii="Times New Roman" w:hAnsi="Times New Roman" w:eastAsia="宋体" w:cs="Times New Roman"/>
                <w:b/>
                <w:bCs/>
                <w:color w:val="000000" w:themeColor="text1"/>
                <w:spacing w:val="0"/>
                <w:sz w:val="21"/>
                <w:szCs w:val="21"/>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spacing w:val="0"/>
                <w:sz w:val="21"/>
                <w:szCs w:val="21"/>
                <w:highlight w:val="none"/>
                <w14:textFill>
                  <w14:solidFill>
                    <w14:schemeClr w14:val="tx1"/>
                  </w14:solidFill>
                </w14:textFill>
              </w:rPr>
              <w:t xml:space="preserve"> 大气污染物综合排放标准  单位：mg/</w:t>
            </w:r>
            <w:r>
              <w:rPr>
                <w:rFonts w:hint="default" w:ascii="Times New Roman" w:hAnsi="Times New Roman" w:eastAsia="宋体" w:cs="Times New Roman"/>
                <w:b/>
                <w:bCs/>
                <w:color w:val="000000" w:themeColor="text1"/>
                <w:spacing w:val="0"/>
                <w:sz w:val="21"/>
                <w:szCs w:val="21"/>
                <w:highlight w:val="none"/>
                <w:lang w:eastAsia="zh-CN"/>
                <w14:textFill>
                  <w14:solidFill>
                    <w14:schemeClr w14:val="tx1"/>
                  </w14:solidFill>
                </w14:textFill>
              </w:rPr>
              <w:t>m</w:t>
            </w:r>
            <w:r>
              <w:rPr>
                <w:rFonts w:hint="default" w:ascii="Times New Roman" w:hAnsi="Times New Roman" w:eastAsia="宋体" w:cs="Times New Roman"/>
                <w:b/>
                <w:bCs/>
                <w:caps w:val="0"/>
                <w:smallCaps w:val="0"/>
                <w:strike w:val="0"/>
                <w:dstrike w:val="0"/>
                <w:vanish w:val="0"/>
                <w:color w:val="000000" w:themeColor="text1"/>
                <w:spacing w:val="0"/>
                <w:sz w:val="21"/>
                <w:szCs w:val="21"/>
                <w:highlight w:val="none"/>
                <w:vertAlign w:val="superscript"/>
                <w:lang w:eastAsia="zh-CN"/>
                <w14:textFill>
                  <w14:solidFill>
                    <w14:schemeClr w14:val="tx1"/>
                  </w14:solidFill>
                </w14:textFill>
              </w:rPr>
              <w:t>3</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5"/>
              <w:gridCol w:w="1198"/>
              <w:gridCol w:w="3707"/>
              <w:gridCol w:w="1948"/>
            </w:tblGrid>
            <w:tr w14:paraId="2CA2C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583" w:type="pct"/>
                  <w:vMerge w:val="restart"/>
                  <w:noWrap w:val="0"/>
                  <w:vAlign w:val="center"/>
                </w:tcPr>
                <w:p w14:paraId="01F144A1">
                  <w:pPr>
                    <w:pStyle w:val="33"/>
                    <w:widowControl w:val="0"/>
                    <w:spacing w:before="0" w:beforeAutospacing="0" w:after="0" w:afterAutospacing="0" w:line="240" w:lineRule="auto"/>
                    <w:ind w:firstLine="0" w:firstLineChars="0"/>
                    <w:jc w:val="center"/>
                    <w:rPr>
                      <w:rFonts w:hint="default" w:ascii="Times New Roman" w:hAnsi="Times New Roman" w:eastAsia="宋体" w:cs="Times New Roman"/>
                      <w:b/>
                      <w:bCs/>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pacing w:val="0"/>
                      <w:sz w:val="21"/>
                      <w:szCs w:val="21"/>
                      <w:highlight w:val="none"/>
                      <w14:textFill>
                        <w14:solidFill>
                          <w14:schemeClr w14:val="tx1"/>
                        </w14:solidFill>
                      </w14:textFill>
                    </w:rPr>
                    <w:t>序号</w:t>
                  </w:r>
                </w:p>
              </w:tc>
              <w:tc>
                <w:tcPr>
                  <w:tcW w:w="772" w:type="pct"/>
                  <w:vMerge w:val="restart"/>
                  <w:noWrap w:val="0"/>
                  <w:vAlign w:val="center"/>
                </w:tcPr>
                <w:p w14:paraId="64986F7A">
                  <w:pPr>
                    <w:pStyle w:val="33"/>
                    <w:widowControl w:val="0"/>
                    <w:spacing w:before="0" w:beforeAutospacing="0" w:after="0" w:afterAutospacing="0" w:line="240" w:lineRule="auto"/>
                    <w:ind w:firstLine="0" w:firstLineChars="0"/>
                    <w:jc w:val="center"/>
                    <w:rPr>
                      <w:rFonts w:hint="default" w:ascii="Times New Roman" w:hAnsi="Times New Roman" w:eastAsia="宋体" w:cs="Times New Roman"/>
                      <w:b/>
                      <w:bCs/>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pacing w:val="0"/>
                      <w:sz w:val="21"/>
                      <w:szCs w:val="21"/>
                      <w:highlight w:val="none"/>
                      <w14:textFill>
                        <w14:solidFill>
                          <w14:schemeClr w14:val="tx1"/>
                        </w14:solidFill>
                      </w14:textFill>
                    </w:rPr>
                    <w:t>污染物</w:t>
                  </w:r>
                </w:p>
              </w:tc>
              <w:tc>
                <w:tcPr>
                  <w:tcW w:w="3643" w:type="pct"/>
                  <w:gridSpan w:val="2"/>
                  <w:noWrap w:val="0"/>
                  <w:vAlign w:val="center"/>
                </w:tcPr>
                <w:p w14:paraId="05ABB3D6">
                  <w:pPr>
                    <w:pStyle w:val="33"/>
                    <w:widowControl w:val="0"/>
                    <w:spacing w:before="0" w:beforeAutospacing="0" w:after="0" w:afterAutospacing="0" w:line="240" w:lineRule="auto"/>
                    <w:ind w:firstLine="0" w:firstLineChars="0"/>
                    <w:jc w:val="center"/>
                    <w:rPr>
                      <w:rFonts w:hint="default" w:ascii="Times New Roman" w:hAnsi="Times New Roman" w:eastAsia="宋体" w:cs="Times New Roman"/>
                      <w:b/>
                      <w:bCs/>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pacing w:val="0"/>
                      <w:sz w:val="21"/>
                      <w:szCs w:val="21"/>
                      <w:highlight w:val="none"/>
                      <w14:textFill>
                        <w14:solidFill>
                          <w14:schemeClr w14:val="tx1"/>
                        </w14:solidFill>
                      </w14:textFill>
                    </w:rPr>
                    <w:t>无组织排放监控浓度</w:t>
                  </w:r>
                </w:p>
              </w:tc>
            </w:tr>
            <w:tr w14:paraId="79EC3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83" w:type="pct"/>
                  <w:vMerge w:val="continue"/>
                  <w:noWrap w:val="0"/>
                  <w:vAlign w:val="center"/>
                </w:tcPr>
                <w:p w14:paraId="72E2B238">
                  <w:pPr>
                    <w:pStyle w:val="33"/>
                    <w:widowControl w:val="0"/>
                    <w:spacing w:before="0" w:beforeAutospacing="0" w:after="0" w:afterAutospacing="0" w:line="240" w:lineRule="auto"/>
                    <w:ind w:firstLine="420"/>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p>
              </w:tc>
              <w:tc>
                <w:tcPr>
                  <w:tcW w:w="772" w:type="pct"/>
                  <w:vMerge w:val="continue"/>
                  <w:noWrap w:val="0"/>
                  <w:vAlign w:val="center"/>
                </w:tcPr>
                <w:p w14:paraId="5A53B20C">
                  <w:pPr>
                    <w:pStyle w:val="33"/>
                    <w:widowControl w:val="0"/>
                    <w:spacing w:before="0" w:beforeAutospacing="0" w:after="0" w:afterAutospacing="0" w:line="240" w:lineRule="auto"/>
                    <w:ind w:firstLine="420"/>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p>
              </w:tc>
              <w:tc>
                <w:tcPr>
                  <w:tcW w:w="2388" w:type="pct"/>
                  <w:noWrap w:val="0"/>
                  <w:vAlign w:val="center"/>
                </w:tcPr>
                <w:p w14:paraId="78FED72C">
                  <w:pPr>
                    <w:pStyle w:val="33"/>
                    <w:widowControl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监控点</w:t>
                  </w:r>
                </w:p>
              </w:tc>
              <w:tc>
                <w:tcPr>
                  <w:tcW w:w="1255" w:type="pct"/>
                  <w:noWrap w:val="0"/>
                  <w:vAlign w:val="center"/>
                </w:tcPr>
                <w:p w14:paraId="5EA1CC22">
                  <w:pPr>
                    <w:pStyle w:val="33"/>
                    <w:widowControl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浓度</w:t>
                  </w:r>
                </w:p>
              </w:tc>
            </w:tr>
            <w:tr w14:paraId="35E21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83" w:type="pct"/>
                  <w:noWrap w:val="0"/>
                  <w:vAlign w:val="center"/>
                </w:tcPr>
                <w:p w14:paraId="5349443F">
                  <w:pPr>
                    <w:pStyle w:val="33"/>
                    <w:widowControl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1</w:t>
                  </w:r>
                </w:p>
              </w:tc>
              <w:tc>
                <w:tcPr>
                  <w:tcW w:w="772" w:type="pct"/>
                  <w:noWrap w:val="0"/>
                  <w:vAlign w:val="center"/>
                </w:tcPr>
                <w:p w14:paraId="60519F04">
                  <w:pPr>
                    <w:pStyle w:val="33"/>
                    <w:widowControl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颗粒物</w:t>
                  </w:r>
                </w:p>
              </w:tc>
              <w:tc>
                <w:tcPr>
                  <w:tcW w:w="2388" w:type="pct"/>
                  <w:noWrap w:val="0"/>
                  <w:vAlign w:val="center"/>
                </w:tcPr>
                <w:p w14:paraId="3EDDAAD1">
                  <w:pPr>
                    <w:pStyle w:val="33"/>
                    <w:widowControl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周界外浓度最高点</w:t>
                  </w:r>
                </w:p>
              </w:tc>
              <w:tc>
                <w:tcPr>
                  <w:tcW w:w="1255" w:type="pct"/>
                  <w:noWrap w:val="0"/>
                  <w:vAlign w:val="center"/>
                </w:tcPr>
                <w:p w14:paraId="04BE054D">
                  <w:pPr>
                    <w:pStyle w:val="33"/>
                    <w:widowControl w:val="0"/>
                    <w:spacing w:before="0" w:beforeAutospacing="0" w:after="0" w:afterAutospacing="0" w:line="240" w:lineRule="auto"/>
                    <w:ind w:firstLine="0" w:firstLineChars="0"/>
                    <w:jc w:val="cente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0"/>
                      <w:sz w:val="21"/>
                      <w:szCs w:val="21"/>
                      <w:highlight w:val="none"/>
                      <w14:textFill>
                        <w14:solidFill>
                          <w14:schemeClr w14:val="tx1"/>
                        </w14:solidFill>
                      </w14:textFill>
                    </w:rPr>
                    <w:t>1.0</w:t>
                  </w:r>
                </w:p>
              </w:tc>
            </w:tr>
          </w:tbl>
          <w:p w14:paraId="23B69D83">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eastAsia" w:ascii="宋体" w:hAnsi="宋体" w:eastAsia="宋体" w:cs="宋体"/>
                <w:color w:val="auto"/>
                <w:spacing w:val="0"/>
                <w:kern w:val="0"/>
                <w:sz w:val="24"/>
                <w:highlight w:val="none"/>
              </w:rPr>
            </w:pPr>
            <w:r>
              <w:rPr>
                <w:rFonts w:hint="eastAsia" w:ascii="宋体" w:hAnsi="宋体" w:eastAsia="宋体" w:cs="宋体"/>
                <w:color w:val="auto"/>
                <w:spacing w:val="0"/>
                <w:kern w:val="0"/>
                <w:sz w:val="24"/>
                <w:highlight w:val="none"/>
                <w:lang w:val="en-US" w:eastAsia="zh-CN"/>
              </w:rPr>
              <w:t>运营期锅炉烟气执行《锅炉大气污染物排放标准》（GB13271-2014）表2新建锅炉大气污染物排放浓度限值；运营期</w:t>
            </w:r>
            <w:r>
              <w:rPr>
                <w:rFonts w:hint="eastAsia" w:cs="宋体"/>
                <w:color w:val="auto"/>
                <w:spacing w:val="0"/>
                <w:kern w:val="0"/>
                <w:sz w:val="24"/>
                <w:highlight w:val="none"/>
                <w:lang w:val="en-US" w:eastAsia="zh-CN"/>
              </w:rPr>
              <w:t>生物质燃料、锅炉灰渣</w:t>
            </w:r>
            <w:r>
              <w:rPr>
                <w:rFonts w:hint="eastAsia" w:ascii="宋体" w:hAnsi="宋体" w:eastAsia="宋体" w:cs="宋体"/>
                <w:color w:val="auto"/>
                <w:spacing w:val="0"/>
                <w:kern w:val="0"/>
                <w:sz w:val="24"/>
                <w:highlight w:val="none"/>
                <w:lang w:val="en-US" w:eastAsia="zh-CN"/>
              </w:rPr>
              <w:t>无组织颗粒物执行《大气污染物综合排放标准》（GB16297-1996）表2中无组织排放监控浓度限值要求</w:t>
            </w:r>
            <w:r>
              <w:rPr>
                <w:rFonts w:hint="eastAsia" w:cs="宋体"/>
                <w:color w:val="auto"/>
                <w:spacing w:val="0"/>
                <w:kern w:val="0"/>
                <w:sz w:val="24"/>
                <w:highlight w:val="none"/>
                <w:lang w:val="en-US" w:eastAsia="zh-CN"/>
              </w:rPr>
              <w:t>。</w:t>
            </w:r>
          </w:p>
          <w:p w14:paraId="4CD28E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eastAsia="zh-CN"/>
              </w:rPr>
            </w:pPr>
            <w:r>
              <w:rPr>
                <w:rFonts w:hint="eastAsia" w:ascii="宋体" w:hAnsi="宋体" w:eastAsia="宋体" w:cs="宋体"/>
                <w:b/>
                <w:color w:val="auto"/>
                <w:spacing w:val="0"/>
                <w:sz w:val="21"/>
                <w:szCs w:val="21"/>
                <w:highlight w:val="none"/>
              </w:rPr>
              <w:t>表3-</w:t>
            </w:r>
            <w:r>
              <w:rPr>
                <w:rFonts w:hint="eastAsia" w:cs="宋体"/>
                <w:b/>
                <w:color w:val="auto"/>
                <w:spacing w:val="0"/>
                <w:sz w:val="21"/>
                <w:szCs w:val="21"/>
                <w:highlight w:val="none"/>
                <w:lang w:val="en-US" w:eastAsia="zh-CN"/>
              </w:rPr>
              <w:t>5</w:t>
            </w:r>
            <w:r>
              <w:rPr>
                <w:rFonts w:hint="eastAsia" w:ascii="宋体" w:hAnsi="宋体" w:eastAsia="宋体" w:cs="宋体"/>
                <w:b/>
                <w:color w:val="auto"/>
                <w:spacing w:val="0"/>
                <w:sz w:val="21"/>
                <w:szCs w:val="21"/>
                <w:highlight w:val="none"/>
                <w:lang w:val="en-US" w:eastAsia="zh-CN"/>
              </w:rPr>
              <w:t xml:space="preserve"> 《锅炉大气污染物排放标准》（GB13271-2014）</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42"/>
              <w:gridCol w:w="1750"/>
              <w:gridCol w:w="3279"/>
            </w:tblGrid>
            <w:tr w14:paraId="68EF8A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vMerge w:val="restart"/>
                  <w:noWrap w:val="0"/>
                  <w:vAlign w:val="center"/>
                </w:tcPr>
                <w:p w14:paraId="0F1ECAC2">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r>
                    <w:rPr>
                      <w:rFonts w:hint="eastAsia" w:ascii="宋体" w:hAnsi="宋体" w:eastAsia="宋体" w:cs="宋体"/>
                      <w:bCs w:val="0"/>
                      <w:color w:val="auto"/>
                      <w:spacing w:val="0"/>
                      <w:kern w:val="2"/>
                      <w:sz w:val="21"/>
                      <w:szCs w:val="21"/>
                      <w:highlight w:val="none"/>
                      <w:lang w:val="en-US" w:eastAsia="zh-CN" w:bidi="ar-SA"/>
                    </w:rPr>
                    <w:t>污染物项目</w:t>
                  </w:r>
                </w:p>
              </w:tc>
              <w:tc>
                <w:tcPr>
                  <w:tcW w:w="1126" w:type="pct"/>
                  <w:noWrap w:val="0"/>
                  <w:vAlign w:val="center"/>
                </w:tcPr>
                <w:p w14:paraId="36BE3A70">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r>
                    <w:rPr>
                      <w:rFonts w:hint="eastAsia" w:ascii="宋体" w:hAnsi="宋体" w:eastAsia="宋体" w:cs="宋体"/>
                      <w:bCs w:val="0"/>
                      <w:color w:val="auto"/>
                      <w:spacing w:val="0"/>
                      <w:kern w:val="2"/>
                      <w:sz w:val="21"/>
                      <w:szCs w:val="21"/>
                      <w:highlight w:val="none"/>
                      <w:lang w:val="en-US" w:eastAsia="zh-CN" w:bidi="ar-SA"/>
                    </w:rPr>
                    <w:t>限值mg/m</w:t>
                  </w:r>
                  <w:r>
                    <w:rPr>
                      <w:rFonts w:hint="eastAsia" w:ascii="宋体" w:hAnsi="宋体" w:eastAsia="宋体" w:cs="宋体"/>
                      <w:bCs w:val="0"/>
                      <w:color w:val="auto"/>
                      <w:spacing w:val="0"/>
                      <w:kern w:val="2"/>
                      <w:sz w:val="21"/>
                      <w:szCs w:val="21"/>
                      <w:highlight w:val="none"/>
                      <w:vertAlign w:val="superscript"/>
                      <w:lang w:val="en-US" w:eastAsia="zh-CN" w:bidi="ar-SA"/>
                    </w:rPr>
                    <w:t>3</w:t>
                  </w:r>
                </w:p>
              </w:tc>
              <w:tc>
                <w:tcPr>
                  <w:tcW w:w="2109" w:type="pct"/>
                  <w:vMerge w:val="restart"/>
                  <w:noWrap w:val="0"/>
                  <w:vAlign w:val="center"/>
                </w:tcPr>
                <w:p w14:paraId="2533285F">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r>
                    <w:rPr>
                      <w:rFonts w:hint="eastAsia" w:ascii="宋体" w:hAnsi="宋体" w:eastAsia="宋体" w:cs="宋体"/>
                      <w:bCs w:val="0"/>
                      <w:color w:val="auto"/>
                      <w:spacing w:val="0"/>
                      <w:kern w:val="2"/>
                      <w:sz w:val="21"/>
                      <w:szCs w:val="21"/>
                      <w:highlight w:val="none"/>
                      <w:lang w:val="en-US" w:eastAsia="zh-CN" w:bidi="ar-SA"/>
                    </w:rPr>
                    <w:t>污染物排放监控位置</w:t>
                  </w:r>
                </w:p>
              </w:tc>
            </w:tr>
            <w:tr w14:paraId="56FB8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vMerge w:val="continue"/>
                  <w:noWrap w:val="0"/>
                  <w:vAlign w:val="center"/>
                </w:tcPr>
                <w:p w14:paraId="10FD4517">
                  <w:pPr>
                    <w:pStyle w:val="2"/>
                    <w:spacing w:after="0" w:line="240" w:lineRule="auto"/>
                    <w:ind w:left="0" w:leftChars="0" w:firstLine="360"/>
                    <w:jc w:val="center"/>
                    <w:rPr>
                      <w:rFonts w:hint="eastAsia" w:ascii="宋体" w:hAnsi="宋体" w:eastAsia="宋体" w:cs="宋体"/>
                      <w:bCs w:val="0"/>
                      <w:color w:val="auto"/>
                      <w:spacing w:val="0"/>
                      <w:kern w:val="2"/>
                      <w:sz w:val="21"/>
                      <w:szCs w:val="21"/>
                      <w:highlight w:val="none"/>
                      <w:lang w:val="en-US" w:eastAsia="zh-CN" w:bidi="ar-SA"/>
                    </w:rPr>
                  </w:pPr>
                </w:p>
              </w:tc>
              <w:tc>
                <w:tcPr>
                  <w:tcW w:w="1126" w:type="pct"/>
                  <w:noWrap w:val="0"/>
                  <w:vAlign w:val="center"/>
                </w:tcPr>
                <w:p w14:paraId="754AB066">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r>
                    <w:rPr>
                      <w:rFonts w:hint="eastAsia" w:ascii="宋体" w:hAnsi="宋体" w:cs="宋体"/>
                      <w:bCs w:val="0"/>
                      <w:color w:val="auto"/>
                      <w:spacing w:val="0"/>
                      <w:kern w:val="2"/>
                      <w:sz w:val="21"/>
                      <w:szCs w:val="21"/>
                      <w:highlight w:val="none"/>
                      <w:lang w:val="en-US" w:eastAsia="zh-CN" w:bidi="ar-SA"/>
                    </w:rPr>
                    <w:t>生物质锅炉</w:t>
                  </w:r>
                </w:p>
              </w:tc>
              <w:tc>
                <w:tcPr>
                  <w:tcW w:w="2109" w:type="pct"/>
                  <w:vMerge w:val="continue"/>
                  <w:noWrap w:val="0"/>
                  <w:vAlign w:val="center"/>
                </w:tcPr>
                <w:p w14:paraId="065123BA">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p>
              </w:tc>
            </w:tr>
            <w:tr w14:paraId="0BD656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noWrap w:val="0"/>
                  <w:vAlign w:val="center"/>
                </w:tcPr>
                <w:p w14:paraId="1B17164D">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r>
                    <w:rPr>
                      <w:rFonts w:hint="eastAsia" w:ascii="宋体" w:hAnsi="宋体" w:eastAsia="宋体" w:cs="宋体"/>
                      <w:bCs w:val="0"/>
                      <w:color w:val="auto"/>
                      <w:spacing w:val="0"/>
                      <w:kern w:val="2"/>
                      <w:sz w:val="21"/>
                      <w:szCs w:val="21"/>
                      <w:highlight w:val="none"/>
                      <w:lang w:val="en-US" w:eastAsia="zh-CN" w:bidi="ar-SA"/>
                    </w:rPr>
                    <w:t>颗粒物</w:t>
                  </w:r>
                </w:p>
              </w:tc>
              <w:tc>
                <w:tcPr>
                  <w:tcW w:w="1126" w:type="pct"/>
                  <w:noWrap w:val="0"/>
                  <w:vAlign w:val="center"/>
                </w:tcPr>
                <w:p w14:paraId="633429D2">
                  <w:pPr>
                    <w:pStyle w:val="2"/>
                    <w:spacing w:after="0" w:line="240" w:lineRule="auto"/>
                    <w:ind w:left="0" w:leftChars="0" w:firstLine="0" w:firstLineChars="0"/>
                    <w:jc w:val="center"/>
                    <w:rPr>
                      <w:rFonts w:hint="default" w:ascii="宋体" w:hAnsi="宋体" w:eastAsia="宋体" w:cs="宋体"/>
                      <w:bCs w:val="0"/>
                      <w:color w:val="auto"/>
                      <w:spacing w:val="0"/>
                      <w:kern w:val="2"/>
                      <w:sz w:val="21"/>
                      <w:szCs w:val="21"/>
                      <w:highlight w:val="none"/>
                      <w:lang w:val="en-US" w:eastAsia="zh-CN" w:bidi="ar-SA"/>
                    </w:rPr>
                  </w:pPr>
                  <w:r>
                    <w:rPr>
                      <w:rFonts w:hint="eastAsia" w:ascii="宋体" w:hAnsi="宋体" w:cs="宋体"/>
                      <w:bCs w:val="0"/>
                      <w:color w:val="auto"/>
                      <w:spacing w:val="0"/>
                      <w:kern w:val="2"/>
                      <w:sz w:val="21"/>
                      <w:szCs w:val="21"/>
                      <w:highlight w:val="none"/>
                      <w:lang w:val="en-US" w:eastAsia="zh-CN" w:bidi="ar-SA"/>
                    </w:rPr>
                    <w:t>50</w:t>
                  </w:r>
                </w:p>
              </w:tc>
              <w:tc>
                <w:tcPr>
                  <w:tcW w:w="2109" w:type="pct"/>
                  <w:vMerge w:val="restart"/>
                  <w:noWrap w:val="0"/>
                  <w:vAlign w:val="center"/>
                </w:tcPr>
                <w:p w14:paraId="6E689CA5">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r>
                    <w:rPr>
                      <w:rFonts w:hint="eastAsia" w:ascii="宋体" w:hAnsi="宋体" w:eastAsia="宋体" w:cs="宋体"/>
                      <w:bCs w:val="0"/>
                      <w:color w:val="auto"/>
                      <w:spacing w:val="0"/>
                      <w:kern w:val="2"/>
                      <w:sz w:val="21"/>
                      <w:szCs w:val="21"/>
                      <w:highlight w:val="none"/>
                      <w:lang w:val="en-US" w:eastAsia="zh-CN" w:bidi="ar-SA"/>
                    </w:rPr>
                    <w:t>烟囱或烟道</w:t>
                  </w:r>
                </w:p>
              </w:tc>
            </w:tr>
            <w:tr w14:paraId="66228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noWrap w:val="0"/>
                  <w:vAlign w:val="center"/>
                </w:tcPr>
                <w:p w14:paraId="3A314850">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r>
                    <w:rPr>
                      <w:rFonts w:hint="eastAsia" w:ascii="宋体" w:hAnsi="宋体" w:eastAsia="宋体" w:cs="宋体"/>
                      <w:bCs w:val="0"/>
                      <w:color w:val="auto"/>
                      <w:spacing w:val="0"/>
                      <w:kern w:val="2"/>
                      <w:sz w:val="21"/>
                      <w:szCs w:val="21"/>
                      <w:highlight w:val="none"/>
                      <w:lang w:val="en-US" w:eastAsia="zh-CN" w:bidi="ar-SA"/>
                    </w:rPr>
                    <w:t>二氧化硫</w:t>
                  </w:r>
                </w:p>
              </w:tc>
              <w:tc>
                <w:tcPr>
                  <w:tcW w:w="1126" w:type="pct"/>
                  <w:noWrap w:val="0"/>
                  <w:vAlign w:val="center"/>
                </w:tcPr>
                <w:p w14:paraId="757B0FA3">
                  <w:pPr>
                    <w:pStyle w:val="2"/>
                    <w:spacing w:after="0" w:line="240" w:lineRule="auto"/>
                    <w:ind w:left="0" w:leftChars="0" w:firstLine="0" w:firstLineChars="0"/>
                    <w:jc w:val="center"/>
                    <w:rPr>
                      <w:rFonts w:hint="default" w:ascii="宋体" w:hAnsi="宋体" w:eastAsia="宋体" w:cs="宋体"/>
                      <w:bCs w:val="0"/>
                      <w:color w:val="auto"/>
                      <w:spacing w:val="0"/>
                      <w:kern w:val="2"/>
                      <w:sz w:val="21"/>
                      <w:szCs w:val="21"/>
                      <w:highlight w:val="none"/>
                      <w:lang w:val="en-US" w:eastAsia="zh-CN" w:bidi="ar-SA"/>
                    </w:rPr>
                  </w:pPr>
                  <w:r>
                    <w:rPr>
                      <w:rFonts w:hint="eastAsia" w:ascii="宋体" w:hAnsi="宋体" w:cs="宋体"/>
                      <w:bCs w:val="0"/>
                      <w:color w:val="auto"/>
                      <w:spacing w:val="0"/>
                      <w:kern w:val="2"/>
                      <w:sz w:val="21"/>
                      <w:szCs w:val="21"/>
                      <w:highlight w:val="none"/>
                      <w:lang w:val="en-US" w:eastAsia="zh-CN" w:bidi="ar-SA"/>
                    </w:rPr>
                    <w:t>300</w:t>
                  </w:r>
                </w:p>
              </w:tc>
              <w:tc>
                <w:tcPr>
                  <w:tcW w:w="2109" w:type="pct"/>
                  <w:vMerge w:val="continue"/>
                  <w:noWrap w:val="0"/>
                  <w:vAlign w:val="center"/>
                </w:tcPr>
                <w:p w14:paraId="3EF7142D">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p>
              </w:tc>
            </w:tr>
            <w:tr w14:paraId="506798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noWrap w:val="0"/>
                  <w:vAlign w:val="center"/>
                </w:tcPr>
                <w:p w14:paraId="22C46B78">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r>
                    <w:rPr>
                      <w:rFonts w:hint="eastAsia" w:ascii="宋体" w:hAnsi="宋体" w:eastAsia="宋体" w:cs="宋体"/>
                      <w:bCs w:val="0"/>
                      <w:color w:val="auto"/>
                      <w:spacing w:val="0"/>
                      <w:kern w:val="2"/>
                      <w:sz w:val="21"/>
                      <w:szCs w:val="21"/>
                      <w:highlight w:val="none"/>
                      <w:lang w:val="en-US" w:eastAsia="zh-CN" w:bidi="ar-SA"/>
                    </w:rPr>
                    <w:t>氮氧化物</w:t>
                  </w:r>
                </w:p>
              </w:tc>
              <w:tc>
                <w:tcPr>
                  <w:tcW w:w="1126" w:type="pct"/>
                  <w:noWrap w:val="0"/>
                  <w:vAlign w:val="center"/>
                </w:tcPr>
                <w:p w14:paraId="1DE9288D">
                  <w:pPr>
                    <w:pStyle w:val="2"/>
                    <w:spacing w:after="0" w:line="240" w:lineRule="auto"/>
                    <w:ind w:left="0" w:leftChars="0" w:firstLine="0" w:firstLineChars="0"/>
                    <w:jc w:val="center"/>
                    <w:rPr>
                      <w:rFonts w:hint="default" w:ascii="宋体" w:hAnsi="宋体" w:eastAsia="宋体" w:cs="宋体"/>
                      <w:bCs w:val="0"/>
                      <w:color w:val="auto"/>
                      <w:spacing w:val="0"/>
                      <w:kern w:val="2"/>
                      <w:sz w:val="21"/>
                      <w:szCs w:val="21"/>
                      <w:highlight w:val="none"/>
                      <w:lang w:val="en-US" w:eastAsia="zh-CN" w:bidi="ar-SA"/>
                    </w:rPr>
                  </w:pPr>
                  <w:r>
                    <w:rPr>
                      <w:rFonts w:hint="eastAsia" w:ascii="宋体" w:hAnsi="宋体" w:cs="宋体"/>
                      <w:bCs w:val="0"/>
                      <w:color w:val="auto"/>
                      <w:spacing w:val="0"/>
                      <w:kern w:val="2"/>
                      <w:sz w:val="21"/>
                      <w:szCs w:val="21"/>
                      <w:highlight w:val="none"/>
                      <w:lang w:val="en-US" w:eastAsia="zh-CN" w:bidi="ar-SA"/>
                    </w:rPr>
                    <w:t>300</w:t>
                  </w:r>
                </w:p>
              </w:tc>
              <w:tc>
                <w:tcPr>
                  <w:tcW w:w="2109" w:type="pct"/>
                  <w:vMerge w:val="continue"/>
                  <w:noWrap w:val="0"/>
                  <w:vAlign w:val="center"/>
                </w:tcPr>
                <w:p w14:paraId="3B3646C3">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p>
              </w:tc>
            </w:tr>
            <w:tr w14:paraId="4F2C60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noWrap w:val="0"/>
                  <w:vAlign w:val="center"/>
                </w:tcPr>
                <w:p w14:paraId="34BA6BBD">
                  <w:pPr>
                    <w:pStyle w:val="2"/>
                    <w:spacing w:after="0" w:line="240" w:lineRule="auto"/>
                    <w:ind w:left="0" w:leftChars="0" w:firstLine="0" w:firstLineChars="0"/>
                    <w:jc w:val="center"/>
                    <w:rPr>
                      <w:rFonts w:hint="default" w:ascii="宋体" w:hAnsi="宋体" w:eastAsia="宋体" w:cs="宋体"/>
                      <w:bCs w:val="0"/>
                      <w:color w:val="auto"/>
                      <w:spacing w:val="0"/>
                      <w:kern w:val="2"/>
                      <w:sz w:val="21"/>
                      <w:szCs w:val="21"/>
                      <w:highlight w:val="none"/>
                      <w:lang w:val="en-US" w:eastAsia="zh-CN" w:bidi="ar-SA"/>
                    </w:rPr>
                  </w:pPr>
                  <w:r>
                    <w:rPr>
                      <w:rFonts w:hint="eastAsia" w:ascii="宋体" w:hAnsi="宋体" w:cs="宋体"/>
                      <w:bCs w:val="0"/>
                      <w:color w:val="auto"/>
                      <w:spacing w:val="0"/>
                      <w:kern w:val="2"/>
                      <w:sz w:val="21"/>
                      <w:szCs w:val="21"/>
                      <w:highlight w:val="none"/>
                      <w:lang w:val="en-US" w:eastAsia="zh-CN" w:bidi="ar-SA"/>
                    </w:rPr>
                    <w:t>汞及其化合物</w:t>
                  </w:r>
                </w:p>
              </w:tc>
              <w:tc>
                <w:tcPr>
                  <w:tcW w:w="1126" w:type="pct"/>
                  <w:noWrap w:val="0"/>
                  <w:vAlign w:val="center"/>
                </w:tcPr>
                <w:p w14:paraId="49450799">
                  <w:pPr>
                    <w:pStyle w:val="2"/>
                    <w:spacing w:after="0" w:line="240" w:lineRule="auto"/>
                    <w:ind w:left="0" w:leftChars="0" w:firstLine="0" w:firstLineChars="0"/>
                    <w:jc w:val="center"/>
                    <w:rPr>
                      <w:rFonts w:hint="default" w:ascii="宋体" w:hAnsi="宋体" w:eastAsia="宋体" w:cs="宋体"/>
                      <w:bCs w:val="0"/>
                      <w:color w:val="auto"/>
                      <w:spacing w:val="0"/>
                      <w:kern w:val="2"/>
                      <w:sz w:val="21"/>
                      <w:szCs w:val="21"/>
                      <w:highlight w:val="none"/>
                      <w:lang w:val="en-US" w:eastAsia="zh-CN" w:bidi="ar-SA"/>
                    </w:rPr>
                  </w:pPr>
                  <w:r>
                    <w:rPr>
                      <w:rFonts w:hint="eastAsia" w:ascii="宋体" w:hAnsi="宋体" w:cs="宋体"/>
                      <w:bCs w:val="0"/>
                      <w:color w:val="auto"/>
                      <w:spacing w:val="0"/>
                      <w:kern w:val="2"/>
                      <w:sz w:val="21"/>
                      <w:szCs w:val="21"/>
                      <w:highlight w:val="none"/>
                      <w:lang w:val="en-US" w:eastAsia="zh-CN" w:bidi="ar-SA"/>
                    </w:rPr>
                    <w:t>0.05</w:t>
                  </w:r>
                </w:p>
              </w:tc>
              <w:tc>
                <w:tcPr>
                  <w:tcW w:w="2109" w:type="pct"/>
                  <w:vMerge w:val="continue"/>
                  <w:noWrap w:val="0"/>
                  <w:vAlign w:val="center"/>
                </w:tcPr>
                <w:p w14:paraId="25766B1F">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p>
              </w:tc>
            </w:tr>
            <w:tr w14:paraId="21EF06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764" w:type="pct"/>
                  <w:noWrap w:val="0"/>
                  <w:vAlign w:val="center"/>
                </w:tcPr>
                <w:p w14:paraId="14ECA068">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r>
                    <w:rPr>
                      <w:rFonts w:hint="eastAsia" w:ascii="宋体" w:hAnsi="宋体" w:eastAsia="宋体" w:cs="宋体"/>
                      <w:bCs w:val="0"/>
                      <w:color w:val="auto"/>
                      <w:spacing w:val="0"/>
                      <w:kern w:val="2"/>
                      <w:sz w:val="21"/>
                      <w:szCs w:val="21"/>
                      <w:highlight w:val="none"/>
                      <w:lang w:val="en-US" w:eastAsia="zh-CN" w:bidi="ar-SA"/>
                    </w:rPr>
                    <w:t>烟气黑度（林格曼黑度，级）</w:t>
                  </w:r>
                </w:p>
              </w:tc>
              <w:tc>
                <w:tcPr>
                  <w:tcW w:w="1126" w:type="pct"/>
                  <w:noWrap w:val="0"/>
                  <w:vAlign w:val="center"/>
                </w:tcPr>
                <w:p w14:paraId="30E5D0BC">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r>
                    <w:rPr>
                      <w:rFonts w:hint="eastAsia" w:ascii="宋体" w:hAnsi="宋体" w:eastAsia="宋体" w:cs="宋体"/>
                      <w:bCs w:val="0"/>
                      <w:color w:val="auto"/>
                      <w:spacing w:val="0"/>
                      <w:kern w:val="2"/>
                      <w:sz w:val="21"/>
                      <w:szCs w:val="21"/>
                      <w:highlight w:val="none"/>
                      <w:lang w:val="en-US" w:eastAsia="zh-CN" w:bidi="ar-SA"/>
                    </w:rPr>
                    <w:t>≤1</w:t>
                  </w:r>
                </w:p>
              </w:tc>
              <w:tc>
                <w:tcPr>
                  <w:tcW w:w="2109" w:type="pct"/>
                  <w:noWrap w:val="0"/>
                  <w:vAlign w:val="center"/>
                </w:tcPr>
                <w:p w14:paraId="136602CA">
                  <w:pPr>
                    <w:pStyle w:val="2"/>
                    <w:spacing w:after="0" w:line="240" w:lineRule="auto"/>
                    <w:ind w:left="0" w:leftChars="0" w:firstLine="0" w:firstLineChars="0"/>
                    <w:jc w:val="center"/>
                    <w:rPr>
                      <w:rFonts w:hint="eastAsia" w:ascii="宋体" w:hAnsi="宋体" w:eastAsia="宋体" w:cs="宋体"/>
                      <w:bCs w:val="0"/>
                      <w:color w:val="auto"/>
                      <w:spacing w:val="0"/>
                      <w:kern w:val="2"/>
                      <w:sz w:val="21"/>
                      <w:szCs w:val="21"/>
                      <w:highlight w:val="none"/>
                      <w:lang w:val="en-US" w:eastAsia="zh-CN" w:bidi="ar-SA"/>
                    </w:rPr>
                  </w:pPr>
                  <w:r>
                    <w:rPr>
                      <w:rFonts w:hint="eastAsia" w:ascii="宋体" w:hAnsi="宋体" w:eastAsia="宋体" w:cs="宋体"/>
                      <w:bCs w:val="0"/>
                      <w:color w:val="auto"/>
                      <w:spacing w:val="0"/>
                      <w:kern w:val="2"/>
                      <w:sz w:val="21"/>
                      <w:szCs w:val="21"/>
                      <w:highlight w:val="none"/>
                      <w:lang w:val="en-US" w:eastAsia="zh-CN" w:bidi="ar-SA"/>
                    </w:rPr>
                    <w:t>烟囱排放口</w:t>
                  </w:r>
                </w:p>
              </w:tc>
            </w:tr>
          </w:tbl>
          <w:p w14:paraId="5DAAB5F8">
            <w:pPr>
              <w:pStyle w:val="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contextualSpacing/>
              <w:jc w:val="center"/>
              <w:textAlignment w:val="auto"/>
              <w:rPr>
                <w:rFonts w:hint="eastAsia" w:ascii="Times New Roman" w:hAnsi="Times New Roman" w:eastAsia="宋体" w:cs="宋体"/>
                <w:b/>
                <w:color w:val="auto"/>
                <w:sz w:val="21"/>
                <w:szCs w:val="21"/>
                <w:highlight w:val="none"/>
              </w:rPr>
            </w:pPr>
            <w:r>
              <w:rPr>
                <w:rFonts w:hint="eastAsia" w:ascii="Times New Roman" w:hAnsi="Times New Roman" w:eastAsia="宋体" w:cs="宋体"/>
                <w:b/>
                <w:color w:val="auto"/>
                <w:sz w:val="21"/>
                <w:szCs w:val="21"/>
                <w:highlight w:val="none"/>
              </w:rPr>
              <w:t>表3-</w:t>
            </w:r>
            <w:r>
              <w:rPr>
                <w:rFonts w:hint="eastAsia" w:cs="宋体"/>
                <w:b/>
                <w:color w:val="auto"/>
                <w:sz w:val="21"/>
                <w:szCs w:val="21"/>
                <w:highlight w:val="none"/>
                <w:lang w:val="en-US" w:eastAsia="zh-CN"/>
              </w:rPr>
              <w:t>6</w:t>
            </w:r>
            <w:r>
              <w:rPr>
                <w:rFonts w:hint="eastAsia" w:ascii="Times New Roman" w:hAnsi="Times New Roman" w:eastAsia="宋体" w:cs="宋体"/>
                <w:b/>
                <w:color w:val="auto"/>
                <w:sz w:val="21"/>
                <w:szCs w:val="21"/>
                <w:highlight w:val="none"/>
              </w:rPr>
              <w:t xml:space="preserve"> 《大气污染物综合排放标准》（GB16297-1996）</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3697"/>
              <w:gridCol w:w="4074"/>
            </w:tblGrid>
            <w:tr w14:paraId="7A7FC2A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3697" w:type="dxa"/>
                  <w:noWrap w:val="0"/>
                  <w:vAlign w:val="center"/>
                </w:tcPr>
                <w:p w14:paraId="6D196A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sz w:val="21"/>
                      <w:szCs w:val="21"/>
                      <w:highlight w:val="none"/>
                    </w:rPr>
                  </w:pPr>
                  <w:r>
                    <w:rPr>
                      <w:rFonts w:hint="eastAsia" w:ascii="Times New Roman" w:hAnsi="Times New Roman" w:eastAsia="宋体" w:cs="宋体"/>
                      <w:color w:val="auto"/>
                      <w:sz w:val="21"/>
                      <w:szCs w:val="21"/>
                      <w:highlight w:val="none"/>
                    </w:rPr>
                    <w:t>污染物</w:t>
                  </w:r>
                </w:p>
              </w:tc>
              <w:tc>
                <w:tcPr>
                  <w:tcW w:w="4074" w:type="dxa"/>
                  <w:noWrap w:val="0"/>
                  <w:vAlign w:val="center"/>
                </w:tcPr>
                <w:p w14:paraId="41FD58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rPr>
                    <w:t>周界外浓度最高点</w:t>
                  </w:r>
                  <w:r>
                    <w:rPr>
                      <w:rFonts w:hint="eastAsia" w:ascii="Times New Roman" w:hAnsi="Times New Roman" w:eastAsia="宋体" w:cs="宋体"/>
                      <w:color w:val="auto"/>
                      <w:sz w:val="21"/>
                      <w:szCs w:val="21"/>
                      <w:highlight w:val="none"/>
                      <w:lang w:val="en-US" w:eastAsia="zh-CN"/>
                    </w:rPr>
                    <w:t xml:space="preserve"> mg/m</w:t>
                  </w:r>
                  <w:r>
                    <w:rPr>
                      <w:rFonts w:hint="eastAsia" w:ascii="Times New Roman" w:hAnsi="Times New Roman" w:eastAsia="宋体" w:cs="宋体"/>
                      <w:color w:val="auto"/>
                      <w:sz w:val="21"/>
                      <w:szCs w:val="21"/>
                      <w:highlight w:val="none"/>
                      <w:vertAlign w:val="superscript"/>
                      <w:lang w:val="en-US" w:eastAsia="zh-CN"/>
                    </w:rPr>
                    <w:t>3</w:t>
                  </w:r>
                </w:p>
              </w:tc>
            </w:tr>
            <w:tr w14:paraId="7D4E136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exact"/>
                <w:jc w:val="center"/>
              </w:trPr>
              <w:tc>
                <w:tcPr>
                  <w:tcW w:w="3697" w:type="dxa"/>
                  <w:noWrap w:val="0"/>
                  <w:vAlign w:val="center"/>
                </w:tcPr>
                <w:p w14:paraId="5EA308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颗粒物</w:t>
                  </w:r>
                </w:p>
              </w:tc>
              <w:tc>
                <w:tcPr>
                  <w:tcW w:w="4074" w:type="dxa"/>
                  <w:noWrap w:val="0"/>
                  <w:vAlign w:val="center"/>
                </w:tcPr>
                <w:p w14:paraId="118A65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1.0</w:t>
                  </w:r>
                </w:p>
              </w:tc>
            </w:tr>
          </w:tbl>
          <w:p w14:paraId="51B61CA1">
            <w:pPr>
              <w:spacing w:line="360" w:lineRule="auto"/>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2.</w:t>
            </w:r>
            <w:r>
              <w:rPr>
                <w:rFonts w:hint="eastAsia" w:ascii="宋体" w:hAnsi="宋体" w:eastAsia="宋体" w:cs="宋体"/>
                <w:b/>
                <w:bCs w:val="0"/>
                <w:color w:val="auto"/>
                <w:spacing w:val="0"/>
                <w:sz w:val="24"/>
                <w:szCs w:val="24"/>
                <w:highlight w:val="none"/>
                <w:lang w:val="en-US" w:eastAsia="zh-CN"/>
              </w:rPr>
              <w:t>噪声</w:t>
            </w:r>
          </w:p>
          <w:p w14:paraId="1AE595EA">
            <w:pPr>
              <w:adjustRightInd w:val="0"/>
              <w:snapToGrid w:val="0"/>
              <w:spacing w:line="360" w:lineRule="auto"/>
              <w:ind w:firstLine="480" w:firstLineChars="200"/>
              <w:rPr>
                <w:rFonts w:hint="eastAsia" w:ascii="宋体" w:hAnsi="宋体" w:eastAsia="宋体" w:cs="宋体"/>
                <w:color w:val="auto"/>
                <w:spacing w:val="0"/>
                <w:kern w:val="0"/>
                <w:sz w:val="24"/>
                <w:highlight w:val="none"/>
              </w:rPr>
            </w:pPr>
            <w:r>
              <w:rPr>
                <w:rFonts w:hint="eastAsia" w:ascii="宋体" w:hAnsi="宋体" w:eastAsia="宋体" w:cs="宋体"/>
                <w:color w:val="auto"/>
                <w:spacing w:val="0"/>
                <w:kern w:val="0"/>
                <w:sz w:val="24"/>
                <w:highlight w:val="none"/>
              </w:rPr>
              <w:t>施工期噪声执行《建筑施工场界环境噪声排放标准》（GB12523-2011）。</w:t>
            </w:r>
          </w:p>
          <w:p w14:paraId="37ED188D">
            <w:pPr>
              <w:adjustRightInd w:val="0"/>
              <w:snapToGrid w:val="0"/>
              <w:spacing w:line="240" w:lineRule="auto"/>
              <w:ind w:firstLine="0" w:firstLineChars="0"/>
              <w:jc w:val="center"/>
              <w:rPr>
                <w:rFonts w:hint="eastAsia" w:ascii="宋体" w:hAnsi="宋体" w:eastAsia="宋体" w:cs="宋体"/>
                <w:b/>
                <w:color w:val="auto"/>
                <w:spacing w:val="0"/>
                <w:kern w:val="0"/>
                <w:sz w:val="21"/>
                <w:szCs w:val="21"/>
                <w:highlight w:val="none"/>
              </w:rPr>
            </w:pPr>
            <w:r>
              <w:rPr>
                <w:rFonts w:hint="eastAsia" w:ascii="宋体" w:hAnsi="宋体" w:eastAsia="宋体" w:cs="宋体"/>
                <w:b/>
                <w:color w:val="auto"/>
                <w:spacing w:val="0"/>
                <w:kern w:val="0"/>
                <w:sz w:val="21"/>
                <w:szCs w:val="21"/>
                <w:highlight w:val="none"/>
              </w:rPr>
              <w:t>表</w:t>
            </w:r>
            <w:r>
              <w:rPr>
                <w:rFonts w:hint="default" w:ascii="Times New Roman" w:hAnsi="Times New Roman" w:eastAsia="宋体" w:cs="Times New Roman"/>
                <w:b/>
                <w:color w:val="auto"/>
                <w:spacing w:val="0"/>
                <w:kern w:val="0"/>
                <w:sz w:val="21"/>
                <w:szCs w:val="21"/>
                <w:highlight w:val="none"/>
              </w:rPr>
              <w:t>3-</w:t>
            </w:r>
            <w:r>
              <w:rPr>
                <w:rFonts w:hint="eastAsia" w:ascii="Times New Roman" w:hAnsi="Times New Roman" w:cs="Times New Roman"/>
                <w:b/>
                <w:color w:val="auto"/>
                <w:spacing w:val="0"/>
                <w:kern w:val="0"/>
                <w:sz w:val="21"/>
                <w:szCs w:val="21"/>
                <w:highlight w:val="none"/>
                <w:lang w:val="en-US" w:eastAsia="zh-CN"/>
              </w:rPr>
              <w:t>7</w:t>
            </w:r>
            <w:r>
              <w:rPr>
                <w:rFonts w:hint="eastAsia" w:ascii="宋体" w:hAnsi="宋体" w:eastAsia="宋体" w:cs="宋体"/>
                <w:b/>
                <w:color w:val="auto"/>
                <w:spacing w:val="0"/>
                <w:kern w:val="0"/>
                <w:sz w:val="21"/>
                <w:szCs w:val="21"/>
                <w:highlight w:val="none"/>
              </w:rPr>
              <w:t>《建筑施工场界环境噪声排放标准》（GB12523-2011）</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30"/>
              <w:gridCol w:w="3841"/>
            </w:tblGrid>
            <w:tr w14:paraId="73E5FA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528" w:type="pct"/>
                  <w:noWrap w:val="0"/>
                  <w:vAlign w:val="center"/>
                </w:tcPr>
                <w:p w14:paraId="67E215DB">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18"/>
                      <w:highlight w:val="none"/>
                    </w:rPr>
                  </w:pPr>
                  <w:r>
                    <w:rPr>
                      <w:rFonts w:hint="eastAsia" w:ascii="宋体" w:hAnsi="宋体" w:eastAsia="宋体" w:cs="宋体"/>
                      <w:color w:val="auto"/>
                      <w:spacing w:val="0"/>
                      <w:sz w:val="21"/>
                      <w:szCs w:val="18"/>
                      <w:highlight w:val="none"/>
                    </w:rPr>
                    <w:t>昼间</w:t>
                  </w:r>
                </w:p>
              </w:tc>
              <w:tc>
                <w:tcPr>
                  <w:tcW w:w="2472" w:type="pct"/>
                  <w:noWrap w:val="0"/>
                  <w:vAlign w:val="center"/>
                </w:tcPr>
                <w:p w14:paraId="157A6E81">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18"/>
                      <w:highlight w:val="none"/>
                    </w:rPr>
                  </w:pPr>
                  <w:r>
                    <w:rPr>
                      <w:rFonts w:hint="eastAsia" w:ascii="宋体" w:hAnsi="宋体" w:eastAsia="宋体" w:cs="宋体"/>
                      <w:color w:val="auto"/>
                      <w:spacing w:val="0"/>
                      <w:sz w:val="21"/>
                      <w:szCs w:val="18"/>
                      <w:highlight w:val="none"/>
                    </w:rPr>
                    <w:t>夜间</w:t>
                  </w:r>
                </w:p>
              </w:tc>
            </w:tr>
            <w:tr w14:paraId="1AE15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528" w:type="pct"/>
                  <w:noWrap w:val="0"/>
                  <w:vAlign w:val="center"/>
                </w:tcPr>
                <w:p w14:paraId="70B1B235">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18"/>
                      <w:highlight w:val="none"/>
                    </w:rPr>
                  </w:pPr>
                  <w:r>
                    <w:rPr>
                      <w:rFonts w:hint="eastAsia" w:ascii="宋体" w:hAnsi="宋体" w:eastAsia="宋体" w:cs="宋体"/>
                      <w:color w:val="auto"/>
                      <w:spacing w:val="0"/>
                      <w:sz w:val="21"/>
                      <w:szCs w:val="18"/>
                      <w:highlight w:val="none"/>
                    </w:rPr>
                    <w:t>70</w:t>
                  </w:r>
                  <w:r>
                    <w:rPr>
                      <w:rFonts w:hint="eastAsia" w:ascii="宋体" w:hAnsi="宋体" w:eastAsia="宋体" w:cs="宋体"/>
                      <w:bCs/>
                      <w:color w:val="auto"/>
                      <w:spacing w:val="0"/>
                      <w:sz w:val="21"/>
                      <w:szCs w:val="18"/>
                      <w:highlight w:val="none"/>
                    </w:rPr>
                    <w:t>dB</w:t>
                  </w:r>
                  <w:r>
                    <w:rPr>
                      <w:rFonts w:hint="eastAsia" w:cs="宋体"/>
                      <w:bCs/>
                      <w:color w:val="auto"/>
                      <w:spacing w:val="0"/>
                      <w:sz w:val="21"/>
                      <w:szCs w:val="18"/>
                      <w:highlight w:val="none"/>
                      <w:lang w:eastAsia="zh-CN"/>
                    </w:rPr>
                    <w:t>(</w:t>
                  </w:r>
                  <w:r>
                    <w:rPr>
                      <w:rFonts w:hint="eastAsia" w:ascii="宋体" w:hAnsi="宋体" w:eastAsia="宋体" w:cs="宋体"/>
                      <w:bCs/>
                      <w:color w:val="auto"/>
                      <w:spacing w:val="0"/>
                      <w:sz w:val="21"/>
                      <w:szCs w:val="18"/>
                      <w:highlight w:val="none"/>
                    </w:rPr>
                    <w:t>A</w:t>
                  </w:r>
                  <w:r>
                    <w:rPr>
                      <w:rFonts w:hint="eastAsia" w:cs="宋体"/>
                      <w:bCs/>
                      <w:color w:val="auto"/>
                      <w:spacing w:val="0"/>
                      <w:sz w:val="21"/>
                      <w:szCs w:val="18"/>
                      <w:highlight w:val="none"/>
                      <w:lang w:eastAsia="zh-CN"/>
                    </w:rPr>
                    <w:t>)</w:t>
                  </w:r>
                </w:p>
              </w:tc>
              <w:tc>
                <w:tcPr>
                  <w:tcW w:w="2472" w:type="pct"/>
                  <w:noWrap w:val="0"/>
                  <w:vAlign w:val="center"/>
                </w:tcPr>
                <w:p w14:paraId="1A110587">
                  <w:pPr>
                    <w:pStyle w:val="132"/>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18"/>
                      <w:highlight w:val="none"/>
                    </w:rPr>
                  </w:pPr>
                  <w:r>
                    <w:rPr>
                      <w:rFonts w:hint="eastAsia" w:ascii="宋体" w:hAnsi="宋体" w:eastAsia="宋体" w:cs="宋体"/>
                      <w:color w:val="auto"/>
                      <w:spacing w:val="0"/>
                      <w:sz w:val="21"/>
                      <w:szCs w:val="18"/>
                      <w:highlight w:val="none"/>
                    </w:rPr>
                    <w:t>55</w:t>
                  </w:r>
                  <w:r>
                    <w:rPr>
                      <w:rFonts w:hint="eastAsia" w:ascii="宋体" w:hAnsi="宋体" w:eastAsia="宋体" w:cs="宋体"/>
                      <w:bCs/>
                      <w:color w:val="auto"/>
                      <w:spacing w:val="0"/>
                      <w:sz w:val="21"/>
                      <w:szCs w:val="18"/>
                      <w:highlight w:val="none"/>
                    </w:rPr>
                    <w:t>dB</w:t>
                  </w:r>
                  <w:r>
                    <w:rPr>
                      <w:rFonts w:hint="eastAsia" w:cs="宋体"/>
                      <w:bCs/>
                      <w:color w:val="auto"/>
                      <w:spacing w:val="0"/>
                      <w:sz w:val="21"/>
                      <w:szCs w:val="18"/>
                      <w:highlight w:val="none"/>
                      <w:lang w:eastAsia="zh-CN"/>
                    </w:rPr>
                    <w:t>(</w:t>
                  </w:r>
                  <w:r>
                    <w:rPr>
                      <w:rFonts w:hint="eastAsia" w:ascii="宋体" w:hAnsi="宋体" w:eastAsia="宋体" w:cs="宋体"/>
                      <w:bCs/>
                      <w:color w:val="auto"/>
                      <w:spacing w:val="0"/>
                      <w:sz w:val="21"/>
                      <w:szCs w:val="18"/>
                      <w:highlight w:val="none"/>
                    </w:rPr>
                    <w:t>A</w:t>
                  </w:r>
                  <w:r>
                    <w:rPr>
                      <w:rFonts w:hint="eastAsia" w:cs="宋体"/>
                      <w:bCs/>
                      <w:color w:val="auto"/>
                      <w:spacing w:val="0"/>
                      <w:sz w:val="21"/>
                      <w:szCs w:val="18"/>
                      <w:highlight w:val="none"/>
                      <w:lang w:eastAsia="zh-CN"/>
                    </w:rPr>
                    <w:t>)</w:t>
                  </w:r>
                </w:p>
              </w:tc>
            </w:tr>
          </w:tbl>
          <w:p w14:paraId="21ED9214">
            <w:pPr>
              <w:pStyle w:val="114"/>
              <w:spacing w:line="360" w:lineRule="auto"/>
              <w:ind w:firstLine="480" w:firstLineChars="200"/>
              <w:rPr>
                <w:rFonts w:hint="eastAsia" w:ascii="宋体" w:hAnsi="宋体" w:eastAsia="宋体" w:cs="宋体"/>
                <w:b/>
                <w:color w:val="auto"/>
                <w:spacing w:val="0"/>
                <w:kern w:val="2"/>
                <w:sz w:val="24"/>
                <w:szCs w:val="24"/>
                <w:highlight w:val="none"/>
              </w:rPr>
            </w:pPr>
            <w:r>
              <w:rPr>
                <w:rFonts w:hint="eastAsia" w:ascii="宋体" w:hAnsi="宋体" w:eastAsia="宋体" w:cs="宋体"/>
                <w:color w:val="auto"/>
                <w:spacing w:val="0"/>
                <w:highlight w:val="none"/>
                <w:lang w:val="en-US" w:eastAsia="zh-CN"/>
              </w:rPr>
              <w:t>本项目</w:t>
            </w:r>
            <w:r>
              <w:rPr>
                <w:rFonts w:hint="eastAsia" w:ascii="宋体" w:hAnsi="宋体" w:eastAsia="宋体" w:cs="宋体"/>
                <w:color w:val="auto"/>
                <w:spacing w:val="0"/>
                <w:sz w:val="24"/>
                <w:szCs w:val="24"/>
                <w:highlight w:val="none"/>
              </w:rPr>
              <w:t>厂</w:t>
            </w:r>
            <w:r>
              <w:rPr>
                <w:rFonts w:hint="eastAsia" w:ascii="宋体" w:hAnsi="宋体" w:eastAsia="宋体" w:cs="宋体"/>
                <w:color w:val="auto"/>
                <w:spacing w:val="0"/>
                <w:sz w:val="24"/>
                <w:szCs w:val="24"/>
                <w:highlight w:val="none"/>
                <w:lang w:val="en-US" w:eastAsia="zh-CN"/>
              </w:rPr>
              <w:t>界</w:t>
            </w:r>
            <w:r>
              <w:rPr>
                <w:rFonts w:hint="eastAsia" w:ascii="宋体" w:hAnsi="宋体" w:cs="宋体"/>
                <w:color w:val="auto"/>
                <w:spacing w:val="0"/>
                <w:sz w:val="24"/>
                <w:szCs w:val="24"/>
                <w:highlight w:val="none"/>
                <w:lang w:val="en-US" w:eastAsia="zh-CN"/>
              </w:rPr>
              <w:t>四</w:t>
            </w:r>
            <w:r>
              <w:rPr>
                <w:rFonts w:hint="eastAsia" w:ascii="宋体" w:hAnsi="宋体" w:eastAsia="宋体" w:cs="宋体"/>
                <w:color w:val="auto"/>
                <w:spacing w:val="0"/>
                <w:sz w:val="24"/>
                <w:szCs w:val="24"/>
                <w:highlight w:val="none"/>
                <w:lang w:val="en-US" w:eastAsia="zh-CN"/>
              </w:rPr>
              <w:t>侧</w:t>
            </w:r>
            <w:r>
              <w:rPr>
                <w:rFonts w:hint="eastAsia" w:ascii="宋体" w:hAnsi="宋体" w:eastAsia="宋体" w:cs="宋体"/>
                <w:color w:val="auto"/>
                <w:spacing w:val="0"/>
                <w:sz w:val="24"/>
                <w:szCs w:val="24"/>
                <w:highlight w:val="none"/>
              </w:rPr>
              <w:t>噪声执行《工业企业厂界环境噪声排放标准》（GB12348-2008）表1中</w:t>
            </w:r>
            <w:r>
              <w:rPr>
                <w:rFonts w:hint="eastAsia" w:ascii="宋体" w:hAnsi="宋体" w:cs="宋体"/>
                <w:color w:val="auto"/>
                <w:spacing w:val="0"/>
                <w:sz w:val="24"/>
                <w:szCs w:val="24"/>
                <w:highlight w:val="none"/>
                <w:lang w:val="en-US" w:eastAsia="zh-CN"/>
              </w:rPr>
              <w:t>3</w:t>
            </w:r>
            <w:r>
              <w:rPr>
                <w:rFonts w:hint="eastAsia" w:ascii="宋体" w:hAnsi="宋体" w:eastAsia="宋体" w:cs="宋体"/>
                <w:color w:val="auto"/>
                <w:spacing w:val="0"/>
                <w:sz w:val="24"/>
                <w:szCs w:val="24"/>
                <w:highlight w:val="none"/>
              </w:rPr>
              <w:t>类排放标准。</w:t>
            </w:r>
          </w:p>
          <w:p w14:paraId="440E9C3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val="0"/>
                <w:color w:val="auto"/>
                <w:spacing w:val="0"/>
                <w:sz w:val="21"/>
                <w:szCs w:val="21"/>
                <w:highlight w:val="none"/>
              </w:rPr>
            </w:pPr>
            <w:r>
              <w:rPr>
                <w:rFonts w:hint="eastAsia" w:ascii="宋体" w:hAnsi="宋体" w:eastAsia="宋体" w:cs="宋体"/>
                <w:b/>
                <w:bCs w:val="0"/>
                <w:color w:val="auto"/>
                <w:spacing w:val="0"/>
                <w:sz w:val="21"/>
                <w:szCs w:val="21"/>
                <w:highlight w:val="none"/>
              </w:rPr>
              <w:t>表</w:t>
            </w:r>
            <w:r>
              <w:rPr>
                <w:rFonts w:hint="default" w:ascii="Times New Roman" w:hAnsi="Times New Roman" w:eastAsia="宋体" w:cs="Times New Roman"/>
                <w:b/>
                <w:bCs w:val="0"/>
                <w:color w:val="auto"/>
                <w:spacing w:val="0"/>
                <w:sz w:val="21"/>
                <w:szCs w:val="21"/>
                <w:highlight w:val="none"/>
              </w:rPr>
              <w:t>3-</w:t>
            </w:r>
            <w:r>
              <w:rPr>
                <w:rFonts w:hint="eastAsia" w:ascii="Times New Roman" w:hAnsi="Times New Roman" w:cs="Times New Roman"/>
                <w:b/>
                <w:bCs w:val="0"/>
                <w:color w:val="auto"/>
                <w:spacing w:val="0"/>
                <w:sz w:val="21"/>
                <w:szCs w:val="21"/>
                <w:highlight w:val="none"/>
                <w:lang w:val="en-US" w:eastAsia="zh-CN"/>
              </w:rPr>
              <w:t>8</w:t>
            </w:r>
            <w:r>
              <w:rPr>
                <w:rFonts w:hint="eastAsia" w:ascii="宋体" w:hAnsi="宋体" w:eastAsia="宋体" w:cs="宋体"/>
                <w:b/>
                <w:bCs w:val="0"/>
                <w:color w:val="auto"/>
                <w:spacing w:val="0"/>
                <w:sz w:val="21"/>
                <w:szCs w:val="21"/>
                <w:highlight w:val="none"/>
              </w:rPr>
              <w:t>工业企业厂界环境噪声排放标准（GB12348-2008）</w:t>
            </w:r>
          </w:p>
          <w:tbl>
            <w:tblPr>
              <w:tblStyle w:val="3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6"/>
              <w:gridCol w:w="912"/>
              <w:gridCol w:w="1100"/>
              <w:gridCol w:w="1052"/>
              <w:gridCol w:w="1346"/>
              <w:gridCol w:w="2031"/>
            </w:tblGrid>
            <w:tr w14:paraId="759502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853" w:type="pct"/>
                  <w:noWrap w:val="0"/>
                  <w:vAlign w:val="center"/>
                </w:tcPr>
                <w:p w14:paraId="6E043D60">
                  <w:pPr>
                    <w:spacing w:line="240" w:lineRule="auto"/>
                    <w:ind w:firstLine="0" w:firstLineChars="0"/>
                    <w:jc w:val="center"/>
                    <w:rPr>
                      <w:rFonts w:hint="eastAsia" w:ascii="宋体" w:hAnsi="宋体" w:eastAsia="宋体" w:cs="宋体"/>
                      <w:color w:val="auto"/>
                      <w:spacing w:val="0"/>
                      <w:sz w:val="21"/>
                      <w:szCs w:val="18"/>
                      <w:highlight w:val="none"/>
                    </w:rPr>
                  </w:pPr>
                  <w:r>
                    <w:rPr>
                      <w:rFonts w:hint="eastAsia" w:ascii="宋体" w:hAnsi="宋体" w:eastAsia="宋体" w:cs="宋体"/>
                      <w:color w:val="auto"/>
                      <w:spacing w:val="0"/>
                      <w:sz w:val="21"/>
                      <w:szCs w:val="18"/>
                      <w:highlight w:val="none"/>
                    </w:rPr>
                    <w:t>时段</w:t>
                  </w:r>
                </w:p>
              </w:tc>
              <w:tc>
                <w:tcPr>
                  <w:tcW w:w="587" w:type="pct"/>
                  <w:noWrap w:val="0"/>
                  <w:vAlign w:val="center"/>
                </w:tcPr>
                <w:p w14:paraId="3561B547">
                  <w:pPr>
                    <w:spacing w:line="240" w:lineRule="auto"/>
                    <w:ind w:firstLine="0" w:firstLineChars="0"/>
                    <w:jc w:val="center"/>
                    <w:rPr>
                      <w:rFonts w:hint="eastAsia" w:ascii="宋体" w:hAnsi="宋体" w:eastAsia="宋体" w:cs="宋体"/>
                      <w:color w:val="auto"/>
                      <w:spacing w:val="0"/>
                      <w:sz w:val="21"/>
                      <w:szCs w:val="18"/>
                      <w:highlight w:val="none"/>
                    </w:rPr>
                  </w:pPr>
                  <w:r>
                    <w:rPr>
                      <w:rFonts w:hint="eastAsia" w:ascii="宋体" w:hAnsi="宋体" w:eastAsia="宋体" w:cs="宋体"/>
                      <w:color w:val="auto"/>
                      <w:spacing w:val="0"/>
                      <w:sz w:val="21"/>
                      <w:szCs w:val="18"/>
                      <w:highlight w:val="none"/>
                    </w:rPr>
                    <w:t>单位</w:t>
                  </w:r>
                </w:p>
              </w:tc>
              <w:tc>
                <w:tcPr>
                  <w:tcW w:w="708" w:type="pct"/>
                  <w:noWrap w:val="0"/>
                  <w:vAlign w:val="center"/>
                </w:tcPr>
                <w:p w14:paraId="110EB65A">
                  <w:pPr>
                    <w:spacing w:line="240" w:lineRule="auto"/>
                    <w:ind w:firstLine="0" w:firstLineChars="0"/>
                    <w:jc w:val="center"/>
                    <w:rPr>
                      <w:rFonts w:hint="eastAsia" w:ascii="宋体" w:hAnsi="宋体" w:eastAsia="宋体" w:cs="宋体"/>
                      <w:color w:val="auto"/>
                      <w:spacing w:val="0"/>
                      <w:sz w:val="21"/>
                      <w:szCs w:val="18"/>
                      <w:highlight w:val="none"/>
                    </w:rPr>
                  </w:pPr>
                  <w:r>
                    <w:rPr>
                      <w:rFonts w:hint="eastAsia" w:ascii="宋体" w:hAnsi="宋体" w:eastAsia="宋体" w:cs="宋体"/>
                      <w:color w:val="auto"/>
                      <w:spacing w:val="0"/>
                      <w:sz w:val="21"/>
                      <w:szCs w:val="18"/>
                      <w:highlight w:val="none"/>
                    </w:rPr>
                    <w:t>昼间</w:t>
                  </w:r>
                </w:p>
              </w:tc>
              <w:tc>
                <w:tcPr>
                  <w:tcW w:w="677" w:type="pct"/>
                  <w:noWrap w:val="0"/>
                  <w:vAlign w:val="center"/>
                </w:tcPr>
                <w:p w14:paraId="7098435B">
                  <w:pPr>
                    <w:spacing w:line="240" w:lineRule="auto"/>
                    <w:ind w:firstLine="0" w:firstLineChars="0"/>
                    <w:jc w:val="center"/>
                    <w:rPr>
                      <w:rFonts w:hint="eastAsia" w:ascii="宋体" w:hAnsi="宋体" w:eastAsia="宋体" w:cs="宋体"/>
                      <w:color w:val="auto"/>
                      <w:spacing w:val="0"/>
                      <w:sz w:val="21"/>
                      <w:szCs w:val="18"/>
                      <w:highlight w:val="none"/>
                    </w:rPr>
                  </w:pPr>
                  <w:r>
                    <w:rPr>
                      <w:rFonts w:hint="eastAsia" w:ascii="宋体" w:hAnsi="宋体" w:eastAsia="宋体" w:cs="宋体"/>
                      <w:color w:val="auto"/>
                      <w:spacing w:val="0"/>
                      <w:sz w:val="21"/>
                      <w:szCs w:val="18"/>
                      <w:highlight w:val="none"/>
                    </w:rPr>
                    <w:t>夜间</w:t>
                  </w:r>
                </w:p>
              </w:tc>
              <w:tc>
                <w:tcPr>
                  <w:tcW w:w="866" w:type="pct"/>
                  <w:noWrap w:val="0"/>
                  <w:vAlign w:val="center"/>
                </w:tcPr>
                <w:p w14:paraId="5BFD7362">
                  <w:pPr>
                    <w:spacing w:line="240" w:lineRule="auto"/>
                    <w:ind w:firstLine="0" w:firstLineChars="0"/>
                    <w:jc w:val="center"/>
                    <w:rPr>
                      <w:rFonts w:hint="eastAsia" w:ascii="宋体" w:hAnsi="宋体" w:eastAsia="宋体" w:cs="宋体"/>
                      <w:color w:val="auto"/>
                      <w:spacing w:val="0"/>
                      <w:sz w:val="21"/>
                      <w:szCs w:val="18"/>
                      <w:highlight w:val="none"/>
                    </w:rPr>
                  </w:pPr>
                  <w:r>
                    <w:rPr>
                      <w:rFonts w:hint="eastAsia" w:ascii="宋体" w:hAnsi="宋体" w:eastAsia="宋体" w:cs="宋体"/>
                      <w:color w:val="auto"/>
                      <w:spacing w:val="0"/>
                      <w:sz w:val="21"/>
                      <w:szCs w:val="18"/>
                      <w:highlight w:val="none"/>
                    </w:rPr>
                    <w:t>类别</w:t>
                  </w:r>
                </w:p>
              </w:tc>
              <w:tc>
                <w:tcPr>
                  <w:tcW w:w="1307" w:type="pct"/>
                  <w:noWrap w:val="0"/>
                  <w:vAlign w:val="center"/>
                </w:tcPr>
                <w:p w14:paraId="5D20DEDB">
                  <w:pPr>
                    <w:spacing w:line="240" w:lineRule="auto"/>
                    <w:ind w:firstLine="0" w:firstLineChars="0"/>
                    <w:jc w:val="center"/>
                    <w:rPr>
                      <w:rFonts w:hint="eastAsia" w:ascii="宋体" w:hAnsi="宋体" w:eastAsia="宋体" w:cs="宋体"/>
                      <w:color w:val="auto"/>
                      <w:spacing w:val="0"/>
                      <w:sz w:val="21"/>
                      <w:szCs w:val="18"/>
                      <w:highlight w:val="none"/>
                      <w:lang w:val="en-US" w:eastAsia="zh-CN"/>
                    </w:rPr>
                  </w:pPr>
                  <w:r>
                    <w:rPr>
                      <w:rFonts w:hint="eastAsia" w:ascii="宋体" w:hAnsi="宋体" w:eastAsia="宋体" w:cs="宋体"/>
                      <w:color w:val="auto"/>
                      <w:spacing w:val="0"/>
                      <w:sz w:val="21"/>
                      <w:szCs w:val="18"/>
                      <w:highlight w:val="none"/>
                      <w:lang w:val="en-US" w:eastAsia="zh-CN"/>
                    </w:rPr>
                    <w:t>备注</w:t>
                  </w:r>
                </w:p>
              </w:tc>
            </w:tr>
            <w:tr w14:paraId="2EE2D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78" w:hRule="exact"/>
                <w:jc w:val="center"/>
              </w:trPr>
              <w:tc>
                <w:tcPr>
                  <w:tcW w:w="853" w:type="pct"/>
                  <w:noWrap w:val="0"/>
                  <w:vAlign w:val="center"/>
                </w:tcPr>
                <w:p w14:paraId="071B4685">
                  <w:pPr>
                    <w:spacing w:line="240" w:lineRule="auto"/>
                    <w:ind w:firstLine="0" w:firstLineChars="0"/>
                    <w:jc w:val="center"/>
                    <w:rPr>
                      <w:rFonts w:hint="eastAsia" w:ascii="宋体" w:hAnsi="宋体" w:eastAsia="宋体" w:cs="宋体"/>
                      <w:bCs/>
                      <w:color w:val="auto"/>
                      <w:spacing w:val="0"/>
                      <w:kern w:val="2"/>
                      <w:sz w:val="21"/>
                      <w:szCs w:val="18"/>
                      <w:highlight w:val="none"/>
                      <w:lang w:val="en-US" w:eastAsia="zh-CN" w:bidi="ar-SA"/>
                    </w:rPr>
                  </w:pPr>
                  <w:r>
                    <w:rPr>
                      <w:rFonts w:hint="eastAsia" w:ascii="宋体" w:hAnsi="宋体" w:eastAsia="宋体" w:cs="宋体"/>
                      <w:color w:val="auto"/>
                      <w:spacing w:val="0"/>
                      <w:sz w:val="21"/>
                      <w:szCs w:val="18"/>
                      <w:highlight w:val="none"/>
                    </w:rPr>
                    <w:t>营运期</w:t>
                  </w:r>
                </w:p>
              </w:tc>
              <w:tc>
                <w:tcPr>
                  <w:tcW w:w="587" w:type="pct"/>
                  <w:noWrap w:val="0"/>
                  <w:vAlign w:val="center"/>
                </w:tcPr>
                <w:p w14:paraId="11210243">
                  <w:pPr>
                    <w:spacing w:line="240" w:lineRule="auto"/>
                    <w:ind w:firstLine="0" w:firstLineChars="0"/>
                    <w:jc w:val="center"/>
                    <w:rPr>
                      <w:rFonts w:hint="eastAsia" w:ascii="宋体" w:hAnsi="宋体" w:eastAsia="宋体" w:cs="宋体"/>
                      <w:bCs/>
                      <w:color w:val="auto"/>
                      <w:spacing w:val="0"/>
                      <w:kern w:val="2"/>
                      <w:sz w:val="21"/>
                      <w:szCs w:val="18"/>
                      <w:highlight w:val="none"/>
                      <w:lang w:val="en-US" w:eastAsia="zh-CN" w:bidi="ar-SA"/>
                    </w:rPr>
                  </w:pPr>
                  <w:r>
                    <w:rPr>
                      <w:rFonts w:hint="eastAsia" w:ascii="宋体" w:hAnsi="宋体" w:eastAsia="宋体" w:cs="宋体"/>
                      <w:color w:val="auto"/>
                      <w:spacing w:val="0"/>
                      <w:sz w:val="21"/>
                      <w:szCs w:val="18"/>
                      <w:highlight w:val="none"/>
                    </w:rPr>
                    <w:t>dB(A)</w:t>
                  </w:r>
                </w:p>
              </w:tc>
              <w:tc>
                <w:tcPr>
                  <w:tcW w:w="708" w:type="pct"/>
                  <w:noWrap w:val="0"/>
                  <w:vAlign w:val="center"/>
                </w:tcPr>
                <w:p w14:paraId="5621C1C2">
                  <w:pPr>
                    <w:spacing w:line="240" w:lineRule="auto"/>
                    <w:ind w:firstLine="0" w:firstLineChars="0"/>
                    <w:jc w:val="center"/>
                    <w:rPr>
                      <w:rFonts w:hint="default" w:ascii="宋体" w:hAnsi="宋体" w:eastAsia="宋体" w:cs="宋体"/>
                      <w:color w:val="auto"/>
                      <w:spacing w:val="0"/>
                      <w:sz w:val="21"/>
                      <w:szCs w:val="18"/>
                      <w:highlight w:val="none"/>
                      <w:lang w:val="en-US" w:eastAsia="zh-CN"/>
                    </w:rPr>
                  </w:pPr>
                  <w:r>
                    <w:rPr>
                      <w:rFonts w:hint="eastAsia" w:cs="宋体"/>
                      <w:color w:val="auto"/>
                      <w:spacing w:val="0"/>
                      <w:sz w:val="21"/>
                      <w:szCs w:val="18"/>
                      <w:highlight w:val="none"/>
                      <w:lang w:val="en-US" w:eastAsia="zh-CN"/>
                    </w:rPr>
                    <w:t>65</w:t>
                  </w:r>
                </w:p>
              </w:tc>
              <w:tc>
                <w:tcPr>
                  <w:tcW w:w="677" w:type="pct"/>
                  <w:noWrap w:val="0"/>
                  <w:vAlign w:val="center"/>
                </w:tcPr>
                <w:p w14:paraId="6CC5A4D2">
                  <w:pPr>
                    <w:spacing w:line="240" w:lineRule="auto"/>
                    <w:ind w:firstLine="0" w:firstLineChars="0"/>
                    <w:jc w:val="center"/>
                    <w:rPr>
                      <w:rFonts w:hint="eastAsia" w:ascii="宋体" w:hAnsi="宋体" w:eastAsia="宋体" w:cs="宋体"/>
                      <w:color w:val="auto"/>
                      <w:spacing w:val="0"/>
                      <w:sz w:val="21"/>
                      <w:szCs w:val="18"/>
                      <w:highlight w:val="none"/>
                      <w:lang w:val="en-US" w:eastAsia="zh-CN"/>
                    </w:rPr>
                  </w:pPr>
                  <w:r>
                    <w:rPr>
                      <w:rFonts w:hint="eastAsia" w:ascii="宋体" w:hAnsi="宋体" w:eastAsia="宋体" w:cs="宋体"/>
                      <w:color w:val="auto"/>
                      <w:spacing w:val="0"/>
                      <w:sz w:val="21"/>
                      <w:szCs w:val="18"/>
                      <w:highlight w:val="none"/>
                      <w:lang w:val="en-US" w:eastAsia="zh-CN"/>
                    </w:rPr>
                    <w:t>55</w:t>
                  </w:r>
                </w:p>
              </w:tc>
              <w:tc>
                <w:tcPr>
                  <w:tcW w:w="866" w:type="pct"/>
                  <w:noWrap w:val="0"/>
                  <w:vAlign w:val="center"/>
                </w:tcPr>
                <w:p w14:paraId="4F0402CE">
                  <w:pPr>
                    <w:spacing w:line="240" w:lineRule="auto"/>
                    <w:ind w:firstLine="0" w:firstLineChars="0"/>
                    <w:jc w:val="center"/>
                    <w:rPr>
                      <w:rFonts w:hint="eastAsia" w:ascii="宋体" w:hAnsi="宋体" w:eastAsia="宋体" w:cs="宋体"/>
                      <w:color w:val="auto"/>
                      <w:spacing w:val="0"/>
                      <w:sz w:val="21"/>
                      <w:szCs w:val="18"/>
                      <w:highlight w:val="none"/>
                      <w:lang w:val="en-US" w:eastAsia="zh-CN"/>
                    </w:rPr>
                  </w:pPr>
                  <w:r>
                    <w:rPr>
                      <w:rFonts w:hint="eastAsia" w:cs="宋体"/>
                      <w:color w:val="auto"/>
                      <w:spacing w:val="0"/>
                      <w:sz w:val="21"/>
                      <w:szCs w:val="18"/>
                      <w:highlight w:val="none"/>
                      <w:lang w:val="en-US" w:eastAsia="zh-CN"/>
                    </w:rPr>
                    <w:t>3</w:t>
                  </w:r>
                  <w:r>
                    <w:rPr>
                      <w:rFonts w:hint="eastAsia" w:ascii="宋体" w:hAnsi="宋体" w:eastAsia="宋体" w:cs="宋体"/>
                      <w:color w:val="auto"/>
                      <w:spacing w:val="0"/>
                      <w:sz w:val="21"/>
                      <w:szCs w:val="18"/>
                      <w:highlight w:val="none"/>
                      <w:lang w:val="en-US" w:eastAsia="zh-CN"/>
                    </w:rPr>
                    <w:t>类</w:t>
                  </w:r>
                </w:p>
              </w:tc>
              <w:tc>
                <w:tcPr>
                  <w:tcW w:w="1307" w:type="pct"/>
                  <w:noWrap w:val="0"/>
                  <w:vAlign w:val="center"/>
                </w:tcPr>
                <w:p w14:paraId="155D1A70">
                  <w:pPr>
                    <w:spacing w:line="240" w:lineRule="auto"/>
                    <w:ind w:firstLine="0" w:firstLineChars="0"/>
                    <w:jc w:val="center"/>
                    <w:rPr>
                      <w:rFonts w:hint="eastAsia"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厂界四</w:t>
                  </w:r>
                  <w:r>
                    <w:rPr>
                      <w:rFonts w:hint="eastAsia" w:ascii="宋体" w:hAnsi="宋体" w:eastAsia="宋体" w:cs="宋体"/>
                      <w:color w:val="auto"/>
                      <w:spacing w:val="0"/>
                      <w:sz w:val="21"/>
                      <w:szCs w:val="21"/>
                      <w:highlight w:val="none"/>
                      <w:lang w:val="en-US" w:eastAsia="zh-CN"/>
                    </w:rPr>
                    <w:t>侧</w:t>
                  </w:r>
                </w:p>
              </w:tc>
            </w:tr>
          </w:tbl>
          <w:p w14:paraId="0D577CBF">
            <w:pPr>
              <w:numPr>
                <w:ilvl w:val="0"/>
                <w:numId w:val="0"/>
              </w:numPr>
              <w:ind w:left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3.</w:t>
            </w:r>
            <w:r>
              <w:rPr>
                <w:rFonts w:hint="eastAsia" w:ascii="宋体" w:hAnsi="宋体" w:eastAsia="宋体" w:cs="宋体"/>
                <w:b/>
                <w:bCs w:val="0"/>
                <w:color w:val="auto"/>
                <w:spacing w:val="0"/>
                <w:sz w:val="24"/>
                <w:szCs w:val="24"/>
                <w:highlight w:val="none"/>
                <w:lang w:val="en-US" w:eastAsia="zh-CN"/>
              </w:rPr>
              <w:t>废水</w:t>
            </w:r>
          </w:p>
          <w:p w14:paraId="770E6DD4">
            <w:pPr>
              <w:pStyle w:val="82"/>
              <w:keepNext w:val="0"/>
              <w:keepLines w:val="0"/>
              <w:pageBreakBefore w:val="0"/>
              <w:widowControl w:val="0"/>
              <w:kinsoku/>
              <w:wordWrap/>
              <w:overflowPunct/>
              <w:topLinePunct w:val="0"/>
              <w:autoSpaceDE/>
              <w:autoSpaceDN/>
              <w:bidi w:val="0"/>
              <w:adjustRightInd w:val="0"/>
              <w:snapToGrid w:val="0"/>
              <w:spacing w:line="360" w:lineRule="auto"/>
              <w:ind w:firstLine="420"/>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lang w:val="en-US" w:eastAsia="zh-CN"/>
              </w:rPr>
              <w:t>运营期锅炉排污水</w:t>
            </w:r>
            <w:r>
              <w:rPr>
                <w:rFonts w:hint="eastAsia" w:ascii="宋体" w:hAnsi="宋体" w:cs="宋体"/>
                <w:color w:val="auto"/>
                <w:spacing w:val="0"/>
                <w:sz w:val="24"/>
                <w:szCs w:val="24"/>
                <w:highlight w:val="none"/>
                <w:lang w:val="en-US" w:eastAsia="zh-CN"/>
              </w:rPr>
              <w:t>和软水制备废水排放至污水管网</w:t>
            </w:r>
            <w:r>
              <w:rPr>
                <w:rFonts w:hint="eastAsia" w:ascii="宋体" w:hAnsi="宋体" w:eastAsia="宋体" w:cs="宋体"/>
                <w:color w:val="auto"/>
                <w:spacing w:val="0"/>
                <w:sz w:val="24"/>
                <w:szCs w:val="24"/>
                <w:highlight w:val="none"/>
              </w:rPr>
              <w:t>，</w:t>
            </w:r>
            <w:r>
              <w:rPr>
                <w:rFonts w:hint="eastAsia" w:ascii="宋体" w:hAnsi="宋体" w:eastAsia="宋体" w:cs="宋体"/>
                <w:color w:val="auto"/>
                <w:spacing w:val="0"/>
                <w:sz w:val="24"/>
                <w:szCs w:val="24"/>
                <w:highlight w:val="none"/>
                <w:lang w:val="en-US" w:eastAsia="zh-CN"/>
              </w:rPr>
              <w:t>在满足</w:t>
            </w:r>
            <w:r>
              <w:rPr>
                <w:rFonts w:hint="eastAsia" w:ascii="宋体" w:hAnsi="宋体" w:eastAsia="宋体" w:cs="宋体"/>
                <w:color w:val="auto"/>
                <w:spacing w:val="0"/>
                <w:sz w:val="24"/>
                <w:szCs w:val="24"/>
                <w:highlight w:val="none"/>
                <w:lang w:eastAsia="zh-CN"/>
              </w:rPr>
              <w:t>《污水综合排放标准》（GB8978-1996）</w:t>
            </w:r>
            <w:r>
              <w:rPr>
                <w:rFonts w:hint="eastAsia" w:ascii="宋体" w:hAnsi="宋体" w:eastAsia="宋体" w:cs="宋体"/>
                <w:color w:val="auto"/>
                <w:spacing w:val="0"/>
                <w:sz w:val="24"/>
                <w:szCs w:val="24"/>
                <w:highlight w:val="none"/>
              </w:rPr>
              <w:t>表4中三级标准</w:t>
            </w:r>
            <w:r>
              <w:rPr>
                <w:rFonts w:hint="eastAsia" w:ascii="宋体" w:hAnsi="宋体" w:eastAsia="宋体" w:cs="宋体"/>
                <w:color w:val="auto"/>
                <w:spacing w:val="0"/>
                <w:sz w:val="24"/>
                <w:szCs w:val="24"/>
                <w:highlight w:val="none"/>
                <w:lang w:eastAsia="zh-CN"/>
              </w:rPr>
              <w:t>的</w:t>
            </w:r>
            <w:r>
              <w:rPr>
                <w:rFonts w:hint="eastAsia" w:ascii="宋体" w:hAnsi="宋体" w:eastAsia="宋体" w:cs="宋体"/>
                <w:color w:val="auto"/>
                <w:spacing w:val="0"/>
                <w:sz w:val="24"/>
                <w:szCs w:val="24"/>
                <w:highlight w:val="none"/>
                <w:lang w:val="en-US" w:eastAsia="zh-CN"/>
              </w:rPr>
              <w:t>情况下，还应满足</w:t>
            </w:r>
            <w:r>
              <w:rPr>
                <w:rFonts w:hint="eastAsia" w:ascii="宋体" w:hAnsi="宋体" w:cs="宋体"/>
                <w:color w:val="auto"/>
                <w:spacing w:val="0"/>
                <w:sz w:val="24"/>
                <w:szCs w:val="24"/>
                <w:highlight w:val="none"/>
                <w:lang w:val="en-US" w:eastAsia="zh-CN"/>
              </w:rPr>
              <w:t>梨树工业谷污水处理厂</w:t>
            </w:r>
            <w:r>
              <w:rPr>
                <w:rFonts w:hint="eastAsia" w:ascii="宋体" w:hAnsi="宋体" w:eastAsia="宋体" w:cs="宋体"/>
                <w:color w:val="auto"/>
                <w:spacing w:val="0"/>
                <w:sz w:val="24"/>
                <w:szCs w:val="24"/>
                <w:highlight w:val="none"/>
                <w:lang w:val="en-US" w:eastAsia="zh-CN"/>
              </w:rPr>
              <w:t>纳管标准。</w:t>
            </w:r>
            <w:r>
              <w:rPr>
                <w:rFonts w:hint="default" w:ascii="Times New Roman" w:hAnsi="Times New Roman" w:eastAsia="宋体" w:cs="Times New Roman"/>
                <w:color w:val="auto"/>
                <w:sz w:val="24"/>
                <w:szCs w:val="24"/>
                <w:highlight w:val="none"/>
                <w:lang w:val="en-US" w:eastAsia="zh-CN"/>
              </w:rPr>
              <w:t>根据梨树工业谷污水处理厂设计资料，规划园区内各厂区污水需要处理达到《污水排入城镇下水道水质标准》（GB/T31962-2015）中B等级标准后方能排入污水处理厂进行集中处理</w:t>
            </w:r>
            <w:r>
              <w:rPr>
                <w:rFonts w:hint="eastAsia" w:ascii="宋体" w:hAnsi="宋体" w:eastAsia="宋体" w:cs="宋体"/>
                <w:color w:val="auto"/>
                <w:spacing w:val="0"/>
                <w:sz w:val="24"/>
                <w:szCs w:val="24"/>
                <w:highlight w:val="none"/>
              </w:rPr>
              <w:t>。</w:t>
            </w:r>
          </w:p>
          <w:p w14:paraId="4D78A227">
            <w:pPr>
              <w:pStyle w:val="118"/>
              <w:keepNext/>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宋体" w:hAnsi="宋体" w:eastAsia="宋体" w:cs="宋体"/>
                <w:color w:val="auto"/>
                <w:spacing w:val="0"/>
                <w:highlight w:val="none"/>
                <w:lang w:val="en-US" w:eastAsia="zh-CN"/>
              </w:rPr>
            </w:pPr>
            <w:r>
              <w:rPr>
                <w:rFonts w:hint="eastAsia" w:ascii="宋体" w:hAnsi="宋体" w:eastAsia="宋体" w:cs="宋体"/>
                <w:color w:val="auto"/>
                <w:spacing w:val="0"/>
                <w:sz w:val="21"/>
                <w:szCs w:val="21"/>
                <w:highlight w:val="none"/>
              </w:rPr>
              <w:t>表</w:t>
            </w:r>
            <w:r>
              <w:rPr>
                <w:rFonts w:hint="default" w:ascii="Times New Roman" w:hAnsi="Times New Roman" w:eastAsia="宋体" w:cs="Times New Roman"/>
                <w:color w:val="auto"/>
                <w:spacing w:val="0"/>
                <w:sz w:val="21"/>
                <w:szCs w:val="21"/>
                <w:highlight w:val="none"/>
              </w:rPr>
              <w:t>3-</w:t>
            </w:r>
            <w:r>
              <w:rPr>
                <w:rFonts w:hint="eastAsia" w:ascii="Times New Roman" w:hAnsi="Times New Roman" w:eastAsia="宋体" w:cs="Times New Roman"/>
                <w:color w:val="auto"/>
                <w:spacing w:val="0"/>
                <w:sz w:val="21"/>
                <w:szCs w:val="21"/>
                <w:highlight w:val="none"/>
                <w:lang w:val="en-US" w:eastAsia="zh-CN"/>
              </w:rPr>
              <w:t>9</w:t>
            </w:r>
            <w:r>
              <w:rPr>
                <w:rFonts w:hint="eastAsia" w:eastAsia="宋体" w:cs="宋体"/>
                <w:color w:val="auto"/>
                <w:spacing w:val="0"/>
                <w:sz w:val="21"/>
                <w:szCs w:val="21"/>
                <w:highlight w:val="none"/>
                <w:lang w:val="en-US" w:eastAsia="zh-CN"/>
              </w:rPr>
              <w:t>本项目废水执行标准限值</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6"/>
              <w:gridCol w:w="1650"/>
              <w:gridCol w:w="1617"/>
              <w:gridCol w:w="1883"/>
              <w:gridCol w:w="1475"/>
            </w:tblGrid>
            <w:tr w14:paraId="2A9012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1146" w:type="dxa"/>
                  <w:noWrap w:val="0"/>
                  <w:vAlign w:val="center"/>
                </w:tcPr>
                <w:p w14:paraId="0E919AD4">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val="0"/>
                      <w:color w:val="auto"/>
                      <w:spacing w:val="0"/>
                      <w:sz w:val="21"/>
                      <w:szCs w:val="21"/>
                      <w:highlight w:val="none"/>
                    </w:rPr>
                  </w:pPr>
                  <w:r>
                    <w:rPr>
                      <w:rFonts w:hint="eastAsia" w:ascii="宋体" w:hAnsi="宋体" w:eastAsia="宋体" w:cs="宋体"/>
                      <w:b/>
                      <w:bCs w:val="0"/>
                      <w:color w:val="auto"/>
                      <w:spacing w:val="0"/>
                      <w:sz w:val="21"/>
                      <w:szCs w:val="21"/>
                      <w:highlight w:val="none"/>
                    </w:rPr>
                    <w:t>序号</w:t>
                  </w:r>
                </w:p>
              </w:tc>
              <w:tc>
                <w:tcPr>
                  <w:tcW w:w="1650" w:type="dxa"/>
                  <w:noWrap w:val="0"/>
                  <w:vAlign w:val="center"/>
                </w:tcPr>
                <w:p w14:paraId="45EDF2C6">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val="0"/>
                      <w:color w:val="auto"/>
                      <w:spacing w:val="0"/>
                      <w:sz w:val="21"/>
                      <w:szCs w:val="21"/>
                      <w:highlight w:val="none"/>
                    </w:rPr>
                  </w:pPr>
                  <w:r>
                    <w:rPr>
                      <w:rFonts w:hint="eastAsia" w:ascii="宋体" w:hAnsi="宋体" w:eastAsia="宋体" w:cs="宋体"/>
                      <w:b/>
                      <w:bCs w:val="0"/>
                      <w:color w:val="auto"/>
                      <w:spacing w:val="0"/>
                      <w:sz w:val="21"/>
                      <w:szCs w:val="21"/>
                      <w:highlight w:val="none"/>
                    </w:rPr>
                    <w:t>控制项目</w:t>
                  </w:r>
                </w:p>
              </w:tc>
              <w:tc>
                <w:tcPr>
                  <w:tcW w:w="1617" w:type="dxa"/>
                  <w:noWrap w:val="0"/>
                  <w:vAlign w:val="center"/>
                </w:tcPr>
                <w:p w14:paraId="19996786">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val="0"/>
                      <w:color w:val="auto"/>
                      <w:spacing w:val="0"/>
                      <w:sz w:val="21"/>
                      <w:szCs w:val="21"/>
                      <w:highlight w:val="none"/>
                    </w:rPr>
                  </w:pPr>
                  <w:r>
                    <w:rPr>
                      <w:rFonts w:hint="eastAsia" w:ascii="宋体" w:hAnsi="宋体" w:eastAsia="宋体" w:cs="宋体"/>
                      <w:b/>
                      <w:bCs w:val="0"/>
                      <w:color w:val="auto"/>
                      <w:spacing w:val="0"/>
                      <w:sz w:val="21"/>
                      <w:szCs w:val="21"/>
                      <w:highlight w:val="none"/>
                      <w:lang w:eastAsia="zh-CN"/>
                    </w:rPr>
                    <w:t>《污水综合排放标准》（GB8978-1996）</w:t>
                  </w:r>
                  <w:r>
                    <w:rPr>
                      <w:rFonts w:hint="eastAsia" w:ascii="宋体" w:hAnsi="宋体" w:eastAsia="宋体" w:cs="宋体"/>
                      <w:b/>
                      <w:bCs w:val="0"/>
                      <w:color w:val="auto"/>
                      <w:spacing w:val="0"/>
                      <w:sz w:val="21"/>
                      <w:szCs w:val="21"/>
                      <w:highlight w:val="none"/>
                    </w:rPr>
                    <w:t>标准值mg/L</w:t>
                  </w:r>
                </w:p>
              </w:tc>
              <w:tc>
                <w:tcPr>
                  <w:tcW w:w="1883" w:type="dxa"/>
                  <w:noWrap w:val="0"/>
                  <w:vAlign w:val="center"/>
                </w:tcPr>
                <w:p w14:paraId="68D1D7B7">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val="0"/>
                      <w:color w:val="auto"/>
                      <w:spacing w:val="0"/>
                      <w:sz w:val="21"/>
                      <w:szCs w:val="21"/>
                      <w:highlight w:val="none"/>
                      <w:lang w:eastAsia="zh-CN"/>
                    </w:rPr>
                  </w:pPr>
                  <w:r>
                    <w:rPr>
                      <w:rFonts w:hint="eastAsia" w:ascii="宋体" w:hAnsi="宋体" w:eastAsia="宋体" w:cs="宋体"/>
                      <w:b/>
                      <w:bCs w:val="0"/>
                      <w:color w:val="auto"/>
                      <w:spacing w:val="0"/>
                      <w:sz w:val="21"/>
                      <w:szCs w:val="21"/>
                      <w:highlight w:val="none"/>
                      <w:lang w:val="en-US" w:eastAsia="zh-CN"/>
                    </w:rPr>
                    <w:t>《污水排入城镇下水道水质标准》（GB/T31962-2015）中B等级标准</w:t>
                  </w:r>
                </w:p>
              </w:tc>
              <w:tc>
                <w:tcPr>
                  <w:tcW w:w="1475" w:type="dxa"/>
                  <w:noWrap w:val="0"/>
                  <w:vAlign w:val="center"/>
                </w:tcPr>
                <w:p w14:paraId="34D696E6">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
                      <w:bCs w:val="0"/>
                      <w:color w:val="auto"/>
                      <w:spacing w:val="0"/>
                      <w:sz w:val="21"/>
                      <w:szCs w:val="21"/>
                      <w:highlight w:val="none"/>
                      <w:lang w:val="en-US" w:eastAsia="zh-CN"/>
                    </w:rPr>
                  </w:pPr>
                  <w:r>
                    <w:rPr>
                      <w:rFonts w:hint="eastAsia" w:cs="宋体"/>
                      <w:b/>
                      <w:bCs w:val="0"/>
                      <w:color w:val="auto"/>
                      <w:spacing w:val="0"/>
                      <w:sz w:val="21"/>
                      <w:szCs w:val="21"/>
                      <w:highlight w:val="none"/>
                      <w:lang w:val="en-US" w:eastAsia="zh-CN"/>
                    </w:rPr>
                    <w:t>本项目执行限值</w:t>
                  </w:r>
                </w:p>
              </w:tc>
            </w:tr>
            <w:tr w14:paraId="5C6F5C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6" w:type="dxa"/>
                  <w:noWrap w:val="0"/>
                  <w:vAlign w:val="center"/>
                </w:tcPr>
                <w:p w14:paraId="62BC443D">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1</w:t>
                  </w:r>
                </w:p>
              </w:tc>
              <w:tc>
                <w:tcPr>
                  <w:tcW w:w="1650" w:type="dxa"/>
                  <w:noWrap w:val="0"/>
                  <w:vAlign w:val="center"/>
                </w:tcPr>
                <w:p w14:paraId="14A1AE6E">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悬浮物</w:t>
                  </w:r>
                </w:p>
              </w:tc>
              <w:tc>
                <w:tcPr>
                  <w:tcW w:w="1617" w:type="dxa"/>
                  <w:noWrap w:val="0"/>
                  <w:vAlign w:val="center"/>
                </w:tcPr>
                <w:p w14:paraId="4BFC23F5">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400</w:t>
                  </w:r>
                </w:p>
              </w:tc>
              <w:tc>
                <w:tcPr>
                  <w:tcW w:w="1883" w:type="dxa"/>
                  <w:noWrap w:val="0"/>
                  <w:vAlign w:val="center"/>
                </w:tcPr>
                <w:p w14:paraId="2413939E">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400</w:t>
                  </w:r>
                </w:p>
              </w:tc>
              <w:tc>
                <w:tcPr>
                  <w:tcW w:w="1475" w:type="dxa"/>
                  <w:noWrap w:val="0"/>
                  <w:vAlign w:val="center"/>
                </w:tcPr>
                <w:p w14:paraId="50FAB89D">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400</w:t>
                  </w:r>
                </w:p>
              </w:tc>
            </w:tr>
            <w:tr w14:paraId="397916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6" w:type="dxa"/>
                  <w:noWrap w:val="0"/>
                  <w:vAlign w:val="center"/>
                </w:tcPr>
                <w:p w14:paraId="685002ED">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2</w:t>
                  </w:r>
                </w:p>
              </w:tc>
              <w:tc>
                <w:tcPr>
                  <w:tcW w:w="1650" w:type="dxa"/>
                  <w:noWrap w:val="0"/>
                  <w:vAlign w:val="center"/>
                </w:tcPr>
                <w:p w14:paraId="1A2EA97A">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eastAsia="zh-CN"/>
                    </w:rPr>
                  </w:pPr>
                  <w:r>
                    <w:rPr>
                      <w:rFonts w:hint="eastAsia" w:ascii="宋体" w:hAnsi="宋体" w:eastAsia="宋体" w:cs="宋体"/>
                      <w:color w:val="auto"/>
                      <w:spacing w:val="0"/>
                      <w:sz w:val="21"/>
                      <w:szCs w:val="21"/>
                      <w:highlight w:val="none"/>
                      <w:lang w:val="en-US" w:eastAsia="zh-CN"/>
                    </w:rPr>
                    <w:t>氨氮</w:t>
                  </w:r>
                </w:p>
              </w:tc>
              <w:tc>
                <w:tcPr>
                  <w:tcW w:w="1617" w:type="dxa"/>
                  <w:noWrap w:val="0"/>
                  <w:vAlign w:val="center"/>
                </w:tcPr>
                <w:p w14:paraId="5FABD1B5">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w:t>
                  </w:r>
                </w:p>
              </w:tc>
              <w:tc>
                <w:tcPr>
                  <w:tcW w:w="1883" w:type="dxa"/>
                  <w:noWrap w:val="0"/>
                  <w:vAlign w:val="center"/>
                </w:tcPr>
                <w:p w14:paraId="4087DFF0">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宋体"/>
                      <w:color w:val="auto"/>
                      <w:spacing w:val="0"/>
                      <w:sz w:val="21"/>
                      <w:szCs w:val="21"/>
                      <w:highlight w:val="none"/>
                      <w:lang w:val="en-US" w:eastAsia="zh-CN"/>
                    </w:rPr>
                  </w:pPr>
                  <w:r>
                    <w:rPr>
                      <w:rFonts w:hint="eastAsia" w:cs="宋体"/>
                      <w:color w:val="auto"/>
                      <w:spacing w:val="0"/>
                      <w:sz w:val="21"/>
                      <w:szCs w:val="21"/>
                      <w:highlight w:val="none"/>
                      <w:lang w:val="en-US" w:eastAsia="zh-CN"/>
                    </w:rPr>
                    <w:t>45</w:t>
                  </w:r>
                </w:p>
              </w:tc>
              <w:tc>
                <w:tcPr>
                  <w:tcW w:w="1475" w:type="dxa"/>
                  <w:noWrap w:val="0"/>
                  <w:vAlign w:val="center"/>
                </w:tcPr>
                <w:p w14:paraId="6DF160A2">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宋体"/>
                      <w:color w:val="auto"/>
                      <w:spacing w:val="0"/>
                      <w:sz w:val="21"/>
                      <w:szCs w:val="21"/>
                      <w:highlight w:val="none"/>
                      <w:lang w:val="en-US" w:eastAsia="zh-CN"/>
                    </w:rPr>
                  </w:pPr>
                  <w:r>
                    <w:rPr>
                      <w:rFonts w:hint="eastAsia" w:cs="宋体"/>
                      <w:color w:val="auto"/>
                      <w:spacing w:val="0"/>
                      <w:sz w:val="21"/>
                      <w:szCs w:val="21"/>
                      <w:highlight w:val="none"/>
                      <w:lang w:val="en-US" w:eastAsia="zh-CN"/>
                    </w:rPr>
                    <w:t>45</w:t>
                  </w:r>
                </w:p>
              </w:tc>
            </w:tr>
            <w:tr w14:paraId="6FA604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6" w:type="dxa"/>
                  <w:noWrap w:val="0"/>
                  <w:vAlign w:val="center"/>
                </w:tcPr>
                <w:p w14:paraId="791D3221">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3</w:t>
                  </w:r>
                </w:p>
              </w:tc>
              <w:tc>
                <w:tcPr>
                  <w:tcW w:w="1650" w:type="dxa"/>
                  <w:noWrap w:val="0"/>
                  <w:vAlign w:val="center"/>
                </w:tcPr>
                <w:p w14:paraId="67F46545">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化学需氧量</w:t>
                  </w:r>
                </w:p>
              </w:tc>
              <w:tc>
                <w:tcPr>
                  <w:tcW w:w="1617" w:type="dxa"/>
                  <w:noWrap w:val="0"/>
                  <w:vAlign w:val="center"/>
                </w:tcPr>
                <w:p w14:paraId="15CB3A62">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500</w:t>
                  </w:r>
                </w:p>
              </w:tc>
              <w:tc>
                <w:tcPr>
                  <w:tcW w:w="1883" w:type="dxa"/>
                  <w:noWrap w:val="0"/>
                  <w:vAlign w:val="center"/>
                </w:tcPr>
                <w:p w14:paraId="1EAC6DF0">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500</w:t>
                  </w:r>
                </w:p>
              </w:tc>
              <w:tc>
                <w:tcPr>
                  <w:tcW w:w="1475" w:type="dxa"/>
                  <w:noWrap w:val="0"/>
                  <w:vAlign w:val="center"/>
                </w:tcPr>
                <w:p w14:paraId="3820BF67">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500</w:t>
                  </w:r>
                </w:p>
              </w:tc>
            </w:tr>
            <w:tr w14:paraId="0CB5AB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6" w:type="dxa"/>
                  <w:noWrap w:val="0"/>
                  <w:vAlign w:val="center"/>
                </w:tcPr>
                <w:p w14:paraId="2BBFD61F">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4</w:t>
                  </w:r>
                </w:p>
              </w:tc>
              <w:tc>
                <w:tcPr>
                  <w:tcW w:w="1650" w:type="dxa"/>
                  <w:noWrap w:val="0"/>
                  <w:vAlign w:val="center"/>
                </w:tcPr>
                <w:p w14:paraId="0E15316A">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pH</w:t>
                  </w:r>
                </w:p>
              </w:tc>
              <w:tc>
                <w:tcPr>
                  <w:tcW w:w="1617" w:type="dxa"/>
                  <w:noWrap w:val="0"/>
                  <w:vAlign w:val="center"/>
                </w:tcPr>
                <w:p w14:paraId="45B59ED0">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6-9</w:t>
                  </w:r>
                </w:p>
              </w:tc>
              <w:tc>
                <w:tcPr>
                  <w:tcW w:w="1883" w:type="dxa"/>
                  <w:noWrap w:val="0"/>
                  <w:vAlign w:val="center"/>
                </w:tcPr>
                <w:p w14:paraId="33D67E5A">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宋体"/>
                      <w:color w:val="auto"/>
                      <w:spacing w:val="0"/>
                      <w:sz w:val="21"/>
                      <w:szCs w:val="21"/>
                      <w:highlight w:val="none"/>
                      <w:lang w:val="en-US" w:eastAsia="zh-CN"/>
                    </w:rPr>
                  </w:pPr>
                  <w:r>
                    <w:rPr>
                      <w:rFonts w:hint="eastAsia" w:cs="宋体"/>
                      <w:color w:val="auto"/>
                      <w:spacing w:val="0"/>
                      <w:sz w:val="21"/>
                      <w:szCs w:val="21"/>
                      <w:highlight w:val="none"/>
                      <w:lang w:val="en-US" w:eastAsia="zh-CN"/>
                    </w:rPr>
                    <w:t>6.5-9.5</w:t>
                  </w:r>
                </w:p>
              </w:tc>
              <w:tc>
                <w:tcPr>
                  <w:tcW w:w="1475" w:type="dxa"/>
                  <w:noWrap w:val="0"/>
                  <w:vAlign w:val="center"/>
                </w:tcPr>
                <w:p w14:paraId="3F4BDC93">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宋体"/>
                      <w:color w:val="auto"/>
                      <w:spacing w:val="0"/>
                      <w:sz w:val="21"/>
                      <w:szCs w:val="21"/>
                      <w:highlight w:val="none"/>
                      <w:lang w:val="en-US" w:eastAsia="zh-CN"/>
                    </w:rPr>
                  </w:pPr>
                  <w:r>
                    <w:rPr>
                      <w:rFonts w:hint="eastAsia" w:cs="宋体"/>
                      <w:color w:val="auto"/>
                      <w:spacing w:val="0"/>
                      <w:sz w:val="21"/>
                      <w:szCs w:val="21"/>
                      <w:highlight w:val="none"/>
                      <w:lang w:val="en-US" w:eastAsia="zh-CN"/>
                    </w:rPr>
                    <w:t>6-9</w:t>
                  </w:r>
                </w:p>
              </w:tc>
            </w:tr>
            <w:tr w14:paraId="261689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6" w:type="dxa"/>
                  <w:noWrap w:val="0"/>
                  <w:vAlign w:val="center"/>
                </w:tcPr>
                <w:p w14:paraId="6FDC5175">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5</w:t>
                  </w:r>
                </w:p>
              </w:tc>
              <w:tc>
                <w:tcPr>
                  <w:tcW w:w="1650" w:type="dxa"/>
                  <w:noWrap w:val="0"/>
                  <w:vAlign w:val="center"/>
                </w:tcPr>
                <w:p w14:paraId="1585C7BC">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五日生化需氧量</w:t>
                  </w:r>
                </w:p>
              </w:tc>
              <w:tc>
                <w:tcPr>
                  <w:tcW w:w="1617" w:type="dxa"/>
                  <w:noWrap w:val="0"/>
                  <w:vAlign w:val="center"/>
                </w:tcPr>
                <w:p w14:paraId="2F4FA0AD">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300</w:t>
                  </w:r>
                </w:p>
              </w:tc>
              <w:tc>
                <w:tcPr>
                  <w:tcW w:w="1883" w:type="dxa"/>
                  <w:noWrap w:val="0"/>
                  <w:vAlign w:val="center"/>
                </w:tcPr>
                <w:p w14:paraId="71A15A38">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350</w:t>
                  </w:r>
                </w:p>
              </w:tc>
              <w:tc>
                <w:tcPr>
                  <w:tcW w:w="1475" w:type="dxa"/>
                  <w:noWrap w:val="0"/>
                  <w:vAlign w:val="center"/>
                </w:tcPr>
                <w:p w14:paraId="373A3157">
                  <w:pPr>
                    <w:pStyle w:val="11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300</w:t>
                  </w:r>
                </w:p>
              </w:tc>
            </w:tr>
            <w:tr w14:paraId="41A454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6" w:type="dxa"/>
                  <w:noWrap w:val="0"/>
                  <w:vAlign w:val="center"/>
                </w:tcPr>
                <w:p w14:paraId="267E1AC6">
                  <w:pPr>
                    <w:spacing w:line="240" w:lineRule="auto"/>
                    <w:ind w:firstLine="0" w:firstLineChars="0"/>
                    <w:jc w:val="center"/>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rPr>
                    <w:t>6</w:t>
                  </w:r>
                </w:p>
              </w:tc>
              <w:tc>
                <w:tcPr>
                  <w:tcW w:w="1650" w:type="dxa"/>
                  <w:noWrap w:val="0"/>
                  <w:vAlign w:val="center"/>
                </w:tcPr>
                <w:p w14:paraId="2D9C8017">
                  <w:pPr>
                    <w:pStyle w:val="131"/>
                    <w:spacing w:line="240" w:lineRule="auto"/>
                    <w:jc w:val="center"/>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rPr>
                    <w:t>TN</w:t>
                  </w:r>
                </w:p>
              </w:tc>
              <w:tc>
                <w:tcPr>
                  <w:tcW w:w="1617" w:type="dxa"/>
                  <w:noWrap w:val="0"/>
                  <w:vAlign w:val="center"/>
                </w:tcPr>
                <w:p w14:paraId="065A7FFE">
                  <w:pPr>
                    <w:pStyle w:val="102"/>
                    <w:spacing w:line="240" w:lineRule="auto"/>
                    <w:jc w:val="center"/>
                    <w:rPr>
                      <w:rFonts w:hint="default" w:ascii="宋体" w:hAnsi="宋体" w:eastAsia="宋体" w:cs="宋体"/>
                      <w:color w:val="auto"/>
                      <w:spacing w:val="0"/>
                      <w:sz w:val="21"/>
                      <w:szCs w:val="21"/>
                      <w:highlight w:val="none"/>
                      <w:lang w:val="en-US" w:eastAsia="zh-CN"/>
                    </w:rPr>
                  </w:pPr>
                  <w:r>
                    <w:rPr>
                      <w:rFonts w:hint="eastAsia" w:ascii="宋体" w:hAnsi="宋体" w:cs="宋体"/>
                      <w:color w:val="auto"/>
                      <w:spacing w:val="0"/>
                      <w:sz w:val="21"/>
                      <w:szCs w:val="21"/>
                      <w:highlight w:val="none"/>
                      <w:lang w:val="en-US" w:eastAsia="zh-CN"/>
                    </w:rPr>
                    <w:t>/</w:t>
                  </w:r>
                </w:p>
              </w:tc>
              <w:tc>
                <w:tcPr>
                  <w:tcW w:w="1883" w:type="dxa"/>
                  <w:noWrap w:val="0"/>
                  <w:vAlign w:val="center"/>
                </w:tcPr>
                <w:p w14:paraId="6B5FE0A8">
                  <w:pPr>
                    <w:pStyle w:val="102"/>
                    <w:spacing w:line="240" w:lineRule="auto"/>
                    <w:jc w:val="center"/>
                    <w:rPr>
                      <w:rFonts w:hint="default"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70</w:t>
                  </w:r>
                </w:p>
              </w:tc>
              <w:tc>
                <w:tcPr>
                  <w:tcW w:w="1475" w:type="dxa"/>
                  <w:noWrap w:val="0"/>
                  <w:vAlign w:val="center"/>
                </w:tcPr>
                <w:p w14:paraId="42DCDFD7">
                  <w:pPr>
                    <w:pStyle w:val="102"/>
                    <w:spacing w:line="240" w:lineRule="auto"/>
                    <w:jc w:val="center"/>
                    <w:rPr>
                      <w:rFonts w:hint="default"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70</w:t>
                  </w:r>
                </w:p>
              </w:tc>
            </w:tr>
            <w:tr w14:paraId="11F971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6" w:type="dxa"/>
                  <w:noWrap w:val="0"/>
                  <w:vAlign w:val="center"/>
                </w:tcPr>
                <w:p w14:paraId="4127ECBD">
                  <w:pPr>
                    <w:spacing w:line="240" w:lineRule="auto"/>
                    <w:ind w:firstLine="0" w:firstLineChars="0"/>
                    <w:jc w:val="center"/>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rPr>
                    <w:t>7</w:t>
                  </w:r>
                </w:p>
              </w:tc>
              <w:tc>
                <w:tcPr>
                  <w:tcW w:w="1650" w:type="dxa"/>
                  <w:noWrap w:val="0"/>
                  <w:vAlign w:val="center"/>
                </w:tcPr>
                <w:p w14:paraId="2292FD1E">
                  <w:pPr>
                    <w:pStyle w:val="131"/>
                    <w:spacing w:line="240" w:lineRule="auto"/>
                    <w:jc w:val="center"/>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rPr>
                    <w:t>TP</w:t>
                  </w:r>
                </w:p>
              </w:tc>
              <w:tc>
                <w:tcPr>
                  <w:tcW w:w="1617" w:type="dxa"/>
                  <w:noWrap w:val="0"/>
                  <w:vAlign w:val="center"/>
                </w:tcPr>
                <w:p w14:paraId="426FB9D7">
                  <w:pPr>
                    <w:pStyle w:val="102"/>
                    <w:spacing w:line="240" w:lineRule="auto"/>
                    <w:jc w:val="center"/>
                    <w:rPr>
                      <w:rFonts w:hint="default" w:ascii="宋体" w:hAnsi="宋体" w:eastAsia="宋体" w:cs="宋体"/>
                      <w:color w:val="auto"/>
                      <w:spacing w:val="0"/>
                      <w:sz w:val="21"/>
                      <w:szCs w:val="21"/>
                      <w:highlight w:val="none"/>
                      <w:lang w:val="en-US" w:eastAsia="zh-CN"/>
                    </w:rPr>
                  </w:pPr>
                  <w:r>
                    <w:rPr>
                      <w:rFonts w:hint="eastAsia" w:ascii="宋体" w:hAnsi="宋体" w:cs="宋体"/>
                      <w:color w:val="auto"/>
                      <w:spacing w:val="0"/>
                      <w:sz w:val="21"/>
                      <w:szCs w:val="21"/>
                      <w:highlight w:val="none"/>
                      <w:lang w:val="en-US" w:eastAsia="zh-CN"/>
                    </w:rPr>
                    <w:t>/</w:t>
                  </w:r>
                </w:p>
              </w:tc>
              <w:tc>
                <w:tcPr>
                  <w:tcW w:w="1883" w:type="dxa"/>
                  <w:noWrap w:val="0"/>
                  <w:vAlign w:val="center"/>
                </w:tcPr>
                <w:p w14:paraId="0E0092CD">
                  <w:pPr>
                    <w:pStyle w:val="102"/>
                    <w:spacing w:line="240" w:lineRule="auto"/>
                    <w:jc w:val="center"/>
                    <w:rPr>
                      <w:rFonts w:hint="default"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8</w:t>
                  </w:r>
                </w:p>
              </w:tc>
              <w:tc>
                <w:tcPr>
                  <w:tcW w:w="1475" w:type="dxa"/>
                  <w:noWrap w:val="0"/>
                  <w:vAlign w:val="center"/>
                </w:tcPr>
                <w:p w14:paraId="0DD7F511">
                  <w:pPr>
                    <w:pStyle w:val="102"/>
                    <w:spacing w:line="240" w:lineRule="auto"/>
                    <w:jc w:val="center"/>
                    <w:rPr>
                      <w:rFonts w:hint="default"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8</w:t>
                  </w:r>
                </w:p>
              </w:tc>
            </w:tr>
          </w:tbl>
          <w:p w14:paraId="753294DB">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4.</w:t>
            </w:r>
            <w:r>
              <w:rPr>
                <w:rFonts w:hint="eastAsia" w:ascii="宋体" w:hAnsi="宋体" w:eastAsia="宋体" w:cs="宋体"/>
                <w:b/>
                <w:bCs w:val="0"/>
                <w:color w:val="auto"/>
                <w:spacing w:val="0"/>
                <w:sz w:val="24"/>
                <w:szCs w:val="24"/>
                <w:highlight w:val="none"/>
                <w:lang w:val="en-US" w:eastAsia="zh-CN"/>
              </w:rPr>
              <w:t>固体废物</w:t>
            </w:r>
          </w:p>
          <w:p w14:paraId="59D0BA78">
            <w:pPr>
              <w:pStyle w:val="46"/>
              <w:spacing w:line="360" w:lineRule="auto"/>
              <w:ind w:firstLine="480" w:firstLineChars="200"/>
              <w:jc w:val="both"/>
              <w:rPr>
                <w:rFonts w:hint="eastAsia" w:ascii="宋体" w:hAnsi="宋体" w:eastAsia="宋体" w:cs="宋体"/>
                <w:color w:val="auto"/>
                <w:spacing w:val="0"/>
                <w:highlight w:val="none"/>
                <w:lang w:val="en-US"/>
              </w:rPr>
            </w:pPr>
            <w:r>
              <w:rPr>
                <w:rFonts w:hint="eastAsia" w:ascii="宋体" w:hAnsi="宋体" w:eastAsia="宋体" w:cs="宋体"/>
                <w:bCs/>
                <w:color w:val="auto"/>
                <w:spacing w:val="0"/>
                <w:kern w:val="2"/>
                <w:sz w:val="24"/>
                <w:szCs w:val="24"/>
                <w:highlight w:val="none"/>
                <w:lang w:val="en-US" w:eastAsia="zh-CN" w:bidi="ar-SA"/>
              </w:rPr>
              <w:t>一般工业固体废物执行《一般工业固体废物贮存和填埋污染控制标准》（GB18599-2020）标准、</w:t>
            </w:r>
            <w:r>
              <w:rPr>
                <w:rFonts w:hint="eastAsia" w:ascii="宋体" w:hAnsi="宋体" w:eastAsia="宋体" w:cs="宋体"/>
                <w:color w:val="auto"/>
                <w:spacing w:val="0"/>
                <w:szCs w:val="21"/>
                <w:highlight w:val="none"/>
              </w:rPr>
              <w:t>《一般固体废物分类与代码》（GB/T39198-2020）</w:t>
            </w:r>
            <w:r>
              <w:rPr>
                <w:rFonts w:hint="eastAsia" w:ascii="宋体" w:hAnsi="宋体" w:eastAsia="宋体" w:cs="宋体"/>
                <w:color w:val="auto"/>
                <w:spacing w:val="0"/>
                <w:szCs w:val="21"/>
                <w:highlight w:val="none"/>
                <w:lang w:eastAsia="zh-CN"/>
              </w:rPr>
              <w:t>、关于发布《固体废物分类与代码目录》的公告（公告2024年第4号）。</w:t>
            </w:r>
            <w:r>
              <w:rPr>
                <w:rFonts w:hint="eastAsia" w:ascii="宋体" w:hAnsi="宋体" w:eastAsia="宋体" w:cs="宋体"/>
                <w:bCs/>
                <w:color w:val="auto"/>
                <w:spacing w:val="0"/>
                <w:kern w:val="2"/>
                <w:sz w:val="24"/>
                <w:szCs w:val="24"/>
                <w:highlight w:val="none"/>
                <w:lang w:val="en-US" w:eastAsia="zh-CN" w:bidi="ar-SA"/>
              </w:rPr>
              <w:t>危险固体废物执行《危险废物贮存污染控制标准》（GB18597-2023）。</w:t>
            </w:r>
          </w:p>
        </w:tc>
      </w:tr>
      <w:tr w14:paraId="533D93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1" w:hRule="atLeast"/>
          <w:jc w:val="center"/>
        </w:trPr>
        <w:tc>
          <w:tcPr>
            <w:tcW w:w="542" w:type="dxa"/>
            <w:noWrap w:val="0"/>
            <w:vAlign w:val="center"/>
          </w:tcPr>
          <w:p w14:paraId="28C79458">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总量</w:t>
            </w:r>
          </w:p>
          <w:p w14:paraId="705D923B">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控制</w:t>
            </w:r>
          </w:p>
          <w:p w14:paraId="1DC50BF2">
            <w:pPr>
              <w:spacing w:line="240" w:lineRule="auto"/>
              <w:ind w:firstLine="0" w:firstLineChars="0"/>
              <w:jc w:val="center"/>
              <w:rPr>
                <w:rFonts w:hint="eastAsia" w:ascii="宋体" w:hAnsi="宋体" w:eastAsia="宋体" w:cs="宋体"/>
                <w:color w:val="auto"/>
                <w:spacing w:val="0"/>
                <w:kern w:val="0"/>
                <w:highlight w:val="none"/>
              </w:rPr>
            </w:pPr>
            <w:r>
              <w:rPr>
                <w:rFonts w:hint="eastAsia" w:ascii="宋体" w:hAnsi="宋体" w:eastAsia="宋体" w:cs="宋体"/>
                <w:color w:val="auto"/>
                <w:spacing w:val="0"/>
                <w:kern w:val="0"/>
                <w:highlight w:val="none"/>
              </w:rPr>
              <w:t>指标</w:t>
            </w:r>
          </w:p>
        </w:tc>
        <w:tc>
          <w:tcPr>
            <w:tcW w:w="7987" w:type="dxa"/>
            <w:noWrap w:val="0"/>
            <w:vAlign w:val="center"/>
          </w:tcPr>
          <w:p w14:paraId="4D6DF569">
            <w:pPr>
              <w:pStyle w:val="90"/>
              <w:spacing w:before="0" w:beforeLines="0" w:after="0" w:afterLines="0" w:line="360" w:lineRule="auto"/>
              <w:ind w:firstLine="480"/>
              <w:rPr>
                <w:rFonts w:hint="eastAsia" w:ascii="宋体" w:hAnsi="宋体" w:eastAsia="宋体" w:cs="宋体"/>
                <w:color w:val="auto"/>
                <w:spacing w:val="0"/>
                <w:highlight w:val="none"/>
              </w:rPr>
            </w:pPr>
            <w:r>
              <w:rPr>
                <w:rFonts w:hint="eastAsia" w:ascii="宋体" w:hAnsi="宋体" w:eastAsia="宋体" w:cs="宋体"/>
                <w:color w:val="auto"/>
                <w:spacing w:val="0"/>
                <w:highlight w:val="none"/>
                <w:lang w:val="en-US" w:eastAsia="zh-CN"/>
              </w:rPr>
              <w:t>本项目污染物核定排放量见下表</w:t>
            </w:r>
            <w:r>
              <w:rPr>
                <w:rFonts w:hint="eastAsia" w:ascii="宋体" w:hAnsi="宋体" w:eastAsia="宋体" w:cs="宋体"/>
                <w:color w:val="auto"/>
                <w:spacing w:val="0"/>
                <w:highlight w:val="none"/>
              </w:rPr>
              <w:t>：</w:t>
            </w:r>
          </w:p>
          <w:p w14:paraId="1D8C2744">
            <w:pPr>
              <w:pStyle w:val="91"/>
              <w:spacing w:line="240" w:lineRule="auto"/>
              <w:ind w:firstLine="0" w:firstLineChars="0"/>
              <w:jc w:val="center"/>
              <w:rPr>
                <w:rFonts w:hint="eastAsia" w:ascii="宋体" w:hAnsi="宋体" w:eastAsia="宋体" w:cs="宋体"/>
                <w:b/>
                <w:bCs w:val="0"/>
                <w:color w:val="auto"/>
                <w:spacing w:val="0"/>
                <w:kern w:val="2"/>
                <w:sz w:val="21"/>
                <w:szCs w:val="21"/>
                <w:highlight w:val="none"/>
                <w:lang w:val="en-US" w:eastAsia="zh-CN" w:bidi="ar-SA"/>
              </w:rPr>
            </w:pPr>
            <w:r>
              <w:rPr>
                <w:rFonts w:hint="eastAsia" w:ascii="宋体" w:hAnsi="宋体" w:eastAsia="宋体" w:cs="宋体"/>
                <w:b/>
                <w:bCs w:val="0"/>
                <w:color w:val="auto"/>
                <w:spacing w:val="0"/>
                <w:kern w:val="2"/>
                <w:sz w:val="21"/>
                <w:szCs w:val="21"/>
                <w:highlight w:val="none"/>
                <w:lang w:val="en-US" w:eastAsia="zh-CN" w:bidi="ar-SA"/>
              </w:rPr>
              <w:t>表</w:t>
            </w:r>
            <w:r>
              <w:rPr>
                <w:rFonts w:hint="default" w:ascii="Times New Roman" w:hAnsi="Times New Roman" w:eastAsia="宋体" w:cs="Times New Roman"/>
                <w:b/>
                <w:bCs w:val="0"/>
                <w:color w:val="auto"/>
                <w:spacing w:val="0"/>
                <w:kern w:val="2"/>
                <w:sz w:val="21"/>
                <w:szCs w:val="21"/>
                <w:highlight w:val="none"/>
                <w:lang w:val="en-US" w:eastAsia="zh-CN" w:bidi="ar-SA"/>
              </w:rPr>
              <w:t>3-</w:t>
            </w:r>
            <w:r>
              <w:rPr>
                <w:rFonts w:hint="default" w:ascii="Times New Roman" w:hAnsi="Times New Roman" w:cs="Times New Roman"/>
                <w:b/>
                <w:bCs w:val="0"/>
                <w:color w:val="auto"/>
                <w:spacing w:val="0"/>
                <w:kern w:val="2"/>
                <w:sz w:val="21"/>
                <w:szCs w:val="21"/>
                <w:highlight w:val="none"/>
                <w:lang w:val="en-US" w:eastAsia="zh-CN" w:bidi="ar-SA"/>
              </w:rPr>
              <w:t>10</w:t>
            </w:r>
            <w:r>
              <w:rPr>
                <w:rFonts w:hint="eastAsia" w:ascii="宋体" w:hAnsi="宋体" w:eastAsia="宋体" w:cs="宋体"/>
                <w:b/>
                <w:bCs w:val="0"/>
                <w:color w:val="auto"/>
                <w:spacing w:val="0"/>
                <w:kern w:val="2"/>
                <w:sz w:val="21"/>
                <w:szCs w:val="21"/>
                <w:highlight w:val="none"/>
                <w:lang w:val="en-US" w:eastAsia="zh-CN" w:bidi="ar-SA"/>
              </w:rPr>
              <w:t>总量控制指标</w:t>
            </w:r>
          </w:p>
          <w:tbl>
            <w:tblPr>
              <w:tblStyle w:val="37"/>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8"/>
              <w:gridCol w:w="1292"/>
              <w:gridCol w:w="2770"/>
              <w:gridCol w:w="2770"/>
            </w:tblGrid>
            <w:tr w14:paraId="498E89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38" w:type="dxa"/>
                  <w:noWrap w:val="0"/>
                  <w:vAlign w:val="center"/>
                </w:tcPr>
                <w:p w14:paraId="39F62CAF">
                  <w:pPr>
                    <w:spacing w:line="240" w:lineRule="auto"/>
                    <w:ind w:firstLine="0" w:firstLineChars="0"/>
                    <w:jc w:val="center"/>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项目</w:t>
                  </w:r>
                </w:p>
              </w:tc>
              <w:tc>
                <w:tcPr>
                  <w:tcW w:w="1292" w:type="dxa"/>
                  <w:noWrap w:val="0"/>
                  <w:vAlign w:val="center"/>
                </w:tcPr>
                <w:p w14:paraId="7512C4B8">
                  <w:pPr>
                    <w:spacing w:line="240" w:lineRule="auto"/>
                    <w:ind w:firstLine="0" w:firstLineChars="0"/>
                    <w:jc w:val="center"/>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名称</w:t>
                  </w:r>
                </w:p>
              </w:tc>
              <w:tc>
                <w:tcPr>
                  <w:tcW w:w="2770" w:type="dxa"/>
                  <w:noWrap w:val="0"/>
                  <w:vAlign w:val="center"/>
                </w:tcPr>
                <w:p w14:paraId="3D4EDC1B">
                  <w:pPr>
                    <w:spacing w:line="240" w:lineRule="auto"/>
                    <w:ind w:firstLine="0" w:firstLineChars="0"/>
                    <w:jc w:val="center"/>
                    <w:rPr>
                      <w:rFonts w:hint="eastAsia" w:ascii="宋体" w:hAnsi="宋体" w:eastAsia="宋体" w:cs="宋体"/>
                      <w:color w:val="auto"/>
                      <w:spacing w:val="0"/>
                      <w:sz w:val="21"/>
                      <w:szCs w:val="21"/>
                      <w:highlight w:val="none"/>
                      <w:lang w:eastAsia="zh-CN"/>
                    </w:rPr>
                  </w:pPr>
                  <w:r>
                    <w:rPr>
                      <w:rFonts w:hint="eastAsia" w:ascii="宋体" w:hAnsi="宋体" w:eastAsia="宋体" w:cs="宋体"/>
                      <w:color w:val="auto"/>
                      <w:spacing w:val="0"/>
                      <w:sz w:val="21"/>
                      <w:szCs w:val="21"/>
                      <w:highlight w:val="none"/>
                    </w:rPr>
                    <w:t>本工程预测排放量</w:t>
                  </w:r>
                  <w:r>
                    <w:rPr>
                      <w:rFonts w:hint="eastAsia" w:ascii="宋体" w:hAnsi="宋体" w:eastAsia="宋体" w:cs="宋体"/>
                      <w:color w:val="auto"/>
                      <w:spacing w:val="0"/>
                      <w:sz w:val="21"/>
                      <w:szCs w:val="21"/>
                      <w:highlight w:val="none"/>
                      <w:lang w:eastAsia="zh-CN"/>
                    </w:rPr>
                    <w:t>（</w:t>
                  </w:r>
                  <w:r>
                    <w:rPr>
                      <w:rFonts w:hint="eastAsia" w:ascii="宋体" w:hAnsi="宋体" w:eastAsia="宋体" w:cs="宋体"/>
                      <w:color w:val="auto"/>
                      <w:spacing w:val="0"/>
                      <w:sz w:val="21"/>
                      <w:szCs w:val="21"/>
                      <w:highlight w:val="none"/>
                    </w:rPr>
                    <w:t>t/a</w:t>
                  </w:r>
                  <w:r>
                    <w:rPr>
                      <w:rFonts w:hint="eastAsia" w:ascii="宋体" w:hAnsi="宋体" w:eastAsia="宋体" w:cs="宋体"/>
                      <w:color w:val="auto"/>
                      <w:spacing w:val="0"/>
                      <w:sz w:val="21"/>
                      <w:szCs w:val="21"/>
                      <w:highlight w:val="none"/>
                      <w:lang w:eastAsia="zh-CN"/>
                    </w:rPr>
                    <w:t>）</w:t>
                  </w:r>
                </w:p>
              </w:tc>
              <w:tc>
                <w:tcPr>
                  <w:tcW w:w="2770" w:type="dxa"/>
                  <w:noWrap w:val="0"/>
                  <w:vAlign w:val="center"/>
                </w:tcPr>
                <w:p w14:paraId="74F64B3F">
                  <w:pPr>
                    <w:spacing w:line="240" w:lineRule="auto"/>
                    <w:ind w:firstLine="0" w:firstLineChars="0"/>
                    <w:jc w:val="center"/>
                    <w:rPr>
                      <w:rFonts w:hint="eastAsia" w:ascii="宋体" w:hAnsi="宋体" w:eastAsia="宋体" w:cs="宋体"/>
                      <w:color w:val="auto"/>
                      <w:spacing w:val="0"/>
                      <w:sz w:val="21"/>
                      <w:szCs w:val="21"/>
                      <w:highlight w:val="none"/>
                      <w:lang w:eastAsia="zh-CN"/>
                    </w:rPr>
                  </w:pPr>
                  <w:r>
                    <w:rPr>
                      <w:rFonts w:hint="eastAsia" w:ascii="宋体" w:hAnsi="宋体" w:eastAsia="宋体" w:cs="宋体"/>
                      <w:color w:val="auto"/>
                      <w:spacing w:val="0"/>
                      <w:sz w:val="21"/>
                      <w:szCs w:val="21"/>
                      <w:highlight w:val="none"/>
                    </w:rPr>
                    <w:t>核定排放量</w:t>
                  </w:r>
                  <w:r>
                    <w:rPr>
                      <w:rFonts w:hint="eastAsia" w:ascii="宋体" w:hAnsi="宋体" w:eastAsia="宋体" w:cs="宋体"/>
                      <w:color w:val="auto"/>
                      <w:spacing w:val="0"/>
                      <w:sz w:val="21"/>
                      <w:szCs w:val="21"/>
                      <w:highlight w:val="none"/>
                      <w:lang w:eastAsia="zh-CN"/>
                    </w:rPr>
                    <w:t>（</w:t>
                  </w:r>
                  <w:r>
                    <w:rPr>
                      <w:rFonts w:hint="eastAsia" w:ascii="宋体" w:hAnsi="宋体" w:eastAsia="宋体" w:cs="宋体"/>
                      <w:color w:val="auto"/>
                      <w:spacing w:val="0"/>
                      <w:sz w:val="21"/>
                      <w:szCs w:val="21"/>
                      <w:highlight w:val="none"/>
                    </w:rPr>
                    <w:t>t/a</w:t>
                  </w:r>
                  <w:r>
                    <w:rPr>
                      <w:rFonts w:hint="eastAsia" w:ascii="宋体" w:hAnsi="宋体" w:eastAsia="宋体" w:cs="宋体"/>
                      <w:color w:val="auto"/>
                      <w:spacing w:val="0"/>
                      <w:sz w:val="21"/>
                      <w:szCs w:val="21"/>
                      <w:highlight w:val="none"/>
                      <w:lang w:eastAsia="zh-CN"/>
                    </w:rPr>
                    <w:t>）</w:t>
                  </w:r>
                </w:p>
              </w:tc>
            </w:tr>
            <w:tr w14:paraId="4E99A2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exact"/>
                <w:jc w:val="center"/>
              </w:trPr>
              <w:tc>
                <w:tcPr>
                  <w:tcW w:w="938" w:type="dxa"/>
                  <w:vMerge w:val="restart"/>
                  <w:noWrap w:val="0"/>
                  <w:vAlign w:val="center"/>
                </w:tcPr>
                <w:p w14:paraId="263858AA">
                  <w:pPr>
                    <w:spacing w:line="240" w:lineRule="auto"/>
                    <w:ind w:firstLine="0" w:firstLineChars="0"/>
                    <w:jc w:val="center"/>
                    <w:rPr>
                      <w:rFonts w:hint="eastAsia" w:ascii="宋体" w:hAnsi="宋体" w:eastAsia="宋体" w:cs="宋体"/>
                      <w:color w:val="auto"/>
                      <w:spacing w:val="0"/>
                      <w:sz w:val="21"/>
                      <w:szCs w:val="21"/>
                      <w:highlight w:val="none"/>
                      <w:lang w:eastAsia="zh-CN"/>
                    </w:rPr>
                  </w:pPr>
                  <w:r>
                    <w:rPr>
                      <w:rFonts w:hint="eastAsia" w:ascii="宋体" w:hAnsi="宋体" w:eastAsia="宋体" w:cs="宋体"/>
                      <w:color w:val="auto"/>
                      <w:spacing w:val="0"/>
                      <w:sz w:val="21"/>
                      <w:szCs w:val="21"/>
                      <w:highlight w:val="none"/>
                      <w:lang w:val="en-US" w:eastAsia="zh-CN"/>
                    </w:rPr>
                    <w:t>废气</w:t>
                  </w:r>
                </w:p>
              </w:tc>
              <w:tc>
                <w:tcPr>
                  <w:tcW w:w="1292" w:type="dxa"/>
                  <w:shd w:val="clear" w:color="auto" w:fill="auto"/>
                  <w:noWrap w:val="0"/>
                  <w:vAlign w:val="center"/>
                </w:tcPr>
                <w:p w14:paraId="1F8DF6ED">
                  <w:pPr>
                    <w:spacing w:line="240" w:lineRule="auto"/>
                    <w:ind w:firstLine="0" w:firstLineChars="0"/>
                    <w:jc w:val="center"/>
                    <w:rPr>
                      <w:rFonts w:hint="eastAsia" w:ascii="宋体" w:hAnsi="宋体" w:eastAsia="宋体" w:cs="宋体"/>
                      <w:bCs/>
                      <w:color w:val="auto"/>
                      <w:spacing w:val="0"/>
                      <w:kern w:val="2"/>
                      <w:sz w:val="21"/>
                      <w:szCs w:val="21"/>
                      <w:highlight w:val="none"/>
                      <w:lang w:val="en-US" w:eastAsia="zh-CN" w:bidi="ar-SA"/>
                    </w:rPr>
                  </w:pPr>
                  <w:r>
                    <w:rPr>
                      <w:rFonts w:hint="eastAsia" w:ascii="宋体" w:hAnsi="宋体" w:eastAsia="宋体" w:cs="宋体"/>
                      <w:color w:val="auto"/>
                      <w:spacing w:val="0"/>
                      <w:sz w:val="21"/>
                      <w:szCs w:val="21"/>
                      <w:highlight w:val="none"/>
                      <w:lang w:val="en-US" w:eastAsia="zh-CN"/>
                    </w:rPr>
                    <w:t>颗粒物</w:t>
                  </w:r>
                </w:p>
              </w:tc>
              <w:tc>
                <w:tcPr>
                  <w:tcW w:w="2770" w:type="dxa"/>
                  <w:noWrap w:val="0"/>
                  <w:vAlign w:val="center"/>
                </w:tcPr>
                <w:p w14:paraId="06BF68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Cs/>
                      <w:color w:val="auto"/>
                      <w:spacing w:val="0"/>
                      <w:kern w:val="2"/>
                      <w:sz w:val="21"/>
                      <w:szCs w:val="21"/>
                      <w:highlight w:val="none"/>
                      <w:lang w:val="en-US" w:eastAsia="zh-CN" w:bidi="ar-SA"/>
                    </w:rPr>
                  </w:pPr>
                  <w:r>
                    <w:rPr>
                      <w:rFonts w:hint="eastAsia" w:cs="宋体"/>
                      <w:color w:val="auto"/>
                      <w:spacing w:val="0"/>
                      <w:kern w:val="0"/>
                      <w:sz w:val="21"/>
                      <w:szCs w:val="21"/>
                      <w:highlight w:val="none"/>
                      <w:lang w:val="en-US" w:eastAsia="zh-CN"/>
                    </w:rPr>
                    <w:t>0.102</w:t>
                  </w:r>
                </w:p>
              </w:tc>
              <w:tc>
                <w:tcPr>
                  <w:tcW w:w="2770" w:type="dxa"/>
                  <w:noWrap w:val="0"/>
                  <w:vAlign w:val="center"/>
                </w:tcPr>
                <w:p w14:paraId="3AF78D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olor w:val="auto"/>
                      <w:sz w:val="21"/>
                      <w:szCs w:val="21"/>
                      <w:highlight w:val="none"/>
                      <w:vertAlign w:val="baseline"/>
                      <w:lang w:val="en-US" w:eastAsia="zh-CN"/>
                    </w:rPr>
                    <w:t>1.1624</w:t>
                  </w:r>
                </w:p>
              </w:tc>
            </w:tr>
            <w:tr w14:paraId="312392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38" w:type="dxa"/>
                  <w:vMerge w:val="continue"/>
                  <w:noWrap w:val="0"/>
                  <w:vAlign w:val="center"/>
                </w:tcPr>
                <w:p w14:paraId="07188887">
                  <w:pPr>
                    <w:spacing w:line="240" w:lineRule="auto"/>
                    <w:ind w:firstLine="0" w:firstLineChars="0"/>
                    <w:jc w:val="center"/>
                    <w:rPr>
                      <w:rFonts w:hint="eastAsia" w:ascii="宋体" w:hAnsi="宋体" w:eastAsia="宋体" w:cs="宋体"/>
                      <w:color w:val="auto"/>
                      <w:spacing w:val="0"/>
                      <w:sz w:val="21"/>
                      <w:szCs w:val="21"/>
                      <w:highlight w:val="none"/>
                      <w:lang w:val="en-US" w:eastAsia="zh-CN"/>
                    </w:rPr>
                  </w:pPr>
                </w:p>
              </w:tc>
              <w:tc>
                <w:tcPr>
                  <w:tcW w:w="1292" w:type="dxa"/>
                  <w:shd w:val="clear" w:color="auto" w:fill="auto"/>
                  <w:noWrap w:val="0"/>
                  <w:vAlign w:val="center"/>
                </w:tcPr>
                <w:p w14:paraId="5547F015">
                  <w:pPr>
                    <w:spacing w:line="240" w:lineRule="auto"/>
                    <w:ind w:firstLine="0" w:firstLineChars="0"/>
                    <w:jc w:val="center"/>
                    <w:rPr>
                      <w:rFonts w:hint="eastAsia" w:ascii="宋体" w:hAnsi="宋体" w:eastAsia="宋体" w:cs="宋体"/>
                      <w:bCs/>
                      <w:color w:val="auto"/>
                      <w:spacing w:val="0"/>
                      <w:kern w:val="2"/>
                      <w:sz w:val="21"/>
                      <w:szCs w:val="21"/>
                      <w:highlight w:val="none"/>
                      <w:lang w:val="en-US" w:eastAsia="zh-CN" w:bidi="ar-SA"/>
                    </w:rPr>
                  </w:pPr>
                  <w:r>
                    <w:rPr>
                      <w:rFonts w:hint="eastAsia" w:ascii="宋体" w:hAnsi="宋体" w:eastAsia="宋体" w:cs="宋体"/>
                      <w:color w:val="auto"/>
                      <w:spacing w:val="0"/>
                      <w:sz w:val="21"/>
                      <w:szCs w:val="21"/>
                      <w:highlight w:val="none"/>
                      <w:lang w:val="en-US" w:eastAsia="zh-CN"/>
                    </w:rPr>
                    <w:t>二氧化硫</w:t>
                  </w:r>
                </w:p>
              </w:tc>
              <w:tc>
                <w:tcPr>
                  <w:tcW w:w="2770" w:type="dxa"/>
                  <w:noWrap w:val="0"/>
                  <w:vAlign w:val="center"/>
                </w:tcPr>
                <w:p w14:paraId="67AFB8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Cs/>
                      <w:color w:val="auto"/>
                      <w:spacing w:val="0"/>
                      <w:kern w:val="2"/>
                      <w:sz w:val="21"/>
                      <w:szCs w:val="21"/>
                      <w:highlight w:val="none"/>
                      <w:lang w:val="en-US" w:eastAsia="zh-CN" w:bidi="ar-SA"/>
                    </w:rPr>
                  </w:pPr>
                  <w:r>
                    <w:rPr>
                      <w:rFonts w:hint="eastAsia" w:cs="宋体"/>
                      <w:bCs/>
                      <w:i w:val="0"/>
                      <w:color w:val="auto"/>
                      <w:spacing w:val="0"/>
                      <w:kern w:val="2"/>
                      <w:sz w:val="21"/>
                      <w:szCs w:val="21"/>
                      <w:highlight w:val="none"/>
                      <w:u w:val="none"/>
                      <w:lang w:val="en-US" w:eastAsia="zh-CN" w:bidi="ar-SA"/>
                    </w:rPr>
                    <w:t>1.962</w:t>
                  </w:r>
                </w:p>
              </w:tc>
              <w:tc>
                <w:tcPr>
                  <w:tcW w:w="2770" w:type="dxa"/>
                  <w:noWrap w:val="0"/>
                  <w:vAlign w:val="center"/>
                </w:tcPr>
                <w:p w14:paraId="12C208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olor w:val="auto"/>
                      <w:sz w:val="21"/>
                      <w:szCs w:val="21"/>
                      <w:highlight w:val="none"/>
                      <w:vertAlign w:val="baseline"/>
                      <w:lang w:val="en-US" w:eastAsia="zh-CN"/>
                    </w:rPr>
                    <w:t>5.5795</w:t>
                  </w:r>
                </w:p>
              </w:tc>
            </w:tr>
            <w:tr w14:paraId="3630EB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938" w:type="dxa"/>
                  <w:vMerge w:val="continue"/>
                  <w:noWrap w:val="0"/>
                  <w:vAlign w:val="center"/>
                </w:tcPr>
                <w:p w14:paraId="506AFA47">
                  <w:pPr>
                    <w:spacing w:line="240" w:lineRule="auto"/>
                    <w:ind w:firstLine="0" w:firstLineChars="0"/>
                    <w:jc w:val="center"/>
                    <w:rPr>
                      <w:rFonts w:hint="eastAsia" w:ascii="宋体" w:hAnsi="宋体" w:eastAsia="宋体" w:cs="宋体"/>
                      <w:color w:val="auto"/>
                      <w:spacing w:val="0"/>
                      <w:sz w:val="21"/>
                      <w:szCs w:val="21"/>
                      <w:highlight w:val="none"/>
                      <w:lang w:val="en-US" w:eastAsia="zh-CN"/>
                    </w:rPr>
                  </w:pPr>
                </w:p>
              </w:tc>
              <w:tc>
                <w:tcPr>
                  <w:tcW w:w="1292" w:type="dxa"/>
                  <w:shd w:val="clear" w:color="auto" w:fill="auto"/>
                  <w:noWrap w:val="0"/>
                  <w:vAlign w:val="center"/>
                </w:tcPr>
                <w:p w14:paraId="29ABB7B8">
                  <w:pPr>
                    <w:pStyle w:val="70"/>
                    <w:rPr>
                      <w:rFonts w:hint="eastAsia" w:ascii="宋体" w:hAnsi="宋体" w:eastAsia="宋体" w:cs="宋体"/>
                      <w:bCs/>
                      <w:color w:val="auto"/>
                      <w:spacing w:val="0"/>
                      <w:kern w:val="2"/>
                      <w:sz w:val="21"/>
                      <w:szCs w:val="21"/>
                      <w:highlight w:val="none"/>
                      <w:lang w:val="en-US" w:eastAsia="zh-CN" w:bidi="ar-SA"/>
                    </w:rPr>
                  </w:pPr>
                  <w:r>
                    <w:rPr>
                      <w:rFonts w:hint="eastAsia" w:ascii="宋体" w:hAnsi="宋体" w:eastAsia="宋体" w:cs="宋体"/>
                      <w:color w:val="auto"/>
                      <w:spacing w:val="0"/>
                      <w:sz w:val="21"/>
                      <w:szCs w:val="21"/>
                      <w:highlight w:val="none"/>
                      <w:lang w:val="en-US" w:eastAsia="zh-CN"/>
                    </w:rPr>
                    <w:t>氮氧化物</w:t>
                  </w:r>
                </w:p>
              </w:tc>
              <w:tc>
                <w:tcPr>
                  <w:tcW w:w="2770" w:type="dxa"/>
                  <w:noWrap w:val="0"/>
                  <w:vAlign w:val="center"/>
                </w:tcPr>
                <w:p w14:paraId="29FA7E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Cs/>
                      <w:color w:val="auto"/>
                      <w:spacing w:val="0"/>
                      <w:kern w:val="2"/>
                      <w:sz w:val="21"/>
                      <w:szCs w:val="21"/>
                      <w:highlight w:val="none"/>
                      <w:lang w:val="en-US" w:eastAsia="zh-CN" w:bidi="ar-SA"/>
                    </w:rPr>
                  </w:pPr>
                  <w:r>
                    <w:rPr>
                      <w:rFonts w:hint="eastAsia" w:cs="宋体"/>
                      <w:bCs/>
                      <w:i w:val="0"/>
                      <w:color w:val="auto"/>
                      <w:spacing w:val="0"/>
                      <w:kern w:val="0"/>
                      <w:sz w:val="21"/>
                      <w:szCs w:val="21"/>
                      <w:highlight w:val="none"/>
                      <w:u w:val="none"/>
                      <w:lang w:val="en-US" w:eastAsia="zh-CN" w:bidi="ar"/>
                    </w:rPr>
                    <w:t>6.28</w:t>
                  </w:r>
                </w:p>
              </w:tc>
              <w:tc>
                <w:tcPr>
                  <w:tcW w:w="2770" w:type="dxa"/>
                  <w:noWrap w:val="0"/>
                  <w:vAlign w:val="center"/>
                </w:tcPr>
                <w:p w14:paraId="6C05137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olor w:val="auto"/>
                      <w:sz w:val="21"/>
                      <w:szCs w:val="21"/>
                      <w:highlight w:val="none"/>
                      <w:vertAlign w:val="baseline"/>
                      <w:lang w:val="en-US" w:eastAsia="zh-CN"/>
                    </w:rPr>
                    <w:t>6.974</w:t>
                  </w:r>
                </w:p>
              </w:tc>
            </w:tr>
          </w:tbl>
          <w:p w14:paraId="6BFB513C">
            <w:pPr>
              <w:rPr>
                <w:rFonts w:hint="default" w:cs="宋体"/>
                <w:bCs/>
                <w:color w:val="auto"/>
                <w:spacing w:val="0"/>
                <w:kern w:val="2"/>
                <w:sz w:val="24"/>
                <w:szCs w:val="24"/>
                <w:highlight w:val="none"/>
                <w:vertAlign w:val="baseline"/>
                <w:lang w:val="en-US" w:eastAsia="zh-CN" w:bidi="ar-SA"/>
              </w:rPr>
            </w:pPr>
            <w:r>
              <w:rPr>
                <w:rFonts w:hint="eastAsia" w:cs="宋体"/>
                <w:color w:val="auto"/>
                <w:highlight w:val="none"/>
                <w:lang w:val="en-US" w:eastAsia="zh-CN"/>
              </w:rPr>
              <w:t>根据</w:t>
            </w:r>
            <w:r>
              <w:rPr>
                <w:rFonts w:hint="eastAsia" w:ascii="宋体" w:hAnsi="宋体" w:eastAsia="宋体" w:cs="宋体"/>
                <w:color w:val="auto"/>
                <w:highlight w:val="none"/>
                <w:lang w:val="en-US" w:eastAsia="zh-CN"/>
              </w:rPr>
              <w:t>《关于黑龙江省鸡西市梨树区燎泰高强度着色粉和中间体项目</w:t>
            </w:r>
            <w:r>
              <w:rPr>
                <w:rFonts w:hint="eastAsia" w:cs="宋体"/>
                <w:color w:val="auto"/>
                <w:highlight w:val="none"/>
                <w:lang w:val="en-US" w:eastAsia="zh-CN"/>
              </w:rPr>
              <w:t>（</w:t>
            </w:r>
            <w:r>
              <w:rPr>
                <w:rFonts w:hint="eastAsia" w:ascii="宋体" w:hAnsi="宋体" w:eastAsia="宋体" w:cs="宋体"/>
                <w:color w:val="auto"/>
                <w:highlight w:val="none"/>
                <w:lang w:val="en-US" w:eastAsia="zh-CN"/>
              </w:rPr>
              <w:t>一期</w:t>
            </w:r>
            <w:r>
              <w:rPr>
                <w:rFonts w:hint="eastAsia" w:cs="宋体"/>
                <w:color w:val="auto"/>
                <w:highlight w:val="none"/>
                <w:lang w:val="en-US" w:eastAsia="zh-CN"/>
              </w:rPr>
              <w:t>）</w:t>
            </w:r>
            <w:r>
              <w:rPr>
                <w:rFonts w:hint="eastAsia" w:ascii="宋体" w:hAnsi="宋体" w:eastAsia="宋体" w:cs="宋体"/>
                <w:color w:val="auto"/>
                <w:highlight w:val="none"/>
                <w:lang w:val="en-US" w:eastAsia="zh-CN"/>
              </w:rPr>
              <w:t>环境影响报告书的批复》（</w:t>
            </w:r>
            <w:r>
              <w:rPr>
                <w:rFonts w:hint="eastAsia" w:cs="宋体"/>
                <w:color w:val="auto"/>
                <w:highlight w:val="none"/>
                <w:lang w:val="en-US" w:eastAsia="zh-CN"/>
              </w:rPr>
              <w:t>鸡环审〔2023〕11号</w:t>
            </w:r>
            <w:r>
              <w:rPr>
                <w:rFonts w:hint="eastAsia" w:ascii="宋体" w:hAnsi="宋体" w:eastAsia="宋体" w:cs="宋体"/>
                <w:color w:val="auto"/>
                <w:highlight w:val="none"/>
                <w:lang w:val="en-US" w:eastAsia="zh-CN"/>
              </w:rPr>
              <w:t>）</w:t>
            </w:r>
            <w:r>
              <w:rPr>
                <w:rFonts w:hint="eastAsia" w:cs="宋体"/>
                <w:color w:val="auto"/>
                <w:highlight w:val="none"/>
                <w:lang w:val="en-US" w:eastAsia="zh-CN"/>
              </w:rPr>
              <w:t>中污染物年排放总量核定可知，在建工程污染物：SO</w:t>
            </w:r>
            <w:r>
              <w:rPr>
                <w:rFonts w:hint="eastAsia" w:cs="宋体"/>
                <w:color w:val="auto"/>
                <w:highlight w:val="none"/>
                <w:vertAlign w:val="subscript"/>
                <w:lang w:val="en-US" w:eastAsia="zh-CN"/>
              </w:rPr>
              <w:t>2</w:t>
            </w:r>
            <w:r>
              <w:rPr>
                <w:rFonts w:hint="eastAsia" w:cs="宋体"/>
                <w:color w:val="auto"/>
                <w:highlight w:val="none"/>
                <w:lang w:val="en-US" w:eastAsia="zh-CN"/>
              </w:rPr>
              <w:t>:8.35t/a；NO</w:t>
            </w:r>
            <w:r>
              <w:rPr>
                <w:rFonts w:hint="eastAsia" w:cs="宋体"/>
                <w:color w:val="auto"/>
                <w:highlight w:val="none"/>
                <w:vertAlign w:val="subscript"/>
                <w:lang w:val="en-US" w:eastAsia="zh-CN"/>
              </w:rPr>
              <w:t>X</w:t>
            </w:r>
            <w:r>
              <w:rPr>
                <w:rFonts w:hint="eastAsia" w:cs="宋体"/>
                <w:color w:val="auto"/>
                <w:highlight w:val="none"/>
                <w:lang w:val="en-US" w:eastAsia="zh-CN"/>
              </w:rPr>
              <w:t>：10.44t/a；颗粒物：1.74t/a；挥发性有机物45.78t/a。本项目废水排入工业园区污水处理站，</w:t>
            </w:r>
            <w:r>
              <w:rPr>
                <w:rFonts w:hint="eastAsia" w:ascii="Times New Roman" w:hAnsi="Times New Roman" w:cs="Times New Roman"/>
                <w:bCs/>
                <w:iCs/>
                <w:color w:val="auto"/>
                <w:sz w:val="24"/>
                <w:highlight w:val="none"/>
                <w:lang w:val="en-US" w:eastAsia="zh-CN"/>
              </w:rPr>
              <w:t>不纳入总量控制。</w:t>
            </w:r>
          </w:p>
          <w:p w14:paraId="2B961E33">
            <w:pPr>
              <w:rPr>
                <w:rFonts w:hint="eastAsia" w:cs="宋体"/>
                <w:bCs/>
                <w:color w:val="auto"/>
                <w:spacing w:val="0"/>
                <w:kern w:val="2"/>
                <w:sz w:val="24"/>
                <w:szCs w:val="24"/>
                <w:highlight w:val="none"/>
                <w:vertAlign w:val="baseline"/>
                <w:lang w:val="en-US" w:eastAsia="zh-CN" w:bidi="ar-SA"/>
              </w:rPr>
            </w:pPr>
            <w:r>
              <w:rPr>
                <w:rFonts w:hint="eastAsia" w:cs="宋体"/>
                <w:bCs/>
                <w:color w:val="auto"/>
                <w:spacing w:val="0"/>
                <w:kern w:val="2"/>
                <w:sz w:val="24"/>
                <w:szCs w:val="24"/>
                <w:highlight w:val="none"/>
                <w:vertAlign w:val="baseline"/>
                <w:lang w:val="en-US" w:eastAsia="zh-CN" w:bidi="ar-SA"/>
              </w:rPr>
              <w:t>建成后全厂核定排放总量：</w:t>
            </w:r>
          </w:p>
          <w:p w14:paraId="2463665F">
            <w:pPr>
              <w:pStyle w:val="46"/>
              <w:rPr>
                <w:rFonts w:hint="default"/>
                <w:b/>
                <w:bCs/>
                <w:color w:val="auto"/>
                <w:sz w:val="21"/>
                <w:szCs w:val="21"/>
                <w:highlight w:val="none"/>
                <w:lang w:val="en-US" w:eastAsia="zh-CN"/>
              </w:rPr>
            </w:pPr>
            <w:r>
              <w:rPr>
                <w:rFonts w:hint="eastAsia"/>
                <w:b/>
                <w:bCs/>
                <w:color w:val="auto"/>
                <w:sz w:val="21"/>
                <w:szCs w:val="21"/>
                <w:highlight w:val="none"/>
                <w:lang w:val="en-US" w:eastAsia="zh-CN"/>
              </w:rPr>
              <w:t>表</w:t>
            </w:r>
            <w:r>
              <w:rPr>
                <w:rFonts w:hint="default" w:ascii="Times New Roman" w:hAnsi="Times New Roman" w:cs="Times New Roman"/>
                <w:b/>
                <w:bCs/>
                <w:color w:val="auto"/>
                <w:sz w:val="21"/>
                <w:szCs w:val="21"/>
                <w:highlight w:val="none"/>
                <w:lang w:val="en-US" w:eastAsia="zh-CN"/>
              </w:rPr>
              <w:t>3-11</w:t>
            </w:r>
            <w:r>
              <w:rPr>
                <w:rFonts w:hint="eastAsia"/>
                <w:b/>
                <w:bCs/>
                <w:color w:val="auto"/>
                <w:sz w:val="21"/>
                <w:szCs w:val="21"/>
                <w:highlight w:val="none"/>
                <w:lang w:val="en-US" w:eastAsia="zh-CN"/>
              </w:rPr>
              <w:t xml:space="preserve"> 建成后全厂核定排放总量   单位</w:t>
            </w:r>
            <w:r>
              <w:rPr>
                <w:rFonts w:hint="default" w:ascii="Times New Roman" w:hAnsi="Times New Roman" w:cs="Times New Roman"/>
                <w:b/>
                <w:bCs/>
                <w:color w:val="auto"/>
                <w:sz w:val="21"/>
                <w:szCs w:val="21"/>
                <w:highlight w:val="none"/>
                <w:lang w:val="en-US" w:eastAsia="zh-CN"/>
              </w:rPr>
              <w:t>t/a</w:t>
            </w:r>
          </w:p>
          <w:tbl>
            <w:tblPr>
              <w:tblStyle w:val="3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6"/>
              <w:gridCol w:w="1371"/>
              <w:gridCol w:w="1762"/>
              <w:gridCol w:w="1922"/>
              <w:gridCol w:w="2091"/>
            </w:tblGrid>
            <w:tr w14:paraId="7F334A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tcBorders>
                    <w:tl2br w:val="nil"/>
                    <w:tr2bl w:val="nil"/>
                  </w:tcBorders>
                  <w:vAlign w:val="center"/>
                </w:tcPr>
                <w:p w14:paraId="676DBE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类别</w:t>
                  </w:r>
                </w:p>
              </w:tc>
              <w:tc>
                <w:tcPr>
                  <w:tcW w:w="1369" w:type="dxa"/>
                  <w:tcBorders>
                    <w:tl2br w:val="nil"/>
                    <w:tr2bl w:val="nil"/>
                  </w:tcBorders>
                  <w:vAlign w:val="center"/>
                </w:tcPr>
                <w:p w14:paraId="0A17CC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总量控制因子</w:t>
                  </w:r>
                </w:p>
              </w:tc>
              <w:tc>
                <w:tcPr>
                  <w:tcW w:w="1760" w:type="dxa"/>
                  <w:tcBorders>
                    <w:tl2br w:val="nil"/>
                    <w:tr2bl w:val="nil"/>
                  </w:tcBorders>
                  <w:vAlign w:val="center"/>
                </w:tcPr>
                <w:p w14:paraId="0C2E1A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本项目核定排放量</w:t>
                  </w:r>
                </w:p>
              </w:tc>
              <w:tc>
                <w:tcPr>
                  <w:tcW w:w="1920" w:type="dxa"/>
                  <w:tcBorders>
                    <w:tl2br w:val="nil"/>
                    <w:tr2bl w:val="nil"/>
                  </w:tcBorders>
                  <w:vAlign w:val="center"/>
                </w:tcPr>
                <w:p w14:paraId="16E657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在建工程核定排放量</w:t>
                  </w:r>
                </w:p>
              </w:tc>
              <w:tc>
                <w:tcPr>
                  <w:tcW w:w="2088" w:type="dxa"/>
                  <w:tcBorders>
                    <w:tl2br w:val="nil"/>
                    <w:tr2bl w:val="nil"/>
                  </w:tcBorders>
                  <w:vAlign w:val="center"/>
                </w:tcPr>
                <w:p w14:paraId="4FACD1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全厂核定排放量</w:t>
                  </w:r>
                </w:p>
              </w:tc>
            </w:tr>
            <w:tr w14:paraId="1DA214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24" w:type="dxa"/>
                  <w:vMerge w:val="restart"/>
                  <w:tcBorders>
                    <w:tl2br w:val="nil"/>
                    <w:tr2bl w:val="nil"/>
                  </w:tcBorders>
                  <w:vAlign w:val="center"/>
                </w:tcPr>
                <w:p w14:paraId="70F970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废气</w:t>
                  </w:r>
                </w:p>
              </w:tc>
              <w:tc>
                <w:tcPr>
                  <w:tcW w:w="1369" w:type="dxa"/>
                  <w:tcBorders>
                    <w:tl2br w:val="nil"/>
                    <w:tr2bl w:val="nil"/>
                  </w:tcBorders>
                  <w:vAlign w:val="center"/>
                </w:tcPr>
                <w:p w14:paraId="5923C5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VOCs</w:t>
                  </w:r>
                </w:p>
              </w:tc>
              <w:tc>
                <w:tcPr>
                  <w:tcW w:w="1760" w:type="dxa"/>
                  <w:tcBorders>
                    <w:tl2br w:val="nil"/>
                    <w:tr2bl w:val="nil"/>
                  </w:tcBorders>
                  <w:vAlign w:val="center"/>
                </w:tcPr>
                <w:p w14:paraId="44413E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920" w:type="dxa"/>
                  <w:tcBorders>
                    <w:tl2br w:val="nil"/>
                    <w:tr2bl w:val="nil"/>
                  </w:tcBorders>
                  <w:vAlign w:val="center"/>
                </w:tcPr>
                <w:p w14:paraId="137CFC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45.78</w:t>
                  </w:r>
                </w:p>
              </w:tc>
              <w:tc>
                <w:tcPr>
                  <w:tcW w:w="2088" w:type="dxa"/>
                  <w:tcBorders>
                    <w:tl2br w:val="nil"/>
                    <w:tr2bl w:val="nil"/>
                  </w:tcBorders>
                  <w:vAlign w:val="center"/>
                </w:tcPr>
                <w:p w14:paraId="31A1A8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45.78</w:t>
                  </w:r>
                </w:p>
              </w:tc>
            </w:tr>
            <w:tr w14:paraId="7898CD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624" w:type="dxa"/>
                  <w:vMerge w:val="continue"/>
                  <w:tcBorders>
                    <w:tl2br w:val="nil"/>
                    <w:tr2bl w:val="nil"/>
                  </w:tcBorders>
                  <w:vAlign w:val="center"/>
                </w:tcPr>
                <w:p w14:paraId="2E57B2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vertAlign w:val="baseline"/>
                      <w:lang w:val="en-US" w:eastAsia="zh-CN"/>
                    </w:rPr>
                  </w:pPr>
                </w:p>
              </w:tc>
              <w:tc>
                <w:tcPr>
                  <w:tcW w:w="1369" w:type="dxa"/>
                  <w:tcBorders>
                    <w:tl2br w:val="nil"/>
                    <w:tr2bl w:val="nil"/>
                  </w:tcBorders>
                  <w:vAlign w:val="center"/>
                </w:tcPr>
                <w:p w14:paraId="7B3C005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颗粒物</w:t>
                  </w:r>
                </w:p>
              </w:tc>
              <w:tc>
                <w:tcPr>
                  <w:tcW w:w="1760" w:type="dxa"/>
                  <w:tcBorders>
                    <w:tl2br w:val="nil"/>
                    <w:tr2bl w:val="nil"/>
                  </w:tcBorders>
                  <w:vAlign w:val="center"/>
                </w:tcPr>
                <w:p w14:paraId="3C790A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1.1624</w:t>
                  </w:r>
                </w:p>
              </w:tc>
              <w:tc>
                <w:tcPr>
                  <w:tcW w:w="1920" w:type="dxa"/>
                  <w:tcBorders>
                    <w:tl2br w:val="nil"/>
                    <w:tr2bl w:val="nil"/>
                  </w:tcBorders>
                  <w:vAlign w:val="center"/>
                </w:tcPr>
                <w:p w14:paraId="6B357A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1.74</w:t>
                  </w:r>
                </w:p>
              </w:tc>
              <w:tc>
                <w:tcPr>
                  <w:tcW w:w="2088" w:type="dxa"/>
                  <w:tcBorders>
                    <w:tl2br w:val="nil"/>
                    <w:tr2bl w:val="nil"/>
                  </w:tcBorders>
                  <w:vAlign w:val="center"/>
                </w:tcPr>
                <w:p w14:paraId="2313A6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2.9024</w:t>
                  </w:r>
                </w:p>
              </w:tc>
            </w:tr>
            <w:tr w14:paraId="079D5D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vMerge w:val="continue"/>
                  <w:tcBorders>
                    <w:tl2br w:val="nil"/>
                    <w:tr2bl w:val="nil"/>
                  </w:tcBorders>
                  <w:vAlign w:val="center"/>
                </w:tcPr>
                <w:p w14:paraId="1298E3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vertAlign w:val="baseline"/>
                      <w:lang w:val="en-US" w:eastAsia="zh-CN"/>
                    </w:rPr>
                  </w:pPr>
                </w:p>
              </w:tc>
              <w:tc>
                <w:tcPr>
                  <w:tcW w:w="1369" w:type="dxa"/>
                  <w:tcBorders>
                    <w:tl2br w:val="nil"/>
                    <w:tr2bl w:val="nil"/>
                  </w:tcBorders>
                  <w:vAlign w:val="center"/>
                </w:tcPr>
                <w:p w14:paraId="5B60B0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二氧化硫</w:t>
                  </w:r>
                </w:p>
              </w:tc>
              <w:tc>
                <w:tcPr>
                  <w:tcW w:w="1760" w:type="dxa"/>
                  <w:tcBorders>
                    <w:tl2br w:val="nil"/>
                    <w:tr2bl w:val="nil"/>
                  </w:tcBorders>
                  <w:vAlign w:val="center"/>
                </w:tcPr>
                <w:p w14:paraId="4C4CB8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5.5795</w:t>
                  </w:r>
                </w:p>
              </w:tc>
              <w:tc>
                <w:tcPr>
                  <w:tcW w:w="1920" w:type="dxa"/>
                  <w:tcBorders>
                    <w:tl2br w:val="nil"/>
                    <w:tr2bl w:val="nil"/>
                  </w:tcBorders>
                  <w:vAlign w:val="center"/>
                </w:tcPr>
                <w:p w14:paraId="4BBE2A0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8.35</w:t>
                  </w:r>
                </w:p>
              </w:tc>
              <w:tc>
                <w:tcPr>
                  <w:tcW w:w="2088" w:type="dxa"/>
                  <w:tcBorders>
                    <w:tl2br w:val="nil"/>
                    <w:tr2bl w:val="nil"/>
                  </w:tcBorders>
                  <w:vAlign w:val="center"/>
                </w:tcPr>
                <w:p w14:paraId="14379A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13.9295</w:t>
                  </w:r>
                </w:p>
              </w:tc>
            </w:tr>
            <w:tr w14:paraId="081F5D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24" w:type="dxa"/>
                  <w:vMerge w:val="continue"/>
                  <w:tcBorders>
                    <w:tl2br w:val="nil"/>
                    <w:tr2bl w:val="nil"/>
                  </w:tcBorders>
                  <w:vAlign w:val="center"/>
                </w:tcPr>
                <w:p w14:paraId="35475C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vertAlign w:val="baseline"/>
                      <w:lang w:val="en-US" w:eastAsia="zh-CN"/>
                    </w:rPr>
                  </w:pPr>
                </w:p>
              </w:tc>
              <w:tc>
                <w:tcPr>
                  <w:tcW w:w="1369" w:type="dxa"/>
                  <w:tcBorders>
                    <w:tl2br w:val="nil"/>
                    <w:tr2bl w:val="nil"/>
                  </w:tcBorders>
                  <w:vAlign w:val="center"/>
                </w:tcPr>
                <w:p w14:paraId="32CF2D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氮氧化物</w:t>
                  </w:r>
                </w:p>
              </w:tc>
              <w:tc>
                <w:tcPr>
                  <w:tcW w:w="1760" w:type="dxa"/>
                  <w:tcBorders>
                    <w:tl2br w:val="nil"/>
                    <w:tr2bl w:val="nil"/>
                  </w:tcBorders>
                  <w:vAlign w:val="center"/>
                </w:tcPr>
                <w:p w14:paraId="10D567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6.974</w:t>
                  </w:r>
                </w:p>
              </w:tc>
              <w:tc>
                <w:tcPr>
                  <w:tcW w:w="1920" w:type="dxa"/>
                  <w:tcBorders>
                    <w:tl2br w:val="nil"/>
                    <w:tr2bl w:val="nil"/>
                  </w:tcBorders>
                  <w:vAlign w:val="center"/>
                </w:tcPr>
                <w:p w14:paraId="033BA7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10.44</w:t>
                  </w:r>
                </w:p>
              </w:tc>
              <w:tc>
                <w:tcPr>
                  <w:tcW w:w="2088" w:type="dxa"/>
                  <w:tcBorders>
                    <w:tl2br w:val="nil"/>
                    <w:tr2bl w:val="nil"/>
                  </w:tcBorders>
                  <w:vAlign w:val="center"/>
                </w:tcPr>
                <w:p w14:paraId="1AEF72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17.414</w:t>
                  </w:r>
                </w:p>
              </w:tc>
            </w:tr>
          </w:tbl>
          <w:p w14:paraId="29DD9F48">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olor w:val="auto"/>
                <w:sz w:val="24"/>
                <w:szCs w:val="24"/>
                <w:highlight w:val="none"/>
                <w:lang w:val="en-US" w:eastAsia="zh-CN"/>
              </w:rPr>
              <w:t>现有工程还处于建设阶段，排放量按《</w:t>
            </w:r>
            <w:r>
              <w:rPr>
                <w:rFonts w:hint="eastAsia" w:ascii="宋体" w:hAnsi="宋体" w:cs="宋体"/>
                <w:bCs/>
                <w:color w:val="auto"/>
                <w:spacing w:val="0"/>
                <w:sz w:val="24"/>
                <w:szCs w:val="24"/>
                <w:highlight w:val="none"/>
                <w:shd w:val="clear"/>
                <w:lang w:val="en-US" w:eastAsia="zh-CN"/>
              </w:rPr>
              <w:t>黑龙江省鸡西市梨树区燎泰高强度着色粉和中间体项目（一期）环境影响报告书</w:t>
            </w:r>
            <w:r>
              <w:rPr>
                <w:rFonts w:hint="eastAsia" w:ascii="Times New Roman" w:hAnsi="Times New Roman"/>
                <w:color w:val="auto"/>
                <w:sz w:val="24"/>
                <w:szCs w:val="24"/>
                <w:highlight w:val="none"/>
                <w:lang w:val="en-US" w:eastAsia="zh-CN"/>
              </w:rPr>
              <w:t>》中的预测排放量计。</w:t>
            </w:r>
          </w:p>
          <w:p w14:paraId="2EF082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color w:val="auto"/>
                <w:kern w:val="0"/>
                <w:sz w:val="21"/>
                <w:szCs w:val="21"/>
                <w:highlight w:val="none"/>
              </w:rPr>
            </w:pPr>
            <w:r>
              <w:rPr>
                <w:rFonts w:hint="eastAsia" w:ascii="Times New Roman" w:hAnsi="Times New Roman" w:eastAsia="宋体" w:cs="Times New Roman"/>
                <w:b/>
                <w:color w:val="auto"/>
                <w:kern w:val="0"/>
                <w:sz w:val="21"/>
                <w:szCs w:val="21"/>
                <w:highlight w:val="none"/>
              </w:rPr>
              <w:t>表3-</w:t>
            </w:r>
            <w:r>
              <w:rPr>
                <w:rFonts w:hint="eastAsia" w:ascii="Times New Roman" w:hAnsi="Times New Roman" w:eastAsia="宋体" w:cs="Times New Roman"/>
                <w:b/>
                <w:color w:val="auto"/>
                <w:kern w:val="0"/>
                <w:sz w:val="21"/>
                <w:szCs w:val="21"/>
                <w:highlight w:val="none"/>
                <w:lang w:val="en-US" w:eastAsia="zh-CN"/>
              </w:rPr>
              <w:t>1</w:t>
            </w:r>
            <w:r>
              <w:rPr>
                <w:rFonts w:hint="eastAsia" w:ascii="Times New Roman" w:hAnsi="Times New Roman" w:cs="Times New Roman"/>
                <w:b/>
                <w:color w:val="auto"/>
                <w:kern w:val="0"/>
                <w:sz w:val="21"/>
                <w:szCs w:val="21"/>
                <w:highlight w:val="none"/>
                <w:lang w:val="en-US" w:eastAsia="zh-CN"/>
              </w:rPr>
              <w:t>2</w:t>
            </w:r>
            <w:r>
              <w:rPr>
                <w:rFonts w:hint="eastAsia" w:ascii="Times New Roman" w:hAnsi="Times New Roman" w:eastAsia="宋体" w:cs="Times New Roman"/>
                <w:b/>
                <w:color w:val="auto"/>
                <w:kern w:val="0"/>
                <w:sz w:val="21"/>
                <w:szCs w:val="21"/>
                <w:highlight w:val="none"/>
              </w:rPr>
              <w:t xml:space="preserve">  项目实施前后“三本帐”   单位：t/a</w:t>
            </w:r>
          </w:p>
          <w:tbl>
            <w:tblPr>
              <w:tblStyle w:val="37"/>
              <w:tblW w:w="783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0"/>
              <w:gridCol w:w="768"/>
              <w:gridCol w:w="884"/>
              <w:gridCol w:w="921"/>
              <w:gridCol w:w="921"/>
              <w:gridCol w:w="854"/>
              <w:gridCol w:w="927"/>
              <w:gridCol w:w="924"/>
              <w:gridCol w:w="1087"/>
            </w:tblGrid>
            <w:tr w14:paraId="4B2735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550" w:type="dxa"/>
                  <w:noWrap w:val="0"/>
                  <w:vAlign w:val="center"/>
                </w:tcPr>
                <w:p w14:paraId="0EBD83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r>
                    <w:rPr>
                      <w:rFonts w:hint="eastAsia" w:asciiTheme="minorEastAsia" w:hAnsiTheme="minorEastAsia" w:eastAsiaTheme="minorEastAsia" w:cstheme="minorEastAsia"/>
                      <w:bCs/>
                      <w:color w:val="auto"/>
                      <w:sz w:val="21"/>
                      <w:szCs w:val="21"/>
                      <w:highlight w:val="none"/>
                    </w:rPr>
                    <w:t>项目</w:t>
                  </w:r>
                </w:p>
              </w:tc>
              <w:tc>
                <w:tcPr>
                  <w:tcW w:w="768" w:type="dxa"/>
                  <w:noWrap w:val="0"/>
                  <w:vAlign w:val="center"/>
                </w:tcPr>
                <w:p w14:paraId="51B827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r>
                    <w:rPr>
                      <w:rFonts w:hint="eastAsia" w:asciiTheme="minorEastAsia" w:hAnsiTheme="minorEastAsia" w:eastAsiaTheme="minorEastAsia" w:cstheme="minorEastAsia"/>
                      <w:bCs/>
                      <w:color w:val="auto"/>
                      <w:sz w:val="21"/>
                      <w:szCs w:val="21"/>
                      <w:highlight w:val="none"/>
                    </w:rPr>
                    <w:t>污染物</w:t>
                  </w:r>
                </w:p>
              </w:tc>
              <w:tc>
                <w:tcPr>
                  <w:tcW w:w="884" w:type="dxa"/>
                  <w:noWrap w:val="0"/>
                  <w:vAlign w:val="center"/>
                </w:tcPr>
                <w:p w14:paraId="3DC9EB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r>
                    <w:rPr>
                      <w:rFonts w:hint="eastAsia" w:asciiTheme="minorEastAsia" w:hAnsiTheme="minorEastAsia" w:eastAsiaTheme="minorEastAsia" w:cstheme="minorEastAsia"/>
                      <w:bCs/>
                      <w:color w:val="auto"/>
                      <w:sz w:val="21"/>
                      <w:szCs w:val="21"/>
                      <w:highlight w:val="none"/>
                    </w:rPr>
                    <w:t>现有工程排放量</w:t>
                  </w:r>
                </w:p>
              </w:tc>
              <w:tc>
                <w:tcPr>
                  <w:tcW w:w="921" w:type="dxa"/>
                  <w:noWrap w:val="0"/>
                  <w:vAlign w:val="center"/>
                </w:tcPr>
                <w:p w14:paraId="448934E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lang w:val="en-US" w:eastAsia="zh-CN"/>
                    </w:rPr>
                  </w:pPr>
                  <w:r>
                    <w:rPr>
                      <w:rFonts w:hint="eastAsia" w:asciiTheme="minorEastAsia" w:hAnsiTheme="minorEastAsia" w:eastAsiaTheme="minorEastAsia" w:cstheme="minorEastAsia"/>
                      <w:bCs/>
                      <w:color w:val="auto"/>
                      <w:sz w:val="21"/>
                      <w:szCs w:val="21"/>
                      <w:highlight w:val="none"/>
                      <w:lang w:val="en-US" w:eastAsia="zh-CN"/>
                    </w:rPr>
                    <w:t>在建工程</w:t>
                  </w:r>
                  <w:r>
                    <w:rPr>
                      <w:rFonts w:hint="eastAsia" w:asciiTheme="minorEastAsia" w:hAnsiTheme="minorEastAsia" w:eastAsiaTheme="minorEastAsia" w:cstheme="minorEastAsia"/>
                      <w:bCs/>
                      <w:color w:val="auto"/>
                      <w:sz w:val="21"/>
                      <w:szCs w:val="21"/>
                      <w:highlight w:val="none"/>
                    </w:rPr>
                    <w:t>排放量</w:t>
                  </w:r>
                </w:p>
              </w:tc>
              <w:tc>
                <w:tcPr>
                  <w:tcW w:w="921" w:type="dxa"/>
                  <w:noWrap w:val="0"/>
                  <w:vAlign w:val="center"/>
                </w:tcPr>
                <w:p w14:paraId="682B06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r>
                    <w:rPr>
                      <w:rFonts w:hint="eastAsia" w:asciiTheme="minorEastAsia" w:hAnsiTheme="minorEastAsia" w:eastAsiaTheme="minorEastAsia" w:cstheme="minorEastAsia"/>
                      <w:bCs/>
                      <w:color w:val="auto"/>
                      <w:sz w:val="21"/>
                      <w:szCs w:val="21"/>
                      <w:highlight w:val="none"/>
                    </w:rPr>
                    <w:t>本项目预测排放量</w:t>
                  </w:r>
                </w:p>
              </w:tc>
              <w:tc>
                <w:tcPr>
                  <w:tcW w:w="854" w:type="dxa"/>
                  <w:noWrap w:val="0"/>
                  <w:vAlign w:val="center"/>
                </w:tcPr>
                <w:p w14:paraId="5428C6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r>
                    <w:rPr>
                      <w:rFonts w:hint="eastAsia" w:asciiTheme="minorEastAsia" w:hAnsiTheme="minorEastAsia" w:eastAsiaTheme="minorEastAsia" w:cstheme="minorEastAsia"/>
                      <w:bCs/>
                      <w:color w:val="auto"/>
                      <w:sz w:val="21"/>
                      <w:szCs w:val="21"/>
                      <w:highlight w:val="none"/>
                    </w:rPr>
                    <w:t>本项目核定排放量</w:t>
                  </w:r>
                </w:p>
              </w:tc>
              <w:tc>
                <w:tcPr>
                  <w:tcW w:w="927" w:type="dxa"/>
                  <w:noWrap w:val="0"/>
                  <w:vAlign w:val="center"/>
                </w:tcPr>
                <w:p w14:paraId="64B9A4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r>
                    <w:rPr>
                      <w:rFonts w:hint="eastAsia" w:asciiTheme="minorEastAsia" w:hAnsiTheme="minorEastAsia" w:eastAsiaTheme="minorEastAsia" w:cstheme="minorEastAsia"/>
                      <w:bCs/>
                      <w:color w:val="auto"/>
                      <w:sz w:val="21"/>
                      <w:szCs w:val="21"/>
                      <w:highlight w:val="none"/>
                    </w:rPr>
                    <w:t>以新带老消减量</w:t>
                  </w:r>
                </w:p>
              </w:tc>
              <w:tc>
                <w:tcPr>
                  <w:tcW w:w="924" w:type="dxa"/>
                  <w:noWrap w:val="0"/>
                  <w:vAlign w:val="center"/>
                </w:tcPr>
                <w:p w14:paraId="491925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r>
                    <w:rPr>
                      <w:rFonts w:hint="eastAsia" w:asciiTheme="minorEastAsia" w:hAnsiTheme="minorEastAsia" w:eastAsiaTheme="minorEastAsia" w:cstheme="minorEastAsia"/>
                      <w:bCs/>
                      <w:color w:val="auto"/>
                      <w:sz w:val="21"/>
                      <w:szCs w:val="21"/>
                      <w:highlight w:val="none"/>
                    </w:rPr>
                    <w:t>总排放量</w:t>
                  </w:r>
                </w:p>
              </w:tc>
              <w:tc>
                <w:tcPr>
                  <w:tcW w:w="1087" w:type="dxa"/>
                  <w:noWrap w:val="0"/>
                  <w:vAlign w:val="center"/>
                </w:tcPr>
                <w:p w14:paraId="5384AF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r>
                    <w:rPr>
                      <w:rFonts w:hint="eastAsia" w:asciiTheme="minorEastAsia" w:hAnsiTheme="minorEastAsia" w:eastAsiaTheme="minorEastAsia" w:cstheme="minorEastAsia"/>
                      <w:bCs/>
                      <w:color w:val="auto"/>
                      <w:sz w:val="21"/>
                      <w:szCs w:val="21"/>
                      <w:highlight w:val="none"/>
                    </w:rPr>
                    <w:t>增减量</w:t>
                  </w:r>
                </w:p>
              </w:tc>
            </w:tr>
            <w:tr w14:paraId="12BA44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53" w:hRule="atLeast"/>
                <w:jc w:val="center"/>
              </w:trPr>
              <w:tc>
                <w:tcPr>
                  <w:tcW w:w="550" w:type="dxa"/>
                  <w:vMerge w:val="restart"/>
                  <w:noWrap w:val="0"/>
                  <w:vAlign w:val="center"/>
                </w:tcPr>
                <w:p w14:paraId="00595E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r>
                    <w:rPr>
                      <w:rFonts w:hint="eastAsia" w:asciiTheme="minorEastAsia" w:hAnsiTheme="minorEastAsia" w:eastAsiaTheme="minorEastAsia" w:cstheme="minorEastAsia"/>
                      <w:bCs/>
                      <w:color w:val="auto"/>
                      <w:sz w:val="21"/>
                      <w:szCs w:val="21"/>
                      <w:highlight w:val="none"/>
                    </w:rPr>
                    <w:t>废气</w:t>
                  </w:r>
                </w:p>
              </w:tc>
              <w:tc>
                <w:tcPr>
                  <w:tcW w:w="768" w:type="dxa"/>
                  <w:noWrap w:val="0"/>
                  <w:vAlign w:val="center"/>
                </w:tcPr>
                <w:p w14:paraId="67F808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lang w:eastAsia="zh-CN"/>
                    </w:rPr>
                  </w:pPr>
                  <w:r>
                    <w:rPr>
                      <w:rFonts w:hint="eastAsia" w:asciiTheme="minorEastAsia" w:hAnsiTheme="minorEastAsia" w:eastAsiaTheme="minorEastAsia" w:cstheme="minorEastAsia"/>
                      <w:bCs/>
                      <w:color w:val="auto"/>
                      <w:sz w:val="21"/>
                      <w:szCs w:val="21"/>
                      <w:highlight w:val="none"/>
                      <w:lang w:val="en-US" w:eastAsia="zh-CN"/>
                    </w:rPr>
                    <w:t>颗粒物</w:t>
                  </w:r>
                </w:p>
              </w:tc>
              <w:tc>
                <w:tcPr>
                  <w:tcW w:w="884" w:type="dxa"/>
                  <w:noWrap w:val="0"/>
                  <w:vAlign w:val="center"/>
                </w:tcPr>
                <w:p w14:paraId="544D23B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color w:val="auto"/>
                      <w:spacing w:val="0"/>
                      <w:kern w:val="2"/>
                      <w:sz w:val="21"/>
                      <w:szCs w:val="21"/>
                      <w:highlight w:val="none"/>
                      <w:lang w:val="en-US" w:eastAsia="zh-CN" w:bidi="ar-SA"/>
                    </w:rPr>
                    <w:t>0</w:t>
                  </w:r>
                </w:p>
              </w:tc>
              <w:tc>
                <w:tcPr>
                  <w:tcW w:w="921" w:type="dxa"/>
                  <w:noWrap w:val="0"/>
                  <w:vAlign w:val="center"/>
                </w:tcPr>
                <w:p w14:paraId="6C09F91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heme="minorEastAsia" w:hAnsiTheme="minorEastAsia" w:eastAsiaTheme="minorEastAsia" w:cstheme="minorEastAsia"/>
                      <w:b w:val="0"/>
                      <w:bCs/>
                      <w:color w:val="auto"/>
                      <w:kern w:val="2"/>
                      <w:sz w:val="21"/>
                      <w:szCs w:val="21"/>
                      <w:highlight w:val="none"/>
                      <w:lang w:val="en-US" w:eastAsia="zh-CN" w:bidi="ar-SA"/>
                    </w:rPr>
                  </w:pPr>
                  <w:r>
                    <w:rPr>
                      <w:rFonts w:hint="eastAsia" w:asciiTheme="minorEastAsia" w:hAnsiTheme="minorEastAsia" w:eastAsiaTheme="minorEastAsia" w:cstheme="minorEastAsia"/>
                      <w:color w:val="auto"/>
                      <w:spacing w:val="0"/>
                      <w:kern w:val="2"/>
                      <w:sz w:val="21"/>
                      <w:szCs w:val="21"/>
                      <w:highlight w:val="none"/>
                      <w:lang w:val="en-US" w:eastAsia="zh-CN" w:bidi="ar-SA"/>
                    </w:rPr>
                    <w:t>0.7503</w:t>
                  </w:r>
                </w:p>
              </w:tc>
              <w:tc>
                <w:tcPr>
                  <w:tcW w:w="921" w:type="dxa"/>
                  <w:noWrap w:val="0"/>
                  <w:vAlign w:val="center"/>
                </w:tcPr>
                <w:p w14:paraId="1FB16D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 w:val="0"/>
                      <w:bCs/>
                      <w:color w:val="auto"/>
                      <w:sz w:val="21"/>
                      <w:szCs w:val="21"/>
                      <w:highlight w:val="none"/>
                      <w:lang w:val="en-US" w:eastAsia="zh-CN"/>
                    </w:rPr>
                  </w:pPr>
                  <w:r>
                    <w:rPr>
                      <w:rFonts w:hint="eastAsia" w:cs="宋体"/>
                      <w:color w:val="auto"/>
                      <w:spacing w:val="0"/>
                      <w:kern w:val="0"/>
                      <w:sz w:val="21"/>
                      <w:szCs w:val="21"/>
                      <w:highlight w:val="none"/>
                      <w:lang w:val="en-US" w:eastAsia="zh-CN"/>
                    </w:rPr>
                    <w:t>0.102</w:t>
                  </w:r>
                </w:p>
              </w:tc>
              <w:tc>
                <w:tcPr>
                  <w:tcW w:w="854" w:type="dxa"/>
                  <w:noWrap w:val="0"/>
                  <w:vAlign w:val="center"/>
                </w:tcPr>
                <w:p w14:paraId="244337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1.1624</w:t>
                  </w:r>
                </w:p>
              </w:tc>
              <w:tc>
                <w:tcPr>
                  <w:tcW w:w="927" w:type="dxa"/>
                  <w:noWrap w:val="0"/>
                  <w:vAlign w:val="center"/>
                </w:tcPr>
                <w:p w14:paraId="27E70897">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0</w:t>
                  </w:r>
                </w:p>
              </w:tc>
              <w:tc>
                <w:tcPr>
                  <w:tcW w:w="924" w:type="dxa"/>
                  <w:noWrap w:val="0"/>
                  <w:vAlign w:val="center"/>
                </w:tcPr>
                <w:p w14:paraId="3382B39E">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0.8523</w:t>
                  </w:r>
                </w:p>
              </w:tc>
              <w:tc>
                <w:tcPr>
                  <w:tcW w:w="1087" w:type="dxa"/>
                  <w:noWrap w:val="0"/>
                  <w:vAlign w:val="center"/>
                </w:tcPr>
                <w:p w14:paraId="1D92CD7C">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heme="minorEastAsia" w:hAnsiTheme="minorEastAsia" w:eastAsiaTheme="minorEastAsia" w:cstheme="minorEastAsia"/>
                      <w:b w:val="0"/>
                      <w:bCs/>
                      <w:snapToGrid w:val="0"/>
                      <w:color w:val="auto"/>
                      <w:kern w:val="21"/>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+0.102</w:t>
                  </w:r>
                </w:p>
              </w:tc>
            </w:tr>
            <w:tr w14:paraId="789CBA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4" w:hRule="atLeast"/>
                <w:jc w:val="center"/>
              </w:trPr>
              <w:tc>
                <w:tcPr>
                  <w:tcW w:w="550" w:type="dxa"/>
                  <w:vMerge w:val="continue"/>
                  <w:noWrap w:val="0"/>
                  <w:vAlign w:val="center"/>
                </w:tcPr>
                <w:p w14:paraId="18BFFB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p>
              </w:tc>
              <w:tc>
                <w:tcPr>
                  <w:tcW w:w="768" w:type="dxa"/>
                  <w:noWrap w:val="0"/>
                  <w:vAlign w:val="center"/>
                </w:tcPr>
                <w:p w14:paraId="22CB71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r>
                    <w:rPr>
                      <w:rFonts w:hint="eastAsia" w:asciiTheme="minorEastAsia" w:hAnsiTheme="minorEastAsia" w:eastAsiaTheme="minorEastAsia" w:cstheme="minorEastAsia"/>
                      <w:bCs/>
                      <w:color w:val="auto"/>
                      <w:sz w:val="21"/>
                      <w:szCs w:val="21"/>
                      <w:highlight w:val="none"/>
                    </w:rPr>
                    <w:t>SO</w:t>
                  </w:r>
                  <w:r>
                    <w:rPr>
                      <w:rFonts w:hint="eastAsia" w:asciiTheme="minorEastAsia" w:hAnsiTheme="minorEastAsia" w:eastAsiaTheme="minorEastAsia" w:cstheme="minorEastAsia"/>
                      <w:bCs/>
                      <w:color w:val="auto"/>
                      <w:sz w:val="21"/>
                      <w:szCs w:val="21"/>
                      <w:highlight w:val="none"/>
                      <w:vertAlign w:val="subscript"/>
                    </w:rPr>
                    <w:t>2</w:t>
                  </w:r>
                </w:p>
              </w:tc>
              <w:tc>
                <w:tcPr>
                  <w:tcW w:w="884" w:type="dxa"/>
                  <w:noWrap w:val="0"/>
                  <w:vAlign w:val="center"/>
                </w:tcPr>
                <w:p w14:paraId="4D8E679D">
                  <w:pPr>
                    <w:pStyle w:val="70"/>
                    <w:rPr>
                      <w:rFonts w:hint="eastAsia"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bCs/>
                      <w:i w:val="0"/>
                      <w:iCs w:val="0"/>
                      <w:color w:val="auto"/>
                      <w:spacing w:val="0"/>
                      <w:kern w:val="2"/>
                      <w:sz w:val="21"/>
                      <w:szCs w:val="21"/>
                      <w:highlight w:val="none"/>
                      <w:u w:val="none"/>
                      <w:lang w:val="en-US" w:eastAsia="zh-CN" w:bidi="ar-SA"/>
                    </w:rPr>
                    <w:t>0</w:t>
                  </w:r>
                </w:p>
              </w:tc>
              <w:tc>
                <w:tcPr>
                  <w:tcW w:w="921" w:type="dxa"/>
                  <w:noWrap w:val="0"/>
                  <w:vAlign w:val="center"/>
                </w:tcPr>
                <w:p w14:paraId="723727D1">
                  <w:pPr>
                    <w:pStyle w:val="70"/>
                    <w:rPr>
                      <w:rFonts w:hint="eastAsia" w:asciiTheme="minorEastAsia" w:hAnsiTheme="minorEastAsia" w:eastAsiaTheme="minorEastAsia" w:cstheme="minorEastAsia"/>
                      <w:b w:val="0"/>
                      <w:bCs/>
                      <w:color w:val="auto"/>
                      <w:kern w:val="2"/>
                      <w:sz w:val="21"/>
                      <w:szCs w:val="21"/>
                      <w:highlight w:val="none"/>
                      <w:lang w:val="en-US" w:eastAsia="zh-CN" w:bidi="ar-SA"/>
                    </w:rPr>
                  </w:pPr>
                  <w:r>
                    <w:rPr>
                      <w:rFonts w:hint="eastAsia" w:asciiTheme="minorEastAsia" w:hAnsiTheme="minorEastAsia" w:eastAsiaTheme="minorEastAsia" w:cstheme="minorEastAsia"/>
                      <w:bCs/>
                      <w:i w:val="0"/>
                      <w:iCs w:val="0"/>
                      <w:color w:val="auto"/>
                      <w:spacing w:val="0"/>
                      <w:kern w:val="2"/>
                      <w:sz w:val="21"/>
                      <w:szCs w:val="21"/>
                      <w:highlight w:val="none"/>
                      <w:u w:val="none"/>
                      <w:lang w:val="en-US" w:eastAsia="zh-CN" w:bidi="ar-SA"/>
                    </w:rPr>
                    <w:t>2.698</w:t>
                  </w:r>
                </w:p>
              </w:tc>
              <w:tc>
                <w:tcPr>
                  <w:tcW w:w="921" w:type="dxa"/>
                  <w:noWrap w:val="0"/>
                  <w:vAlign w:val="center"/>
                </w:tcPr>
                <w:p w14:paraId="06478B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 w:val="0"/>
                      <w:bCs/>
                      <w:color w:val="auto"/>
                      <w:sz w:val="21"/>
                      <w:szCs w:val="21"/>
                      <w:highlight w:val="none"/>
                      <w:lang w:val="en-US" w:eastAsia="zh-CN"/>
                    </w:rPr>
                  </w:pPr>
                  <w:r>
                    <w:rPr>
                      <w:rFonts w:hint="eastAsia" w:cs="宋体"/>
                      <w:bCs/>
                      <w:i w:val="0"/>
                      <w:color w:val="auto"/>
                      <w:spacing w:val="0"/>
                      <w:kern w:val="2"/>
                      <w:sz w:val="21"/>
                      <w:szCs w:val="21"/>
                      <w:highlight w:val="none"/>
                      <w:u w:val="none"/>
                      <w:lang w:val="en-US" w:eastAsia="zh-CN" w:bidi="ar-SA"/>
                    </w:rPr>
                    <w:t>1.962</w:t>
                  </w:r>
                </w:p>
              </w:tc>
              <w:tc>
                <w:tcPr>
                  <w:tcW w:w="854" w:type="dxa"/>
                  <w:noWrap w:val="0"/>
                  <w:vAlign w:val="center"/>
                </w:tcPr>
                <w:p w14:paraId="0F0BC5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5.5795</w:t>
                  </w:r>
                </w:p>
              </w:tc>
              <w:tc>
                <w:tcPr>
                  <w:tcW w:w="927" w:type="dxa"/>
                  <w:noWrap w:val="0"/>
                  <w:vAlign w:val="center"/>
                </w:tcPr>
                <w:p w14:paraId="0B8B1F56">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0</w:t>
                  </w:r>
                </w:p>
              </w:tc>
              <w:tc>
                <w:tcPr>
                  <w:tcW w:w="924" w:type="dxa"/>
                  <w:noWrap w:val="0"/>
                  <w:vAlign w:val="center"/>
                </w:tcPr>
                <w:p w14:paraId="6167EC15">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4.66</w:t>
                  </w:r>
                </w:p>
              </w:tc>
              <w:tc>
                <w:tcPr>
                  <w:tcW w:w="1087" w:type="dxa"/>
                  <w:noWrap w:val="0"/>
                  <w:vAlign w:val="center"/>
                </w:tcPr>
                <w:p w14:paraId="05A87987">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heme="minorEastAsia" w:hAnsiTheme="minorEastAsia" w:eastAsiaTheme="minorEastAsia" w:cstheme="minorEastAsia"/>
                      <w:b w:val="0"/>
                      <w:bCs/>
                      <w:snapToGrid w:val="0"/>
                      <w:color w:val="auto"/>
                      <w:kern w:val="21"/>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+1.962</w:t>
                  </w:r>
                </w:p>
              </w:tc>
            </w:tr>
            <w:tr w14:paraId="7EF86B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4" w:hRule="atLeast"/>
                <w:jc w:val="center"/>
              </w:trPr>
              <w:tc>
                <w:tcPr>
                  <w:tcW w:w="550" w:type="dxa"/>
                  <w:vMerge w:val="continue"/>
                  <w:noWrap w:val="0"/>
                  <w:vAlign w:val="center"/>
                </w:tcPr>
                <w:p w14:paraId="7B368E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p>
              </w:tc>
              <w:tc>
                <w:tcPr>
                  <w:tcW w:w="768" w:type="dxa"/>
                  <w:noWrap w:val="0"/>
                  <w:vAlign w:val="center"/>
                </w:tcPr>
                <w:p w14:paraId="678BA9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r>
                    <w:rPr>
                      <w:rFonts w:hint="eastAsia" w:asciiTheme="minorEastAsia" w:hAnsiTheme="minorEastAsia" w:eastAsiaTheme="minorEastAsia" w:cstheme="minorEastAsia"/>
                      <w:bCs/>
                      <w:color w:val="auto"/>
                      <w:sz w:val="21"/>
                      <w:szCs w:val="21"/>
                      <w:highlight w:val="none"/>
                    </w:rPr>
                    <w:t>NO</w:t>
                  </w:r>
                  <w:r>
                    <w:rPr>
                      <w:rFonts w:hint="eastAsia" w:asciiTheme="minorEastAsia" w:hAnsiTheme="minorEastAsia" w:eastAsiaTheme="minorEastAsia" w:cstheme="minorEastAsia"/>
                      <w:bCs/>
                      <w:color w:val="auto"/>
                      <w:sz w:val="21"/>
                      <w:szCs w:val="21"/>
                      <w:highlight w:val="none"/>
                      <w:vertAlign w:val="subscript"/>
                    </w:rPr>
                    <w:t>X</w:t>
                  </w:r>
                </w:p>
              </w:tc>
              <w:tc>
                <w:tcPr>
                  <w:tcW w:w="884" w:type="dxa"/>
                  <w:noWrap w:val="0"/>
                  <w:vAlign w:val="center"/>
                </w:tcPr>
                <w:p w14:paraId="5E0798D5">
                  <w:pPr>
                    <w:pStyle w:val="70"/>
                    <w:rPr>
                      <w:rFonts w:hint="eastAsia"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color w:val="auto"/>
                      <w:spacing w:val="0"/>
                      <w:kern w:val="2"/>
                      <w:sz w:val="21"/>
                      <w:szCs w:val="21"/>
                      <w:highlight w:val="none"/>
                      <w:lang w:val="en-US" w:eastAsia="zh-CN" w:bidi="ar-SA"/>
                    </w:rPr>
                    <w:t>0</w:t>
                  </w:r>
                </w:p>
              </w:tc>
              <w:tc>
                <w:tcPr>
                  <w:tcW w:w="921" w:type="dxa"/>
                  <w:noWrap w:val="0"/>
                  <w:vAlign w:val="center"/>
                </w:tcPr>
                <w:p w14:paraId="37A6A758">
                  <w:pPr>
                    <w:pStyle w:val="70"/>
                    <w:rPr>
                      <w:rFonts w:hint="eastAsia" w:asciiTheme="minorEastAsia" w:hAnsiTheme="minorEastAsia" w:eastAsiaTheme="minorEastAsia" w:cstheme="minorEastAsia"/>
                      <w:b w:val="0"/>
                      <w:bCs/>
                      <w:color w:val="auto"/>
                      <w:kern w:val="2"/>
                      <w:sz w:val="21"/>
                      <w:szCs w:val="21"/>
                      <w:highlight w:val="none"/>
                      <w:lang w:val="en-US" w:eastAsia="zh-CN" w:bidi="ar-SA"/>
                    </w:rPr>
                  </w:pPr>
                  <w:r>
                    <w:rPr>
                      <w:rFonts w:hint="eastAsia" w:asciiTheme="minorEastAsia" w:hAnsiTheme="minorEastAsia" w:eastAsiaTheme="minorEastAsia" w:cstheme="minorEastAsia"/>
                      <w:color w:val="auto"/>
                      <w:spacing w:val="0"/>
                      <w:kern w:val="2"/>
                      <w:sz w:val="21"/>
                      <w:szCs w:val="21"/>
                      <w:highlight w:val="none"/>
                      <w:lang w:val="en-US" w:eastAsia="zh-CN" w:bidi="ar-SA"/>
                    </w:rPr>
                    <w:t>5.339</w:t>
                  </w:r>
                </w:p>
              </w:tc>
              <w:tc>
                <w:tcPr>
                  <w:tcW w:w="921" w:type="dxa"/>
                  <w:noWrap w:val="0"/>
                  <w:vAlign w:val="center"/>
                </w:tcPr>
                <w:p w14:paraId="4A2005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 w:val="0"/>
                      <w:bCs/>
                      <w:color w:val="auto"/>
                      <w:sz w:val="21"/>
                      <w:szCs w:val="21"/>
                      <w:highlight w:val="none"/>
                      <w:lang w:val="en-US" w:eastAsia="zh-CN"/>
                    </w:rPr>
                  </w:pPr>
                  <w:r>
                    <w:rPr>
                      <w:rFonts w:hint="eastAsia" w:cs="宋体"/>
                      <w:bCs/>
                      <w:i w:val="0"/>
                      <w:color w:val="auto"/>
                      <w:spacing w:val="0"/>
                      <w:kern w:val="0"/>
                      <w:sz w:val="21"/>
                      <w:szCs w:val="21"/>
                      <w:highlight w:val="none"/>
                      <w:u w:val="none"/>
                      <w:lang w:val="en-US" w:eastAsia="zh-CN" w:bidi="ar"/>
                    </w:rPr>
                    <w:t>6.28</w:t>
                  </w:r>
                </w:p>
              </w:tc>
              <w:tc>
                <w:tcPr>
                  <w:tcW w:w="854" w:type="dxa"/>
                  <w:noWrap w:val="0"/>
                  <w:vAlign w:val="center"/>
                </w:tcPr>
                <w:p w14:paraId="15E756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6.974</w:t>
                  </w:r>
                </w:p>
              </w:tc>
              <w:tc>
                <w:tcPr>
                  <w:tcW w:w="927" w:type="dxa"/>
                  <w:noWrap w:val="0"/>
                  <w:vAlign w:val="center"/>
                </w:tcPr>
                <w:p w14:paraId="1A02E9F4">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0</w:t>
                  </w:r>
                </w:p>
              </w:tc>
              <w:tc>
                <w:tcPr>
                  <w:tcW w:w="924" w:type="dxa"/>
                  <w:noWrap w:val="0"/>
                  <w:vAlign w:val="center"/>
                </w:tcPr>
                <w:p w14:paraId="1D2399CC">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11.619</w:t>
                  </w:r>
                </w:p>
              </w:tc>
              <w:tc>
                <w:tcPr>
                  <w:tcW w:w="1087" w:type="dxa"/>
                  <w:noWrap w:val="0"/>
                  <w:vAlign w:val="center"/>
                </w:tcPr>
                <w:p w14:paraId="234C0042">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heme="minorEastAsia" w:hAnsiTheme="minorEastAsia" w:eastAsiaTheme="minorEastAsia" w:cstheme="minorEastAsia"/>
                      <w:b w:val="0"/>
                      <w:bCs/>
                      <w:snapToGrid w:val="0"/>
                      <w:color w:val="auto"/>
                      <w:kern w:val="21"/>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+6.28</w:t>
                  </w:r>
                </w:p>
              </w:tc>
            </w:tr>
            <w:tr w14:paraId="7C03BF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4" w:hRule="atLeast"/>
                <w:jc w:val="center"/>
              </w:trPr>
              <w:tc>
                <w:tcPr>
                  <w:tcW w:w="550" w:type="dxa"/>
                  <w:vMerge w:val="continue"/>
                  <w:noWrap w:val="0"/>
                  <w:vAlign w:val="center"/>
                </w:tcPr>
                <w:p w14:paraId="46D43D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p>
              </w:tc>
              <w:tc>
                <w:tcPr>
                  <w:tcW w:w="768" w:type="dxa"/>
                  <w:noWrap w:val="0"/>
                  <w:vAlign w:val="center"/>
                </w:tcPr>
                <w:p w14:paraId="772AF2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lang w:val="en-US" w:eastAsia="zh-CN"/>
                    </w:rPr>
                  </w:pPr>
                  <w:r>
                    <w:rPr>
                      <w:rFonts w:hint="eastAsia" w:asciiTheme="minorEastAsia" w:hAnsiTheme="minorEastAsia" w:eastAsiaTheme="minorEastAsia" w:cstheme="minorEastAsia"/>
                      <w:bCs/>
                      <w:color w:val="auto"/>
                      <w:sz w:val="21"/>
                      <w:szCs w:val="21"/>
                      <w:highlight w:val="none"/>
                      <w:lang w:val="en-US" w:eastAsia="zh-CN"/>
                    </w:rPr>
                    <w:t>VOC</w:t>
                  </w:r>
                </w:p>
              </w:tc>
              <w:tc>
                <w:tcPr>
                  <w:tcW w:w="884" w:type="dxa"/>
                  <w:noWrap w:val="0"/>
                  <w:vAlign w:val="center"/>
                </w:tcPr>
                <w:p w14:paraId="5F71B75D">
                  <w:pPr>
                    <w:pStyle w:val="70"/>
                    <w:rPr>
                      <w:rFonts w:hint="eastAsia"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color w:val="auto"/>
                      <w:spacing w:val="0"/>
                      <w:kern w:val="2"/>
                      <w:sz w:val="21"/>
                      <w:szCs w:val="21"/>
                      <w:highlight w:val="none"/>
                      <w:lang w:val="en-US" w:eastAsia="zh-CN" w:bidi="ar-SA"/>
                    </w:rPr>
                    <w:t>0</w:t>
                  </w:r>
                </w:p>
              </w:tc>
              <w:tc>
                <w:tcPr>
                  <w:tcW w:w="921" w:type="dxa"/>
                  <w:noWrap w:val="0"/>
                  <w:vAlign w:val="center"/>
                </w:tcPr>
                <w:p w14:paraId="4843607C">
                  <w:pPr>
                    <w:pStyle w:val="70"/>
                    <w:rPr>
                      <w:rFonts w:hint="eastAsia" w:asciiTheme="minorEastAsia" w:hAnsiTheme="minorEastAsia" w:eastAsiaTheme="minorEastAsia" w:cstheme="minorEastAsia"/>
                      <w:b w:val="0"/>
                      <w:bCs/>
                      <w:color w:val="auto"/>
                      <w:kern w:val="2"/>
                      <w:sz w:val="21"/>
                      <w:szCs w:val="21"/>
                      <w:highlight w:val="none"/>
                      <w:lang w:val="en-US" w:eastAsia="zh-CN" w:bidi="ar-SA"/>
                    </w:rPr>
                  </w:pPr>
                  <w:r>
                    <w:rPr>
                      <w:rFonts w:hint="eastAsia" w:asciiTheme="minorEastAsia" w:hAnsiTheme="minorEastAsia" w:eastAsiaTheme="minorEastAsia" w:cstheme="minorEastAsia"/>
                      <w:color w:val="auto"/>
                      <w:spacing w:val="0"/>
                      <w:kern w:val="2"/>
                      <w:sz w:val="21"/>
                      <w:szCs w:val="21"/>
                      <w:highlight w:val="none"/>
                      <w:lang w:val="en-US" w:eastAsia="zh-CN" w:bidi="ar-SA"/>
                    </w:rPr>
                    <w:t>5.721</w:t>
                  </w:r>
                </w:p>
              </w:tc>
              <w:tc>
                <w:tcPr>
                  <w:tcW w:w="921" w:type="dxa"/>
                  <w:noWrap w:val="0"/>
                  <w:vAlign w:val="center"/>
                </w:tcPr>
                <w:p w14:paraId="38A12FC0">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heme="minorEastAsia" w:hAnsiTheme="minorEastAsia" w:eastAsiaTheme="minorEastAsia" w:cstheme="minorEastAsia"/>
                      <w:b w:val="0"/>
                      <w:bCs/>
                      <w:color w:val="auto"/>
                      <w:spacing w:val="0"/>
                      <w:sz w:val="21"/>
                      <w:szCs w:val="21"/>
                      <w:highlight w:val="none"/>
                      <w:lang w:val="en-US" w:eastAsia="zh-CN"/>
                    </w:rPr>
                  </w:pPr>
                  <w:r>
                    <w:rPr>
                      <w:rFonts w:hint="eastAsia" w:asciiTheme="minorEastAsia" w:hAnsiTheme="minorEastAsia" w:eastAsiaTheme="minorEastAsia" w:cstheme="minorEastAsia"/>
                      <w:b w:val="0"/>
                      <w:bCs/>
                      <w:color w:val="auto"/>
                      <w:spacing w:val="0"/>
                      <w:sz w:val="21"/>
                      <w:szCs w:val="21"/>
                      <w:highlight w:val="none"/>
                      <w:lang w:val="en-US" w:eastAsia="zh-CN"/>
                    </w:rPr>
                    <w:t>0</w:t>
                  </w:r>
                </w:p>
              </w:tc>
              <w:tc>
                <w:tcPr>
                  <w:tcW w:w="854" w:type="dxa"/>
                  <w:noWrap w:val="0"/>
                  <w:vAlign w:val="center"/>
                </w:tcPr>
                <w:p w14:paraId="3B3E2C9C">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heme="minorEastAsia" w:hAnsiTheme="minorEastAsia" w:eastAsiaTheme="minorEastAsia" w:cstheme="minorEastAsia"/>
                      <w:b w:val="0"/>
                      <w:bCs/>
                      <w:color w:val="auto"/>
                      <w:spacing w:val="0"/>
                      <w:sz w:val="21"/>
                      <w:szCs w:val="21"/>
                      <w:highlight w:val="none"/>
                      <w:lang w:val="en-US" w:eastAsia="zh-CN"/>
                    </w:rPr>
                  </w:pPr>
                  <w:r>
                    <w:rPr>
                      <w:rFonts w:hint="eastAsia" w:asciiTheme="minorEastAsia" w:hAnsiTheme="minorEastAsia" w:eastAsiaTheme="minorEastAsia" w:cstheme="minorEastAsia"/>
                      <w:b w:val="0"/>
                      <w:bCs/>
                      <w:color w:val="auto"/>
                      <w:spacing w:val="0"/>
                      <w:sz w:val="21"/>
                      <w:szCs w:val="21"/>
                      <w:highlight w:val="none"/>
                      <w:lang w:val="en-US" w:eastAsia="zh-CN"/>
                    </w:rPr>
                    <w:t>0</w:t>
                  </w:r>
                </w:p>
              </w:tc>
              <w:tc>
                <w:tcPr>
                  <w:tcW w:w="927" w:type="dxa"/>
                  <w:noWrap w:val="0"/>
                  <w:vAlign w:val="center"/>
                </w:tcPr>
                <w:p w14:paraId="0AAAD10B">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0</w:t>
                  </w:r>
                </w:p>
              </w:tc>
              <w:tc>
                <w:tcPr>
                  <w:tcW w:w="924" w:type="dxa"/>
                  <w:noWrap w:val="0"/>
                  <w:vAlign w:val="center"/>
                </w:tcPr>
                <w:p w14:paraId="75DD5F3A">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heme="minorEastAsia" w:hAnsiTheme="minorEastAsia" w:eastAsiaTheme="minorEastAsia" w:cstheme="minorEastAsia"/>
                      <w:b w:val="0"/>
                      <w:bCs/>
                      <w:color w:val="auto"/>
                      <w:sz w:val="21"/>
                      <w:szCs w:val="21"/>
                      <w:highlight w:val="none"/>
                      <w:lang w:val="en-US" w:eastAsia="zh-CN"/>
                    </w:rPr>
                  </w:pPr>
                  <w:r>
                    <w:rPr>
                      <w:rFonts w:hint="eastAsia" w:asciiTheme="minorEastAsia" w:hAnsiTheme="minorEastAsia" w:eastAsiaTheme="minorEastAsia" w:cstheme="minorEastAsia"/>
                      <w:b w:val="0"/>
                      <w:bCs/>
                      <w:color w:val="auto"/>
                      <w:sz w:val="21"/>
                      <w:szCs w:val="21"/>
                      <w:highlight w:val="none"/>
                      <w:lang w:val="en-US" w:eastAsia="zh-CN"/>
                    </w:rPr>
                    <w:t>5.721</w:t>
                  </w:r>
                </w:p>
              </w:tc>
              <w:tc>
                <w:tcPr>
                  <w:tcW w:w="1087" w:type="dxa"/>
                  <w:noWrap w:val="0"/>
                  <w:vAlign w:val="center"/>
                </w:tcPr>
                <w:p w14:paraId="255C72DB">
                  <w:pPr>
                    <w:pStyle w:val="126"/>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 w:val="0"/>
                      <w:bCs/>
                      <w:color w:val="auto"/>
                      <w:spacing w:val="0"/>
                      <w:sz w:val="21"/>
                      <w:szCs w:val="21"/>
                      <w:highlight w:val="none"/>
                      <w:lang w:val="en-US" w:eastAsia="zh-CN"/>
                    </w:rPr>
                  </w:pPr>
                  <w:r>
                    <w:rPr>
                      <w:rFonts w:hint="eastAsia" w:asciiTheme="minorEastAsia" w:hAnsiTheme="minorEastAsia" w:eastAsiaTheme="minorEastAsia" w:cstheme="minorEastAsia"/>
                      <w:b w:val="0"/>
                      <w:bCs/>
                      <w:color w:val="auto"/>
                      <w:spacing w:val="0"/>
                      <w:sz w:val="21"/>
                      <w:szCs w:val="21"/>
                      <w:highlight w:val="none"/>
                      <w:lang w:val="en-US" w:eastAsia="zh-CN"/>
                    </w:rPr>
                    <w:t>0</w:t>
                  </w:r>
                </w:p>
              </w:tc>
            </w:tr>
            <w:tr w14:paraId="1E29AB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7836" w:type="dxa"/>
                  <w:gridSpan w:val="9"/>
                  <w:noWrap w:val="0"/>
                  <w:vAlign w:val="center"/>
                </w:tcPr>
                <w:p w14:paraId="760E89F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heme="minorEastAsia" w:hAnsiTheme="minorEastAsia" w:eastAsiaTheme="minorEastAsia" w:cstheme="minorEastAsia"/>
                      <w:bCs/>
                      <w:color w:val="auto"/>
                      <w:sz w:val="21"/>
                      <w:szCs w:val="21"/>
                      <w:highlight w:val="none"/>
                    </w:rPr>
                  </w:pPr>
                  <w:r>
                    <w:rPr>
                      <w:rFonts w:hint="eastAsia" w:asciiTheme="minorEastAsia" w:hAnsiTheme="minorEastAsia" w:eastAsiaTheme="minorEastAsia" w:cstheme="minorEastAsia"/>
                      <w:bCs/>
                      <w:color w:val="auto"/>
                      <w:sz w:val="21"/>
                      <w:szCs w:val="21"/>
                      <w:highlight w:val="none"/>
                    </w:rPr>
                    <w:t>注：增减量中：新增（+）、减少（-）</w:t>
                  </w:r>
                </w:p>
              </w:tc>
            </w:tr>
          </w:tbl>
          <w:p w14:paraId="5B2B5EB3">
            <w:pPr>
              <w:ind w:firstLine="0" w:firstLineChars="0"/>
              <w:jc w:val="center"/>
              <w:rPr>
                <w:rFonts w:hint="eastAsia" w:ascii="宋体" w:hAnsi="宋体" w:eastAsia="宋体" w:cs="宋体"/>
                <w:color w:val="auto"/>
                <w:spacing w:val="0"/>
                <w:highlight w:val="none"/>
                <w:lang w:val="en-US" w:eastAsia="zh-CN"/>
              </w:rPr>
            </w:pPr>
          </w:p>
        </w:tc>
      </w:tr>
    </w:tbl>
    <w:p w14:paraId="4EEBA5EA">
      <w:pPr>
        <w:pStyle w:val="4"/>
        <w:rPr>
          <w:rFonts w:hint="eastAsia" w:ascii="宋体" w:hAnsi="宋体" w:eastAsia="宋体" w:cs="宋体"/>
          <w:color w:val="auto"/>
          <w:spacing w:val="0"/>
          <w:highlight w:val="none"/>
        </w:rPr>
        <w:sectPr>
          <w:pgSz w:w="11907" w:h="16840"/>
          <w:pgMar w:top="1440" w:right="1797" w:bottom="1440" w:left="1797"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bookmarkEnd w:id="10"/>
    <w:bookmarkEnd w:id="11"/>
    <w:p w14:paraId="46B24EDC">
      <w:pPr>
        <w:pStyle w:val="4"/>
        <w:spacing w:line="360" w:lineRule="auto"/>
        <w:jc w:val="center"/>
        <w:rPr>
          <w:rFonts w:hint="eastAsia" w:ascii="宋体" w:hAnsi="宋体" w:eastAsia="宋体" w:cs="宋体"/>
          <w:bCs w:val="0"/>
          <w:color w:val="auto"/>
          <w:spacing w:val="0"/>
          <w:highlight w:val="none"/>
        </w:rPr>
      </w:pPr>
      <w:bookmarkStart w:id="12" w:name="_Toc518"/>
      <w:bookmarkStart w:id="13" w:name="_Toc71191480"/>
      <w:r>
        <w:rPr>
          <w:rFonts w:hint="eastAsia" w:ascii="宋体" w:hAnsi="宋体" w:eastAsia="宋体" w:cs="宋体"/>
          <w:bCs w:val="0"/>
          <w:color w:val="auto"/>
          <w:spacing w:val="0"/>
          <w:highlight w:val="none"/>
        </w:rPr>
        <w:t>四、主要环境影响和保护措施</w:t>
      </w:r>
      <w:bookmarkEnd w:id="12"/>
    </w:p>
    <w:tbl>
      <w:tblPr>
        <w:tblStyle w:val="37"/>
        <w:tblW w:w="502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92"/>
        <w:gridCol w:w="7992"/>
      </w:tblGrid>
      <w:tr w14:paraId="67CAAE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4" w:hRule="atLeast"/>
          <w:jc w:val="center"/>
        </w:trPr>
        <w:tc>
          <w:tcPr>
            <w:tcW w:w="487" w:type="dxa"/>
            <w:noWrap w:val="0"/>
            <w:tcMar>
              <w:left w:w="28" w:type="dxa"/>
              <w:right w:w="28" w:type="dxa"/>
            </w:tcMar>
            <w:vAlign w:val="center"/>
          </w:tcPr>
          <w:p w14:paraId="20419F60">
            <w:pPr>
              <w:spacing w:line="240" w:lineRule="auto"/>
              <w:ind w:firstLine="0" w:firstLineChars="0"/>
              <w:jc w:val="center"/>
              <w:rPr>
                <w:rFonts w:hint="eastAsia" w:ascii="宋体" w:hAnsi="宋体" w:eastAsia="宋体" w:cs="宋体"/>
                <w:bCs w:val="0"/>
                <w:color w:val="auto"/>
                <w:spacing w:val="0"/>
                <w:kern w:val="2"/>
                <w:sz w:val="21"/>
                <w:szCs w:val="21"/>
                <w:highlight w:val="none"/>
              </w:rPr>
            </w:pPr>
            <w:r>
              <w:rPr>
                <w:rFonts w:hint="eastAsia" w:ascii="宋体" w:hAnsi="宋体" w:eastAsia="宋体" w:cs="宋体"/>
                <w:bCs/>
                <w:color w:val="auto"/>
                <w:spacing w:val="0"/>
                <w:sz w:val="22"/>
                <w:szCs w:val="22"/>
                <w:highlight w:val="none"/>
                <w:lang w:eastAsia="zh-CN"/>
              </w:rPr>
              <w:t>施工</w:t>
            </w:r>
            <w:r>
              <w:rPr>
                <w:rFonts w:hint="eastAsia" w:ascii="宋体" w:hAnsi="宋体" w:eastAsia="宋体" w:cs="宋体"/>
                <w:bCs/>
                <w:color w:val="auto"/>
                <w:spacing w:val="0"/>
                <w:sz w:val="22"/>
                <w:szCs w:val="22"/>
                <w:highlight w:val="none"/>
              </w:rPr>
              <w:t>期环境影响和保护措施</w:t>
            </w:r>
          </w:p>
        </w:tc>
        <w:tc>
          <w:tcPr>
            <w:tcW w:w="7918" w:type="dxa"/>
            <w:tcBorders>
              <w:bottom w:val="single" w:color="auto" w:sz="4" w:space="0"/>
            </w:tcBorders>
            <w:noWrap w:val="0"/>
            <w:vAlign w:val="center"/>
          </w:tcPr>
          <w:p w14:paraId="5EF5B314">
            <w:pPr>
              <w:keepNext w:val="0"/>
              <w:keepLines w:val="0"/>
              <w:pageBreakBefore w:val="0"/>
              <w:widowControl w:val="0"/>
              <w:numPr>
                <w:ilvl w:val="0"/>
                <w:numId w:val="0"/>
              </w:numPr>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（一）废气</w:t>
            </w:r>
          </w:p>
          <w:p w14:paraId="6C2B7CD6">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项目施工过程中造成大气污染的主要产生源有：施工建筑材料（水泥、石灰、砂石料）的装卸、运输、堆砌过程以及运输过程中产生扬尘等。</w:t>
            </w:r>
          </w:p>
          <w:p w14:paraId="59BEB6C1">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建设单位应在施工期采取以下相应措施：</w:t>
            </w:r>
          </w:p>
          <w:p w14:paraId="4EE161AD">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（1）封闭施工现场，既可有效防止粉尘及扬尘的污染，又可起到隔声的作用。</w:t>
            </w:r>
          </w:p>
          <w:p w14:paraId="33135707">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（2）施工中所用粉状材料运输时应对车辆加盖篷布，并在经过居民区运输时减速慢行。</w:t>
            </w:r>
          </w:p>
          <w:p w14:paraId="3D49B150">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（3）施工过程中所用建筑材料，必须设固定堆放场，特别是水泥在堆放过程中应用苫布盖好，防止二次扬尘污染，不得随意堆放。</w:t>
            </w:r>
          </w:p>
          <w:p w14:paraId="1048F966">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通过以上措施处理后，</w:t>
            </w:r>
            <w:r>
              <w:rPr>
                <w:rFonts w:hint="eastAsia"/>
                <w:color w:val="auto"/>
                <w:highlight w:val="none"/>
                <w:lang w:val="en-US" w:eastAsia="zh-CN"/>
              </w:rPr>
              <w:t>施工过程产生扬尘废气可满足《大气污染物综合排放标准》（GB16297-1996）无组织排放限值，</w:t>
            </w:r>
            <w:r>
              <w:rPr>
                <w:color w:val="auto"/>
                <w:highlight w:val="none"/>
              </w:rPr>
              <w:t>施工期对环境空气影响较小。</w:t>
            </w:r>
          </w:p>
          <w:p w14:paraId="302891E9">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（二）废水</w:t>
            </w:r>
          </w:p>
          <w:p w14:paraId="304EFAE8">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施工期产生的废水主要为施工员工生活污水</w:t>
            </w:r>
            <w:r>
              <w:rPr>
                <w:rFonts w:hint="eastAsia"/>
                <w:color w:val="auto"/>
                <w:highlight w:val="none"/>
                <w:lang w:val="en-US" w:eastAsia="zh-CN"/>
              </w:rPr>
              <w:t>及施工过程产生的车辆冲洗废水与降尘用水</w:t>
            </w:r>
            <w:r>
              <w:rPr>
                <w:color w:val="auto"/>
                <w:highlight w:val="none"/>
              </w:rPr>
              <w:t>。</w:t>
            </w:r>
          </w:p>
          <w:p w14:paraId="55B5A4C5">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施工阶段生活污水</w:t>
            </w:r>
            <w:r>
              <w:rPr>
                <w:rFonts w:hint="eastAsia"/>
                <w:color w:val="auto"/>
                <w:highlight w:val="none"/>
                <w:lang w:val="en-US" w:eastAsia="zh-CN"/>
              </w:rPr>
              <w:t>依托在建工程卫生间，经排放口排入污水管网，最终进入梨树工业谷污水处理厂集中处理；车辆冲洗水通过隔油沉淀处理后回用洒水降尘，不外排放</w:t>
            </w:r>
            <w:r>
              <w:rPr>
                <w:color w:val="auto"/>
                <w:highlight w:val="none"/>
              </w:rPr>
              <w:t>。</w:t>
            </w:r>
          </w:p>
          <w:p w14:paraId="043AA587">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（三）噪声</w:t>
            </w:r>
          </w:p>
          <w:p w14:paraId="4BF58A0A">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施工期间噪声主要来源于施工现场的各类机械设备和物料运输的交通噪声。在5米范围内一般为70~85dB(A</w:t>
            </w:r>
            <w:r>
              <w:rPr>
                <w:rFonts w:hint="eastAsia"/>
                <w:color w:val="auto"/>
                <w:highlight w:val="none"/>
                <w:lang w:eastAsia="zh-CN"/>
              </w:rPr>
              <w:t>）</w:t>
            </w:r>
            <w:r>
              <w:rPr>
                <w:color w:val="auto"/>
                <w:highlight w:val="none"/>
              </w:rPr>
              <w:t>。</w:t>
            </w:r>
          </w:p>
          <w:p w14:paraId="0CC508CB">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（1）合理安排施工时间，严禁夜间施工。</w:t>
            </w:r>
          </w:p>
          <w:p w14:paraId="5EC03B58">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2）降低设备声级。设备选型上尽量采用低噪声设备，如以液压机械代替燃油机械，低频振捣器采用高频振捣器等；高噪声、高振动设备采取减振措施；维护不良的设备常因松动部件的振动或消声器的损坏而增加其工作噪声级，因此要对动力机械设备进行定期的维修、养护；闲置不用的设备应立即关闭。</w:t>
            </w:r>
          </w:p>
          <w:p w14:paraId="2C0B1DA6">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（3）工地周围设立围护屏障，尽可能减少设备噪声对环境的影响。</w:t>
            </w:r>
          </w:p>
          <w:p w14:paraId="1FFC38BD">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（4）降低人为噪声。按照规定操作机械设备，在挡板、支架拆卸过程中，应遵守作业规定，减少碰撞噪声。</w:t>
            </w:r>
          </w:p>
          <w:p w14:paraId="4DD95088">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选用低噪声施工机械设备，采取减振、隔声措施，夜间禁止施工，场界噪声符合《建筑施工场界环境噪声排放标准》（GB12523-2011）要求。对声环境影响较小。</w:t>
            </w:r>
          </w:p>
          <w:p w14:paraId="6FCC510B">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（四）固体废物</w:t>
            </w:r>
          </w:p>
          <w:p w14:paraId="6E661710">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项目施工过程中产生的固体废物主要是施工人员的生活垃圾和建筑垃圾等。</w:t>
            </w:r>
          </w:p>
          <w:p w14:paraId="56C6B42B">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color w:val="auto"/>
                <w:highlight w:val="none"/>
              </w:rPr>
              <w:t>施工人员产生的生活垃圾量较少，可设置固定垃圾箱存放，由市政部门统一清运，不得随意丢弃。对外环境影响较小。</w:t>
            </w:r>
          </w:p>
          <w:p w14:paraId="238744F2">
            <w:pPr>
              <w:keepNext w:val="0"/>
              <w:keepLines w:val="0"/>
              <w:pageBreakBefore w:val="0"/>
              <w:widowControl w:val="0"/>
              <w:tabs>
                <w:tab w:val="left" w:pos="870"/>
              </w:tabs>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highlight w:val="none"/>
              </w:rPr>
            </w:pPr>
            <w:r>
              <w:rPr>
                <w:color w:val="auto"/>
                <w:highlight w:val="none"/>
              </w:rPr>
              <w:t>施工过程中产生的建筑垃圾及施工弃土应及时清运，运出废物应使用苫布遮盖，不得沿街洒落泥土，并按照市政部门批准的地点倾倒。</w:t>
            </w:r>
          </w:p>
        </w:tc>
      </w:tr>
      <w:tr w14:paraId="0A75E3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76" w:hRule="atLeast"/>
          <w:jc w:val="center"/>
        </w:trPr>
        <w:tc>
          <w:tcPr>
            <w:tcW w:w="487" w:type="dxa"/>
            <w:noWrap w:val="0"/>
            <w:tcMar>
              <w:left w:w="28" w:type="dxa"/>
              <w:right w:w="28" w:type="dxa"/>
            </w:tcMar>
            <w:vAlign w:val="center"/>
          </w:tcPr>
          <w:p w14:paraId="56C80825">
            <w:pPr>
              <w:spacing w:line="240" w:lineRule="auto"/>
              <w:ind w:firstLine="0" w:firstLineChars="0"/>
              <w:jc w:val="center"/>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运营</w:t>
            </w:r>
          </w:p>
          <w:p w14:paraId="74BB0320">
            <w:pPr>
              <w:spacing w:line="240" w:lineRule="auto"/>
              <w:ind w:firstLine="0" w:firstLineChars="0"/>
              <w:jc w:val="center"/>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期环</w:t>
            </w:r>
          </w:p>
          <w:p w14:paraId="2DBF6343">
            <w:pPr>
              <w:spacing w:line="240" w:lineRule="auto"/>
              <w:ind w:firstLine="0" w:firstLineChars="0"/>
              <w:jc w:val="center"/>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境影</w:t>
            </w:r>
          </w:p>
          <w:p w14:paraId="5B8F70C3">
            <w:pPr>
              <w:spacing w:line="240" w:lineRule="auto"/>
              <w:ind w:firstLine="0" w:firstLineChars="0"/>
              <w:jc w:val="center"/>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响和</w:t>
            </w:r>
          </w:p>
          <w:p w14:paraId="557C7137">
            <w:pPr>
              <w:spacing w:line="240" w:lineRule="auto"/>
              <w:ind w:firstLine="0" w:firstLineChars="0"/>
              <w:jc w:val="center"/>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保护</w:t>
            </w:r>
          </w:p>
          <w:p w14:paraId="7B6A910F">
            <w:pPr>
              <w:spacing w:line="240" w:lineRule="auto"/>
              <w:ind w:firstLine="0" w:firstLineChars="0"/>
              <w:jc w:val="center"/>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措施</w:t>
            </w:r>
          </w:p>
        </w:tc>
        <w:tc>
          <w:tcPr>
            <w:tcW w:w="7918" w:type="dxa"/>
            <w:tcBorders>
              <w:top w:val="single" w:color="auto" w:sz="4" w:space="0"/>
              <w:bottom w:val="single" w:color="auto" w:sz="4" w:space="0"/>
            </w:tcBorders>
            <w:noWrap w:val="0"/>
            <w:vAlign w:val="center"/>
          </w:tcPr>
          <w:p w14:paraId="14A1EF80">
            <w:pPr>
              <w:numPr>
                <w:ilvl w:val="0"/>
                <w:numId w:val="6"/>
              </w:num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ascii="宋体" w:hAnsi="宋体" w:eastAsia="宋体" w:cs="宋体"/>
                <w:b/>
                <w:bCs w:val="0"/>
                <w:color w:val="auto"/>
                <w:spacing w:val="0"/>
                <w:sz w:val="24"/>
                <w:szCs w:val="24"/>
                <w:highlight w:val="none"/>
                <w:lang w:val="en-US" w:eastAsia="zh-CN"/>
              </w:rPr>
              <w:t>废气</w:t>
            </w:r>
          </w:p>
          <w:p w14:paraId="1357FFD2">
            <w:pPr>
              <w:adjustRightInd w:val="0"/>
              <w:snapToGrid w:val="0"/>
              <w:spacing w:line="360" w:lineRule="auto"/>
              <w:ind w:firstLine="482" w:firstLineChars="200"/>
              <w:rPr>
                <w:rFonts w:hint="eastAsia" w:ascii="宋体" w:hAnsi="宋体" w:eastAsia="宋体" w:cs="宋体"/>
                <w:color w:val="auto"/>
                <w:spacing w:val="0"/>
                <w:sz w:val="24"/>
                <w:szCs w:val="24"/>
                <w:highlight w:val="none"/>
                <w:lang w:val="en-US" w:eastAsia="zh-CN"/>
              </w:rPr>
            </w:pPr>
            <w:r>
              <w:rPr>
                <w:rFonts w:hint="eastAsia" w:ascii="宋体" w:hAnsi="宋体" w:eastAsia="宋体" w:cs="宋体"/>
                <w:b/>
                <w:color w:val="auto"/>
                <w:spacing w:val="0"/>
                <w:sz w:val="24"/>
                <w:highlight w:val="none"/>
                <w:lang w:val="en-US" w:eastAsia="zh-CN"/>
              </w:rPr>
              <w:t>1.1</w:t>
            </w:r>
            <w:r>
              <w:rPr>
                <w:rFonts w:hint="eastAsia" w:ascii="宋体" w:hAnsi="宋体" w:eastAsia="宋体" w:cs="宋体"/>
                <w:b/>
                <w:color w:val="auto"/>
                <w:spacing w:val="0"/>
                <w:sz w:val="24"/>
                <w:highlight w:val="none"/>
                <w:lang w:bidi="ar"/>
              </w:rPr>
              <w:t>源强核算分析</w:t>
            </w:r>
          </w:p>
          <w:p w14:paraId="19D1BFF2">
            <w:pPr>
              <w:pStyle w:val="13"/>
              <w:keepNext w:val="0"/>
              <w:keepLines w:val="0"/>
              <w:pageBreakBefore w:val="0"/>
              <w:widowControl/>
              <w:numPr>
                <w:ilvl w:val="0"/>
                <w:numId w:val="0"/>
              </w:numPr>
              <w:kinsoku/>
              <w:wordWrap/>
              <w:overflowPunct/>
              <w:topLinePunct w:val="0"/>
              <w:autoSpaceDE/>
              <w:autoSpaceDN/>
              <w:bidi w:val="0"/>
              <w:adjustRightInd w:val="0"/>
              <w:snapToGrid w:val="0"/>
              <w:spacing w:before="0" w:after="0" w:line="360" w:lineRule="auto"/>
              <w:ind w:right="0" w:rightChars="0" w:firstLine="480" w:firstLineChars="200"/>
              <w:textAlignment w:val="auto"/>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（1）源强分析</w:t>
            </w:r>
          </w:p>
          <w:p w14:paraId="03536C13">
            <w:pPr>
              <w:pStyle w:val="13"/>
              <w:keepNext w:val="0"/>
              <w:keepLines w:val="0"/>
              <w:pageBreakBefore w:val="0"/>
              <w:widowControl/>
              <w:numPr>
                <w:ilvl w:val="0"/>
                <w:numId w:val="0"/>
              </w:numPr>
              <w:kinsoku/>
              <w:wordWrap/>
              <w:overflowPunct/>
              <w:topLinePunct w:val="0"/>
              <w:autoSpaceDE/>
              <w:autoSpaceDN/>
              <w:bidi w:val="0"/>
              <w:adjustRightInd w:val="0"/>
              <w:snapToGrid w:val="0"/>
              <w:spacing w:before="0" w:after="0" w:line="360" w:lineRule="auto"/>
              <w:ind w:right="0" w:rightChars="0" w:firstLine="480" w:firstLineChars="200"/>
              <w:textAlignment w:val="auto"/>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本项目产生的废气主要锅炉产生的废气，主要污染物为颗粒物、二氧化硫、氮氧化物</w:t>
            </w:r>
            <w:r>
              <w:rPr>
                <w:rFonts w:hint="eastAsia" w:ascii="宋体" w:hAnsi="宋体" w:cs="宋体"/>
                <w:color w:val="auto"/>
                <w:spacing w:val="0"/>
                <w:sz w:val="24"/>
                <w:szCs w:val="24"/>
                <w:highlight w:val="none"/>
                <w:lang w:val="en-US" w:eastAsia="zh-CN"/>
              </w:rPr>
              <w:t>、汞及其化合物</w:t>
            </w:r>
            <w:r>
              <w:rPr>
                <w:rFonts w:hint="eastAsia" w:ascii="宋体" w:hAnsi="宋体" w:eastAsia="宋体" w:cs="宋体"/>
                <w:color w:val="auto"/>
                <w:spacing w:val="0"/>
                <w:sz w:val="24"/>
                <w:szCs w:val="24"/>
                <w:highlight w:val="none"/>
                <w:lang w:val="en-US" w:eastAsia="zh-CN"/>
              </w:rPr>
              <w:t>。</w:t>
            </w:r>
          </w:p>
          <w:p w14:paraId="2AAE6293">
            <w:pPr>
              <w:snapToGrid w:val="0"/>
              <w:spacing w:line="360" w:lineRule="auto"/>
              <w:ind w:firstLine="480" w:firstLineChars="200"/>
              <w:rPr>
                <w:rFonts w:hint="eastAsia" w:ascii="宋体" w:hAnsi="宋体" w:eastAsia="宋体" w:cs="宋体"/>
                <w:color w:val="auto"/>
                <w:spacing w:val="0"/>
                <w:kern w:val="0"/>
                <w:sz w:val="24"/>
                <w:highlight w:val="none"/>
              </w:rPr>
            </w:pPr>
            <w:r>
              <w:rPr>
                <w:rFonts w:hint="eastAsia" w:cs="宋体"/>
                <w:color w:val="auto"/>
                <w:spacing w:val="0"/>
                <w:kern w:val="0"/>
                <w:sz w:val="24"/>
                <w:highlight w:val="none"/>
                <w:lang w:val="en-US" w:eastAsia="zh-CN"/>
              </w:rPr>
              <w:t>（一）生物质</w:t>
            </w:r>
            <w:r>
              <w:rPr>
                <w:rFonts w:hint="eastAsia" w:ascii="宋体" w:hAnsi="宋体" w:eastAsia="宋体" w:cs="宋体"/>
                <w:color w:val="auto"/>
                <w:spacing w:val="0"/>
                <w:kern w:val="0"/>
                <w:sz w:val="24"/>
                <w:highlight w:val="none"/>
              </w:rPr>
              <w:t>锅炉大气污染物产生及排放量</w:t>
            </w:r>
          </w:p>
          <w:p w14:paraId="19927D29">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宋体"/>
                <w:color w:val="auto"/>
                <w:spacing w:val="-2"/>
                <w:sz w:val="24"/>
                <w:szCs w:val="24"/>
                <w:highlight w:val="none"/>
                <w:lang w:val="en-US" w:eastAsia="zh-CN"/>
              </w:rPr>
            </w:pPr>
            <w:r>
              <w:rPr>
                <w:rFonts w:hint="eastAsia" w:ascii="Times New Roman" w:hAnsi="Times New Roman" w:eastAsia="宋体" w:cs="宋体"/>
                <w:color w:val="auto"/>
                <w:spacing w:val="-2"/>
                <w:sz w:val="24"/>
                <w:szCs w:val="24"/>
                <w:highlight w:val="none"/>
                <w:lang w:val="en-US" w:eastAsia="zh-CN"/>
              </w:rPr>
              <w:t>①烟气量</w:t>
            </w:r>
          </w:p>
          <w:p w14:paraId="590A81F9">
            <w:pPr>
              <w:pStyle w:val="13"/>
              <w:keepNext w:val="0"/>
              <w:keepLines w:val="0"/>
              <w:pageBreakBefore w:val="0"/>
              <w:widowControl/>
              <w:kinsoku/>
              <w:wordWrap/>
              <w:overflowPunct/>
              <w:topLinePunct w:val="0"/>
              <w:autoSpaceDE/>
              <w:autoSpaceDN/>
              <w:bidi w:val="0"/>
              <w:adjustRightInd w:val="0"/>
              <w:snapToGrid w:val="0"/>
              <w:spacing w:before="0" w:after="0" w:line="360" w:lineRule="auto"/>
              <w:ind w:right="0"/>
              <w:textAlignment w:val="auto"/>
              <w:rPr>
                <w:rFonts w:hint="default" w:ascii="宋体" w:hAnsi="宋体" w:eastAsia="宋体" w:cs="宋体"/>
                <w:bCs/>
                <w:color w:val="auto"/>
                <w:spacing w:val="0"/>
                <w:sz w:val="24"/>
                <w:szCs w:val="24"/>
                <w:highlight w:val="none"/>
                <w:lang w:val="en-US" w:eastAsia="zh-CN"/>
              </w:rPr>
            </w:pPr>
            <w:r>
              <w:rPr>
                <w:rFonts w:hint="eastAsia" w:ascii="宋体" w:hAnsi="宋体" w:eastAsia="宋体" w:cs="宋体"/>
                <w:color w:val="auto"/>
                <w:spacing w:val="0"/>
                <w:sz w:val="24"/>
                <w:szCs w:val="24"/>
                <w:highlight w:val="none"/>
                <w:lang w:eastAsia="zh-CN"/>
              </w:rPr>
              <w:t>根据《</w:t>
            </w:r>
            <w:r>
              <w:rPr>
                <w:rFonts w:hint="eastAsia" w:ascii="宋体" w:hAnsi="宋体" w:eastAsia="宋体" w:cs="宋体"/>
                <w:color w:val="auto"/>
                <w:spacing w:val="0"/>
                <w:sz w:val="24"/>
                <w:szCs w:val="24"/>
                <w:highlight w:val="none"/>
                <w:lang w:val="en-US" w:eastAsia="zh-CN"/>
              </w:rPr>
              <w:t>排污许可证申请与核发技术规范 锅炉》（</w:t>
            </w:r>
            <w:r>
              <w:rPr>
                <w:rFonts w:hint="default" w:ascii="Times New Roman" w:hAnsi="Times New Roman" w:eastAsia="宋体" w:cs="Times New Roman"/>
                <w:color w:val="auto"/>
                <w:spacing w:val="0"/>
                <w:sz w:val="24"/>
                <w:szCs w:val="24"/>
                <w:highlight w:val="none"/>
                <w:lang w:val="en-US" w:eastAsia="zh-CN"/>
              </w:rPr>
              <w:t>HJ953-2018</w:t>
            </w:r>
            <w:r>
              <w:rPr>
                <w:rFonts w:hint="eastAsia" w:ascii="宋体" w:hAnsi="宋体" w:eastAsia="宋体" w:cs="宋体"/>
                <w:color w:val="auto"/>
                <w:spacing w:val="0"/>
                <w:sz w:val="24"/>
                <w:szCs w:val="24"/>
                <w:highlight w:val="none"/>
                <w:lang w:val="en-US" w:eastAsia="zh-CN"/>
              </w:rPr>
              <w:t>）中基准烟气量核算方法，本项目为</w:t>
            </w:r>
            <w:r>
              <w:rPr>
                <w:rFonts w:hint="eastAsia" w:ascii="宋体" w:hAnsi="宋体" w:cs="宋体"/>
                <w:color w:val="auto"/>
                <w:spacing w:val="0"/>
                <w:sz w:val="24"/>
                <w:szCs w:val="24"/>
                <w:highlight w:val="none"/>
                <w:lang w:val="en-US" w:eastAsia="zh-CN"/>
              </w:rPr>
              <w:t>生物质锅炉</w:t>
            </w:r>
            <w:r>
              <w:rPr>
                <w:rFonts w:hint="eastAsia" w:ascii="宋体" w:hAnsi="宋体" w:eastAsia="宋体" w:cs="宋体"/>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Vgy</w:t>
            </w:r>
            <w:r>
              <w:rPr>
                <w:rFonts w:hint="eastAsia" w:ascii="宋体" w:hAnsi="宋体" w:eastAsia="宋体" w:cs="宋体"/>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0</w:t>
            </w:r>
            <w:r>
              <w:rPr>
                <w:rFonts w:hint="eastAsia" w:ascii="宋体" w:hAnsi="宋体" w:cs="宋体"/>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393</w:t>
            </w:r>
            <w:r>
              <w:rPr>
                <w:rFonts w:hint="default" w:ascii="Times New Roman" w:hAnsi="Times New Roman" w:eastAsia="宋体" w:cs="Times New Roman"/>
                <w:color w:val="auto"/>
                <w:spacing w:val="0"/>
                <w:sz w:val="24"/>
                <w:szCs w:val="24"/>
                <w:highlight w:val="none"/>
                <w:lang w:val="en-US" w:eastAsia="zh-CN"/>
              </w:rPr>
              <w:t>Qnet</w:t>
            </w:r>
            <w:r>
              <w:rPr>
                <w:rFonts w:hint="eastAsia" w:ascii="宋体" w:hAnsi="宋体" w:eastAsia="宋体" w:cs="宋体"/>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0</w:t>
            </w:r>
            <w:r>
              <w:rPr>
                <w:rFonts w:hint="eastAsia" w:ascii="宋体" w:hAnsi="宋体" w:eastAsia="宋体" w:cs="宋体"/>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876</w:t>
            </w:r>
            <w:r>
              <w:rPr>
                <w:rFonts w:hint="eastAsia" w:ascii="宋体" w:hAnsi="宋体" w:eastAsia="宋体" w:cs="宋体"/>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7</w:t>
            </w:r>
            <w:r>
              <w:rPr>
                <w:rFonts w:hint="eastAsia" w:ascii="宋体" w:hAnsi="宋体" w:cs="宋体"/>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46661</w:t>
            </w:r>
            <w:r>
              <w:rPr>
                <w:rFonts w:hint="default" w:ascii="Times New Roman" w:hAnsi="Times New Roman" w:eastAsia="宋体" w:cs="Times New Roman"/>
                <w:color w:val="auto"/>
                <w:spacing w:val="0"/>
                <w:sz w:val="24"/>
                <w:szCs w:val="24"/>
                <w:highlight w:val="none"/>
                <w:lang w:val="en-US" w:eastAsia="zh-CN"/>
              </w:rPr>
              <w:t>m</w:t>
            </w:r>
            <w:r>
              <w:rPr>
                <w:rFonts w:hint="default" w:ascii="Times New Roman" w:hAnsi="Times New Roman" w:eastAsia="宋体" w:cs="Times New Roman"/>
                <w:caps w:val="0"/>
                <w:smallCaps w:val="0"/>
                <w:strike w:val="0"/>
                <w:dstrike w:val="0"/>
                <w:vanish w:val="0"/>
                <w:color w:val="auto"/>
                <w:spacing w:val="0"/>
                <w:sz w:val="24"/>
                <w:szCs w:val="24"/>
                <w:highlight w:val="none"/>
                <w:vertAlign w:val="superscript"/>
                <w:lang w:val="en-US" w:eastAsia="zh-CN"/>
              </w:rPr>
              <w:t>3</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kg</w:t>
            </w:r>
            <w:r>
              <w:rPr>
                <w:rFonts w:hint="eastAsia" w:ascii="宋体" w:hAnsi="宋体" w:eastAsia="宋体" w:cs="宋体"/>
                <w:color w:val="auto"/>
                <w:spacing w:val="0"/>
                <w:sz w:val="24"/>
                <w:szCs w:val="24"/>
                <w:highlight w:val="none"/>
                <w:lang w:val="en-US" w:eastAsia="zh-CN"/>
              </w:rPr>
              <w:t>原料。本项目</w:t>
            </w:r>
            <w:r>
              <w:rPr>
                <w:rFonts w:hint="eastAsia" w:ascii="宋体" w:hAnsi="宋体" w:cs="宋体"/>
                <w:color w:val="auto"/>
                <w:spacing w:val="0"/>
                <w:sz w:val="24"/>
                <w:szCs w:val="24"/>
                <w:highlight w:val="none"/>
                <w:lang w:val="en-US" w:eastAsia="zh-CN"/>
              </w:rPr>
              <w:t>生物质燃料</w:t>
            </w:r>
            <w:r>
              <w:rPr>
                <w:rFonts w:hint="eastAsia" w:ascii="宋体" w:hAnsi="宋体" w:eastAsia="宋体" w:cs="宋体"/>
                <w:color w:val="auto"/>
                <w:spacing w:val="0"/>
                <w:sz w:val="24"/>
                <w:szCs w:val="24"/>
                <w:highlight w:val="none"/>
                <w:lang w:val="en-US" w:eastAsia="zh-CN"/>
              </w:rPr>
              <w:t>消耗量</w:t>
            </w:r>
            <w:r>
              <w:rPr>
                <w:rFonts w:hint="eastAsia" w:cs="Times New Roman"/>
                <w:color w:val="auto"/>
                <w:spacing w:val="0"/>
                <w:sz w:val="24"/>
                <w:szCs w:val="24"/>
                <w:highlight w:val="none"/>
                <w:lang w:val="en-US" w:eastAsia="zh-CN"/>
              </w:rPr>
              <w:t>3113.568</w:t>
            </w:r>
            <w:r>
              <w:rPr>
                <w:rFonts w:hint="default" w:ascii="Times New Roman" w:hAnsi="Times New Roman" w:cs="Times New Roman"/>
                <w:color w:val="auto"/>
                <w:spacing w:val="0"/>
                <w:sz w:val="24"/>
                <w:szCs w:val="24"/>
                <w:highlight w:val="none"/>
                <w:lang w:val="en-US" w:eastAsia="zh-CN"/>
              </w:rPr>
              <w:t>t/a</w:t>
            </w:r>
            <w:r>
              <w:rPr>
                <w:rFonts w:hint="eastAsia" w:ascii="宋体" w:hAnsi="宋体" w:cs="宋体"/>
                <w:color w:val="auto"/>
                <w:spacing w:val="0"/>
                <w:sz w:val="24"/>
                <w:szCs w:val="24"/>
                <w:highlight w:val="none"/>
                <w:lang w:val="en-US" w:eastAsia="zh-CN"/>
              </w:rPr>
              <w:t>=</w:t>
            </w:r>
            <w:r>
              <w:rPr>
                <w:rFonts w:hint="eastAsia" w:cs="Times New Roman"/>
                <w:color w:val="auto"/>
                <w:spacing w:val="0"/>
                <w:sz w:val="24"/>
                <w:szCs w:val="24"/>
                <w:highlight w:val="none"/>
                <w:lang w:val="en-US" w:eastAsia="zh-CN"/>
              </w:rPr>
              <w:t>3113568</w:t>
            </w:r>
            <w:r>
              <w:rPr>
                <w:rFonts w:hint="default" w:ascii="Times New Roman" w:hAnsi="Times New Roman" w:cs="Times New Roman"/>
                <w:color w:val="auto"/>
                <w:spacing w:val="0"/>
                <w:sz w:val="24"/>
                <w:szCs w:val="24"/>
                <w:highlight w:val="none"/>
                <w:lang w:val="en-US" w:eastAsia="zh-CN"/>
              </w:rPr>
              <w:t>kg/a</w:t>
            </w:r>
            <w:r>
              <w:rPr>
                <w:rFonts w:hint="eastAsia" w:ascii="宋体" w:hAnsi="宋体" w:cs="宋体"/>
                <w:color w:val="auto"/>
                <w:spacing w:val="0"/>
                <w:sz w:val="24"/>
                <w:szCs w:val="24"/>
                <w:highlight w:val="none"/>
                <w:lang w:val="en-US" w:eastAsia="zh-CN"/>
              </w:rPr>
              <w:t>；</w:t>
            </w:r>
            <w:r>
              <w:rPr>
                <w:rFonts w:hint="eastAsia" w:cs="Times New Roman"/>
                <w:color w:val="auto"/>
                <w:spacing w:val="0"/>
                <w:sz w:val="24"/>
                <w:szCs w:val="24"/>
                <w:highlight w:val="none"/>
                <w:lang w:val="en-US" w:eastAsia="zh-CN"/>
              </w:rPr>
              <w:t>1.0811</w:t>
            </w:r>
            <w:r>
              <w:rPr>
                <w:rFonts w:hint="default" w:ascii="Times New Roman" w:hAnsi="Times New Roman" w:cs="Times New Roman"/>
                <w:color w:val="auto"/>
                <w:spacing w:val="0"/>
                <w:sz w:val="24"/>
                <w:szCs w:val="24"/>
                <w:highlight w:val="none"/>
                <w:lang w:val="en-US" w:eastAsia="zh-CN"/>
              </w:rPr>
              <w:t>t/h=</w:t>
            </w:r>
            <w:r>
              <w:rPr>
                <w:rFonts w:hint="eastAsia" w:cs="Times New Roman"/>
                <w:color w:val="auto"/>
                <w:spacing w:val="0"/>
                <w:sz w:val="24"/>
                <w:szCs w:val="24"/>
                <w:highlight w:val="none"/>
                <w:lang w:val="en-US" w:eastAsia="zh-CN"/>
              </w:rPr>
              <w:t>1081.1</w:t>
            </w:r>
            <w:r>
              <w:rPr>
                <w:rFonts w:hint="default" w:ascii="Times New Roman" w:hAnsi="Times New Roman" w:cs="Times New Roman"/>
                <w:color w:val="auto"/>
                <w:spacing w:val="0"/>
                <w:sz w:val="24"/>
                <w:szCs w:val="24"/>
                <w:highlight w:val="none"/>
                <w:lang w:val="en-US" w:eastAsia="zh-CN"/>
              </w:rPr>
              <w:t>kg/h</w:t>
            </w:r>
          </w:p>
          <w:p w14:paraId="3FC7A9CE">
            <w:pPr>
              <w:pStyle w:val="13"/>
              <w:keepNext w:val="0"/>
              <w:keepLines w:val="0"/>
              <w:pageBreakBefore w:val="0"/>
              <w:widowControl/>
              <w:kinsoku/>
              <w:wordWrap/>
              <w:overflowPunct/>
              <w:topLinePunct w:val="0"/>
              <w:autoSpaceDE/>
              <w:autoSpaceDN/>
              <w:bidi w:val="0"/>
              <w:adjustRightInd w:val="0"/>
              <w:snapToGrid w:val="0"/>
              <w:spacing w:before="0" w:after="0" w:line="360" w:lineRule="auto"/>
              <w:ind w:right="0"/>
              <w:textAlignment w:val="auto"/>
              <w:rPr>
                <w:rFonts w:hint="eastAsia" w:ascii="宋体" w:hAnsi="宋体" w:eastAsia="宋体" w:cs="宋体"/>
                <w:color w:val="auto"/>
                <w:spacing w:val="0"/>
                <w:sz w:val="24"/>
                <w:szCs w:val="24"/>
                <w:highlight w:val="none"/>
              </w:rPr>
            </w:pPr>
            <w:r>
              <w:rPr>
                <w:rFonts w:hint="eastAsia" w:ascii="宋体" w:hAnsi="宋体" w:eastAsia="宋体" w:cs="宋体"/>
                <w:caps w:val="0"/>
                <w:snapToGrid w:val="0"/>
                <w:color w:val="auto"/>
                <w:spacing w:val="0"/>
                <w:kern w:val="0"/>
                <w:sz w:val="24"/>
                <w:highlight w:val="none"/>
                <w:lang w:val="en-US" w:eastAsia="zh-CN"/>
              </w:rPr>
              <w:t>锅炉工业废气量：</w:t>
            </w:r>
            <w:r>
              <w:rPr>
                <w:rFonts w:hint="eastAsia" w:cs="Times New Roman"/>
                <w:color w:val="auto"/>
                <w:spacing w:val="0"/>
                <w:sz w:val="24"/>
                <w:szCs w:val="24"/>
                <w:highlight w:val="none"/>
                <w:lang w:val="en-US" w:eastAsia="zh-CN"/>
              </w:rPr>
              <w:t>3113568</w:t>
            </w:r>
            <w:r>
              <w:rPr>
                <w:rFonts w:hint="default" w:ascii="Times New Roman" w:hAnsi="Times New Roman" w:cs="Times New Roman"/>
                <w:color w:val="auto"/>
                <w:spacing w:val="0"/>
                <w:sz w:val="24"/>
                <w:szCs w:val="24"/>
                <w:highlight w:val="none"/>
                <w:lang w:val="en-US" w:eastAsia="zh-CN"/>
              </w:rPr>
              <w:t>kg</w:t>
            </w:r>
            <w:r>
              <w:rPr>
                <w:rFonts w:hint="eastAsia" w:ascii="宋体" w:hAnsi="宋体" w:eastAsia="宋体" w:cs="宋体"/>
                <w:bCs/>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7</w:t>
            </w:r>
            <w:r>
              <w:rPr>
                <w:rFonts w:hint="eastAsia" w:ascii="宋体" w:hAnsi="宋体" w:cs="宋体"/>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46661</w:t>
            </w:r>
            <w:r>
              <w:rPr>
                <w:rFonts w:hint="default" w:ascii="Times New Roman" w:hAnsi="Times New Roman" w:eastAsia="宋体" w:cs="Times New Roman"/>
                <w:color w:val="auto"/>
                <w:spacing w:val="0"/>
                <w:sz w:val="24"/>
                <w:szCs w:val="24"/>
                <w:highlight w:val="none"/>
                <w:lang w:val="en-US" w:eastAsia="zh-CN"/>
              </w:rPr>
              <w:t>m</w:t>
            </w:r>
            <w:r>
              <w:rPr>
                <w:rFonts w:hint="default" w:ascii="Times New Roman" w:hAnsi="Times New Roman" w:eastAsia="宋体" w:cs="Times New Roman"/>
                <w:caps w:val="0"/>
                <w:smallCaps w:val="0"/>
                <w:strike w:val="0"/>
                <w:dstrike w:val="0"/>
                <w:vanish w:val="0"/>
                <w:color w:val="auto"/>
                <w:spacing w:val="0"/>
                <w:sz w:val="24"/>
                <w:szCs w:val="24"/>
                <w:highlight w:val="none"/>
                <w:vertAlign w:val="superscript"/>
                <w:lang w:val="en-US" w:eastAsia="zh-CN"/>
              </w:rPr>
              <w:t>3</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kg</w:t>
            </w:r>
            <w:r>
              <w:rPr>
                <w:rFonts w:hint="eastAsia" w:ascii="宋体" w:hAnsi="宋体" w:eastAsia="宋体" w:cs="宋体"/>
                <w:color w:val="auto"/>
                <w:spacing w:val="0"/>
                <w:sz w:val="24"/>
                <w:szCs w:val="24"/>
                <w:highlight w:val="none"/>
                <w:lang w:val="en-US" w:eastAsia="zh-CN"/>
              </w:rPr>
              <w:t>原料=</w:t>
            </w:r>
            <w:r>
              <w:rPr>
                <w:rFonts w:hint="eastAsia" w:cs="Times New Roman"/>
                <w:color w:val="auto"/>
                <w:spacing w:val="0"/>
                <w:sz w:val="24"/>
                <w:szCs w:val="24"/>
                <w:highlight w:val="none"/>
                <w:lang w:val="en-US" w:eastAsia="zh-CN"/>
              </w:rPr>
              <w:t>23247797.96448</w:t>
            </w:r>
            <w:r>
              <w:rPr>
                <w:rFonts w:hint="default" w:ascii="Times New Roman" w:hAnsi="Times New Roman" w:eastAsia="宋体" w:cs="Times New Roman"/>
                <w:color w:val="auto"/>
                <w:spacing w:val="0"/>
                <w:sz w:val="24"/>
                <w:szCs w:val="24"/>
                <w:highlight w:val="none"/>
              </w:rPr>
              <w:t>N</w:t>
            </w:r>
            <w:r>
              <w:rPr>
                <w:rFonts w:hint="default" w:ascii="Times New Roman" w:hAnsi="Times New Roman" w:eastAsia="宋体" w:cs="Times New Roman"/>
                <w:color w:val="auto"/>
                <w:spacing w:val="0"/>
                <w:sz w:val="24"/>
                <w:szCs w:val="24"/>
                <w:highlight w:val="none"/>
                <w:lang w:eastAsia="zh-CN"/>
              </w:rPr>
              <w:t>m</w:t>
            </w:r>
            <w:r>
              <w:rPr>
                <w:rFonts w:hint="default" w:ascii="Times New Roman" w:hAnsi="Times New Roman" w:eastAsia="宋体" w:cs="Times New Roman"/>
                <w:caps w:val="0"/>
                <w:smallCaps w:val="0"/>
                <w:strike w:val="0"/>
                <w:dstrike w:val="0"/>
                <w:vanish w:val="0"/>
                <w:color w:val="auto"/>
                <w:spacing w:val="0"/>
                <w:sz w:val="24"/>
                <w:szCs w:val="24"/>
                <w:highlight w:val="none"/>
                <w:vertAlign w:val="superscript"/>
                <w:lang w:eastAsia="zh-CN"/>
              </w:rPr>
              <w:t>3</w:t>
            </w:r>
            <w:r>
              <w:rPr>
                <w:rFonts w:hint="default" w:ascii="Times New Roman" w:hAnsi="Times New Roman" w:eastAsia="宋体" w:cs="Times New Roman"/>
                <w:color w:val="auto"/>
                <w:spacing w:val="0"/>
                <w:sz w:val="24"/>
                <w:szCs w:val="24"/>
                <w:highlight w:val="none"/>
              </w:rPr>
              <w:t>/a</w:t>
            </w:r>
          </w:p>
          <w:p w14:paraId="338BB5FE">
            <w:pPr>
              <w:pStyle w:val="14"/>
              <w:rPr>
                <w:rFonts w:hint="eastAsia" w:eastAsia="宋体"/>
                <w:color w:val="auto"/>
                <w:highlight w:val="none"/>
                <w:lang w:val="en-US" w:eastAsia="zh-CN"/>
              </w:rPr>
            </w:pPr>
            <w:r>
              <w:rPr>
                <w:rFonts w:hint="eastAsia" w:ascii="Times New Roman" w:hAnsi="Times New Roman" w:cs="Times New Roman"/>
                <w:color w:val="auto"/>
                <w:spacing w:val="0"/>
                <w:sz w:val="24"/>
                <w:szCs w:val="24"/>
                <w:highlight w:val="none"/>
                <w:lang w:val="en-US" w:eastAsia="zh-CN"/>
              </w:rPr>
              <w:t>1081.1</w:t>
            </w:r>
            <w:r>
              <w:rPr>
                <w:rFonts w:hint="default" w:ascii="Times New Roman" w:hAnsi="Times New Roman" w:cs="Times New Roman"/>
                <w:color w:val="auto"/>
                <w:spacing w:val="0"/>
                <w:sz w:val="24"/>
                <w:szCs w:val="24"/>
                <w:highlight w:val="none"/>
                <w:lang w:val="en-US" w:eastAsia="zh-CN"/>
              </w:rPr>
              <w:t>kg</w:t>
            </w:r>
            <w:r>
              <w:rPr>
                <w:rFonts w:hint="eastAsia" w:ascii="宋体" w:hAnsi="宋体" w:eastAsia="宋体" w:cs="宋体"/>
                <w:bCs/>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7</w:t>
            </w:r>
            <w:r>
              <w:rPr>
                <w:rFonts w:hint="eastAsia" w:ascii="宋体" w:hAnsi="宋体" w:cs="宋体"/>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46661</w:t>
            </w:r>
            <w:r>
              <w:rPr>
                <w:rFonts w:hint="default" w:ascii="Times New Roman" w:hAnsi="Times New Roman" w:eastAsia="宋体" w:cs="Times New Roman"/>
                <w:color w:val="auto"/>
                <w:spacing w:val="0"/>
                <w:sz w:val="24"/>
                <w:szCs w:val="24"/>
                <w:highlight w:val="none"/>
                <w:lang w:val="en-US" w:eastAsia="zh-CN"/>
              </w:rPr>
              <w:t>m</w:t>
            </w:r>
            <w:r>
              <w:rPr>
                <w:rFonts w:hint="default" w:ascii="Times New Roman" w:hAnsi="Times New Roman" w:eastAsia="宋体" w:cs="Times New Roman"/>
                <w:caps w:val="0"/>
                <w:smallCaps w:val="0"/>
                <w:strike w:val="0"/>
                <w:dstrike w:val="0"/>
                <w:vanish w:val="0"/>
                <w:color w:val="auto"/>
                <w:spacing w:val="0"/>
                <w:sz w:val="24"/>
                <w:szCs w:val="24"/>
                <w:highlight w:val="none"/>
                <w:vertAlign w:val="superscript"/>
                <w:lang w:val="en-US" w:eastAsia="zh-CN"/>
              </w:rPr>
              <w:t>3</w:t>
            </w:r>
            <w:r>
              <w:rPr>
                <w:rFonts w:hint="default" w:ascii="Times New Roman" w:hAnsi="Times New Roman" w:eastAsia="宋体" w:cs="Times New Roman"/>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eastAsia="zh-CN"/>
              </w:rPr>
              <w:t>kg</w:t>
            </w:r>
            <w:r>
              <w:rPr>
                <w:rFonts w:hint="eastAsia" w:ascii="宋体" w:hAnsi="宋体" w:eastAsia="宋体" w:cs="宋体"/>
                <w:color w:val="auto"/>
                <w:spacing w:val="0"/>
                <w:sz w:val="24"/>
                <w:szCs w:val="24"/>
                <w:highlight w:val="none"/>
                <w:lang w:val="en-US" w:eastAsia="zh-CN"/>
              </w:rPr>
              <w:t>原料=</w:t>
            </w:r>
            <w:r>
              <w:rPr>
                <w:rFonts w:hint="eastAsia" w:ascii="Times New Roman" w:hAnsi="Times New Roman" w:cs="Times New Roman"/>
                <w:color w:val="auto"/>
                <w:spacing w:val="0"/>
                <w:sz w:val="24"/>
                <w:szCs w:val="24"/>
                <w:highlight w:val="none"/>
                <w:lang w:val="en-US" w:eastAsia="zh-CN"/>
              </w:rPr>
              <w:t>8072.152071</w:t>
            </w:r>
            <w:r>
              <w:rPr>
                <w:rFonts w:hint="default" w:ascii="Times New Roman" w:hAnsi="Times New Roman" w:eastAsia="宋体" w:cs="Times New Roman"/>
                <w:color w:val="auto"/>
                <w:spacing w:val="0"/>
                <w:sz w:val="24"/>
                <w:szCs w:val="24"/>
                <w:highlight w:val="none"/>
              </w:rPr>
              <w:t>N</w:t>
            </w:r>
            <w:r>
              <w:rPr>
                <w:rFonts w:hint="default" w:ascii="Times New Roman" w:hAnsi="Times New Roman" w:eastAsia="宋体" w:cs="Times New Roman"/>
                <w:color w:val="auto"/>
                <w:spacing w:val="0"/>
                <w:sz w:val="24"/>
                <w:szCs w:val="24"/>
                <w:highlight w:val="none"/>
                <w:lang w:eastAsia="zh-CN"/>
              </w:rPr>
              <w:t>m</w:t>
            </w:r>
            <w:r>
              <w:rPr>
                <w:rFonts w:hint="default" w:ascii="Times New Roman" w:hAnsi="Times New Roman" w:eastAsia="宋体" w:cs="Times New Roman"/>
                <w:caps w:val="0"/>
                <w:smallCaps w:val="0"/>
                <w:strike w:val="0"/>
                <w:dstrike w:val="0"/>
                <w:vanish w:val="0"/>
                <w:color w:val="auto"/>
                <w:spacing w:val="0"/>
                <w:sz w:val="24"/>
                <w:szCs w:val="24"/>
                <w:highlight w:val="none"/>
                <w:vertAlign w:val="superscript"/>
                <w:lang w:eastAsia="zh-CN"/>
              </w:rPr>
              <w:t>3</w:t>
            </w:r>
            <w:r>
              <w:rPr>
                <w:rFonts w:hint="default" w:ascii="Times New Roman" w:hAnsi="Times New Roman" w:eastAsia="宋体" w:cs="Times New Roman"/>
                <w:color w:val="auto"/>
                <w:spacing w:val="0"/>
                <w:sz w:val="24"/>
                <w:szCs w:val="24"/>
                <w:highlight w:val="none"/>
              </w:rPr>
              <w:t>/</w:t>
            </w:r>
            <w:r>
              <w:rPr>
                <w:rFonts w:hint="default" w:ascii="Times New Roman" w:hAnsi="Times New Roman" w:eastAsia="宋体" w:cs="Times New Roman"/>
                <w:color w:val="auto"/>
                <w:spacing w:val="0"/>
                <w:sz w:val="24"/>
                <w:szCs w:val="24"/>
                <w:highlight w:val="none"/>
                <w:lang w:val="en-US" w:eastAsia="zh-CN"/>
              </w:rPr>
              <w:t>h</w:t>
            </w:r>
          </w:p>
          <w:p w14:paraId="77E075E3">
            <w:pPr>
              <w:pStyle w:val="14"/>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根据《污染源源强核算技术指南 锅炉》（</w:t>
            </w:r>
            <w:r>
              <w:rPr>
                <w:rFonts w:hint="default" w:ascii="Times New Roman" w:hAnsi="Times New Roman" w:eastAsia="宋体" w:cs="Times New Roman"/>
                <w:color w:val="auto"/>
                <w:highlight w:val="none"/>
                <w:lang w:val="en-US" w:eastAsia="zh-CN"/>
              </w:rPr>
              <w:t>HJ991-2018</w:t>
            </w:r>
            <w:r>
              <w:rPr>
                <w:rFonts w:hint="eastAsia" w:ascii="宋体" w:hAnsi="宋体" w:eastAsia="宋体" w:cs="宋体"/>
                <w:color w:val="auto"/>
                <w:highlight w:val="none"/>
                <w:lang w:val="en-US" w:eastAsia="zh-CN"/>
              </w:rPr>
              <w:t>）源强核算方法选取优先次序为</w:t>
            </w:r>
            <w:r>
              <w:rPr>
                <w:rFonts w:hint="default" w:ascii="Times New Roman" w:hAnsi="Times New Roman" w:eastAsia="宋体" w:cs="Times New Roman"/>
                <w:color w:val="auto"/>
                <w:highlight w:val="none"/>
                <w:lang w:val="en-US" w:eastAsia="zh-CN"/>
              </w:rPr>
              <w:t>1</w:t>
            </w:r>
            <w:r>
              <w:rPr>
                <w:rFonts w:hint="eastAsia" w:ascii="宋体" w:hAnsi="宋体" w:eastAsia="宋体" w:cs="宋体"/>
                <w:color w:val="auto"/>
                <w:highlight w:val="none"/>
                <w:lang w:val="en-US" w:eastAsia="zh-CN"/>
              </w:rPr>
              <w:t>.物料衡算法</w:t>
            </w:r>
            <w:r>
              <w:rPr>
                <w:rFonts w:hint="default" w:ascii="Times New Roman" w:hAnsi="Times New Roman" w:eastAsia="宋体" w:cs="Times New Roman"/>
                <w:color w:val="auto"/>
                <w:highlight w:val="none"/>
                <w:lang w:val="en-US" w:eastAsia="zh-CN"/>
              </w:rPr>
              <w:t>2</w:t>
            </w:r>
            <w:r>
              <w:rPr>
                <w:rFonts w:hint="eastAsia" w:ascii="宋体" w:hAnsi="宋体" w:eastAsia="宋体" w:cs="宋体"/>
                <w:color w:val="auto"/>
                <w:highlight w:val="none"/>
                <w:lang w:val="en-US" w:eastAsia="zh-CN"/>
              </w:rPr>
              <w:t>.类比法</w:t>
            </w:r>
            <w:r>
              <w:rPr>
                <w:rFonts w:hint="default" w:ascii="Times New Roman" w:hAnsi="Times New Roman" w:eastAsia="宋体" w:cs="Times New Roman"/>
                <w:color w:val="auto"/>
                <w:highlight w:val="none"/>
                <w:lang w:val="en-US" w:eastAsia="zh-CN"/>
              </w:rPr>
              <w:t>3</w:t>
            </w:r>
            <w:r>
              <w:rPr>
                <w:rFonts w:hint="eastAsia" w:ascii="宋体" w:hAnsi="宋体" w:eastAsia="宋体" w:cs="宋体"/>
                <w:color w:val="auto"/>
                <w:highlight w:val="none"/>
                <w:lang w:val="en-US" w:eastAsia="zh-CN"/>
              </w:rPr>
              <w:t>.产污系数法，因此本项目采取物料衡算法进行源强核算。</w:t>
            </w:r>
          </w:p>
          <w:p w14:paraId="4F8C2729">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宋体"/>
                <w:color w:val="auto"/>
                <w:spacing w:val="-2"/>
                <w:sz w:val="24"/>
                <w:szCs w:val="24"/>
                <w:highlight w:val="none"/>
                <w:lang w:val="en-US" w:eastAsia="zh-CN"/>
              </w:rPr>
            </w:pPr>
            <w:r>
              <w:rPr>
                <w:rFonts w:hint="eastAsia" w:ascii="Times New Roman" w:hAnsi="Times New Roman" w:eastAsia="宋体" w:cs="宋体"/>
                <w:color w:val="auto"/>
                <w:spacing w:val="-2"/>
                <w:sz w:val="24"/>
                <w:szCs w:val="24"/>
                <w:highlight w:val="none"/>
                <w:lang w:val="en-US" w:eastAsia="zh-CN"/>
              </w:rPr>
              <w:t>②颗粒物</w:t>
            </w:r>
          </w:p>
          <w:p w14:paraId="36B43944">
            <w:pPr>
              <w:pStyle w:val="14"/>
              <w:rPr>
                <w:rFonts w:hint="eastAsia" w:ascii="宋体" w:hAnsi="宋体" w:eastAsia="宋体" w:cs="宋体"/>
                <w:color w:val="auto"/>
                <w:highlight w:val="none"/>
                <w:lang w:val="en-US" w:eastAsia="zh-CN"/>
              </w:rPr>
            </w:pPr>
            <w:r>
              <w:rPr>
                <w:rFonts w:hint="eastAsia" w:ascii="Times New Roman" w:hAnsi="Times New Roman" w:eastAsia="宋体" w:cs="宋体"/>
                <w:color w:val="auto"/>
                <w:spacing w:val="-2"/>
                <w:sz w:val="24"/>
                <w:szCs w:val="24"/>
                <w:highlight w:val="none"/>
                <w:lang w:val="en-US" w:eastAsia="zh-CN"/>
              </w:rPr>
              <w:t>根据《污染源源强核算技术指南锅炉》（HJ991-2018）5.1物料衡算法计算颗粒物排放量，计算公式如下</w:t>
            </w:r>
          </w:p>
          <w:p w14:paraId="770AA261">
            <w:pPr>
              <w:pStyle w:val="13"/>
              <w:keepNext w:val="0"/>
              <w:keepLines w:val="0"/>
              <w:pageBreakBefore w:val="0"/>
              <w:widowControl/>
              <w:kinsoku/>
              <w:wordWrap/>
              <w:overflowPunct/>
              <w:topLinePunct w:val="0"/>
              <w:autoSpaceDE/>
              <w:autoSpaceDN/>
              <w:bidi w:val="0"/>
              <w:adjustRightInd w:val="0"/>
              <w:snapToGrid w:val="0"/>
              <w:spacing w:before="0" w:after="0" w:line="360" w:lineRule="auto"/>
              <w:ind w:right="0"/>
              <w:jc w:val="center"/>
              <w:textAlignment w:val="auto"/>
              <w:rPr>
                <w:rFonts w:hint="eastAsia" w:ascii="宋体" w:hAnsi="宋体" w:eastAsia="宋体" w:cs="宋体"/>
                <w:color w:val="auto"/>
                <w:spacing w:val="0"/>
                <w:sz w:val="24"/>
                <w:szCs w:val="24"/>
                <w:highlight w:val="none"/>
                <w:lang w:val="en-US" w:eastAsia="zh-CN"/>
              </w:rPr>
            </w:pPr>
            <w:r>
              <w:rPr>
                <w:rFonts w:ascii="Times New Roman" w:hAnsi="Times New Roman" w:eastAsia="宋体" w:cs="宋体"/>
                <w:color w:val="auto"/>
                <w:highlight w:val="none"/>
              </w:rPr>
              <w:drawing>
                <wp:inline distT="0" distB="0" distL="114300" distR="114300">
                  <wp:extent cx="2238375" cy="714375"/>
                  <wp:effectExtent l="0" t="0" r="0" b="9525"/>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27">
                            <a:clrChange>
                              <a:clrFrom>
                                <a:srgbClr val="FFFFFF">
                                  <a:alpha val="100000"/>
                                </a:srgbClr>
                              </a:clrFrom>
                              <a:clrTo>
                                <a:srgbClr val="FFFFFF">
                                  <a:alpha val="100000"/>
                                  <a:alpha val="0"/>
                                </a:srgbClr>
                              </a:clrTo>
                            </a:clrChange>
                          </a:blip>
                          <a:stretch>
                            <a:fillRect/>
                          </a:stretch>
                        </pic:blipFill>
                        <pic:spPr>
                          <a:xfrm>
                            <a:off x="0" y="0"/>
                            <a:ext cx="2238375" cy="714375"/>
                          </a:xfrm>
                          <a:prstGeom prst="rect">
                            <a:avLst/>
                          </a:prstGeom>
                          <a:noFill/>
                          <a:ln>
                            <a:noFill/>
                          </a:ln>
                        </pic:spPr>
                      </pic:pic>
                    </a:graphicData>
                  </a:graphic>
                </wp:inline>
              </w:drawing>
            </w:r>
          </w:p>
          <w:p w14:paraId="0C6F7664">
            <w:pPr>
              <w:keepNext w:val="0"/>
              <w:keepLines w:val="0"/>
              <w:pageBreakBefore w:val="0"/>
              <w:widowControl w:val="0"/>
              <w:kinsoku/>
              <w:wordWrap/>
              <w:overflowPunct/>
              <w:topLinePunct w:val="0"/>
              <w:autoSpaceDE/>
              <w:autoSpaceDN/>
              <w:bidi w:val="0"/>
              <w:adjustRightInd/>
              <w:snapToGrid/>
              <w:spacing w:line="360" w:lineRule="auto"/>
              <w:ind w:left="0" w:right="0" w:firstLine="1190" w:firstLineChars="500"/>
              <w:textAlignment w:val="auto"/>
              <w:rPr>
                <w:rFonts w:ascii="Times New Roman" w:hAnsi="Times New Roman" w:eastAsia="宋体" w:cs="宋体"/>
                <w:color w:val="auto"/>
                <w:sz w:val="24"/>
                <w:szCs w:val="24"/>
                <w:highlight w:val="none"/>
              </w:rPr>
            </w:pPr>
            <w:r>
              <w:rPr>
                <w:rFonts w:ascii="Times New Roman" w:hAnsi="Times New Roman" w:eastAsia="宋体" w:cs="宋体"/>
                <w:color w:val="auto"/>
                <w:spacing w:val="-1"/>
                <w:sz w:val="24"/>
                <w:szCs w:val="24"/>
                <w:highlight w:val="none"/>
              </w:rPr>
              <w:t>式中：EA——核算时段内颗粒物（烟尘）排放量，t；</w:t>
            </w:r>
          </w:p>
          <w:p w14:paraId="284EC1DC">
            <w:pPr>
              <w:keepNext w:val="0"/>
              <w:keepLines w:val="0"/>
              <w:pageBreakBefore w:val="0"/>
              <w:widowControl w:val="0"/>
              <w:kinsoku/>
              <w:wordWrap/>
              <w:overflowPunct/>
              <w:topLinePunct w:val="0"/>
              <w:autoSpaceDE/>
              <w:autoSpaceDN/>
              <w:bidi w:val="0"/>
              <w:adjustRightInd/>
              <w:snapToGrid/>
              <w:spacing w:line="360" w:lineRule="auto"/>
              <w:ind w:left="0" w:right="0" w:firstLine="1180" w:firstLineChars="500"/>
              <w:textAlignment w:val="auto"/>
              <w:rPr>
                <w:rFonts w:hint="default" w:ascii="Times New Roman" w:hAnsi="Times New Roman" w:eastAsia="宋体" w:cs="宋体"/>
                <w:color w:val="auto"/>
                <w:sz w:val="24"/>
                <w:szCs w:val="24"/>
                <w:highlight w:val="none"/>
                <w:lang w:val="en-US"/>
              </w:rPr>
            </w:pPr>
            <w:r>
              <w:rPr>
                <w:rFonts w:ascii="Times New Roman" w:hAnsi="Times New Roman" w:eastAsia="宋体" w:cs="宋体"/>
                <w:color w:val="auto"/>
                <w:spacing w:val="-2"/>
                <w:sz w:val="24"/>
                <w:szCs w:val="24"/>
                <w:highlight w:val="none"/>
              </w:rPr>
              <w:t>R——核算时段内锅炉燃料耗量，本项目</w:t>
            </w:r>
            <w:r>
              <w:rPr>
                <w:rFonts w:hint="eastAsia" w:ascii="Times New Roman" w:hAnsi="Times New Roman" w:cs="Times New Roman"/>
                <w:color w:val="auto"/>
                <w:spacing w:val="-2"/>
                <w:sz w:val="24"/>
                <w:szCs w:val="24"/>
                <w:highlight w:val="none"/>
                <w:lang w:val="en-US" w:eastAsia="zh-CN"/>
              </w:rPr>
              <w:t>1.0811</w:t>
            </w:r>
            <w:r>
              <w:rPr>
                <w:rFonts w:hint="default" w:ascii="Times New Roman" w:hAnsi="Times New Roman" w:eastAsia="宋体" w:cs="Times New Roman"/>
                <w:color w:val="auto"/>
                <w:spacing w:val="-2"/>
                <w:sz w:val="24"/>
                <w:szCs w:val="24"/>
                <w:highlight w:val="none"/>
              </w:rPr>
              <w:t>t/h</w:t>
            </w:r>
            <w:r>
              <w:rPr>
                <w:rFonts w:ascii="Times New Roman" w:hAnsi="Times New Roman" w:eastAsia="宋体" w:cs="宋体"/>
                <w:color w:val="auto"/>
                <w:spacing w:val="-2"/>
                <w:sz w:val="24"/>
                <w:szCs w:val="24"/>
                <w:highlight w:val="none"/>
              </w:rPr>
              <w:t>；</w:t>
            </w:r>
            <w:r>
              <w:rPr>
                <w:rFonts w:hint="eastAsia" w:ascii="Times New Roman" w:hAnsi="Times New Roman" w:cs="Times New Roman"/>
                <w:bCs/>
                <w:color w:val="auto"/>
                <w:spacing w:val="0"/>
                <w:sz w:val="24"/>
                <w:szCs w:val="24"/>
                <w:highlight w:val="none"/>
                <w:lang w:val="en-US" w:eastAsia="zh-CN"/>
              </w:rPr>
              <w:t>3113.568</w:t>
            </w:r>
            <w:r>
              <w:rPr>
                <w:rFonts w:hint="default" w:ascii="Times New Roman" w:hAnsi="Times New Roman" w:eastAsia="宋体" w:cs="Times New Roman"/>
                <w:b w:val="0"/>
                <w:bCs/>
                <w:color w:val="auto"/>
                <w:spacing w:val="0"/>
                <w:kern w:val="2"/>
                <w:sz w:val="24"/>
                <w:szCs w:val="24"/>
                <w:highlight w:val="none"/>
                <w:lang w:val="en-US" w:eastAsia="zh-CN" w:bidi="ar-SA"/>
              </w:rPr>
              <w:t>t/a</w:t>
            </w:r>
          </w:p>
          <w:p w14:paraId="1D9F17B4">
            <w:pPr>
              <w:keepNext w:val="0"/>
              <w:keepLines w:val="0"/>
              <w:pageBreakBefore w:val="0"/>
              <w:widowControl w:val="0"/>
              <w:kinsoku/>
              <w:wordWrap/>
              <w:overflowPunct/>
              <w:topLinePunct w:val="0"/>
              <w:autoSpaceDE/>
              <w:autoSpaceDN/>
              <w:bidi w:val="0"/>
              <w:adjustRightInd/>
              <w:snapToGrid/>
              <w:spacing w:line="360" w:lineRule="auto"/>
              <w:ind w:left="0" w:right="0" w:firstLine="1200" w:firstLineChars="500"/>
              <w:textAlignment w:val="auto"/>
              <w:rPr>
                <w:rFonts w:ascii="Times New Roman" w:hAnsi="Times New Roman" w:eastAsia="宋体" w:cs="宋体"/>
                <w:color w:val="auto"/>
                <w:sz w:val="24"/>
                <w:szCs w:val="24"/>
                <w:highlight w:val="none"/>
              </w:rPr>
            </w:pPr>
            <w:r>
              <w:rPr>
                <w:rFonts w:ascii="Times New Roman" w:hAnsi="Times New Roman" w:eastAsia="宋体" w:cs="宋体"/>
                <w:color w:val="auto"/>
                <w:sz w:val="24"/>
                <w:szCs w:val="24"/>
                <w:highlight w:val="none"/>
              </w:rPr>
              <w:t>Aar</w:t>
            </w:r>
            <w:r>
              <w:rPr>
                <w:rFonts w:ascii="Times New Roman" w:hAnsi="Times New Roman" w:eastAsia="宋体" w:cs="宋体"/>
                <w:color w:val="auto"/>
                <w:spacing w:val="4"/>
                <w:sz w:val="24"/>
                <w:szCs w:val="24"/>
                <w:highlight w:val="none"/>
              </w:rPr>
              <w:t>——收到基灰分的质量分数</w:t>
            </w:r>
            <w:r>
              <w:rPr>
                <w:rFonts w:ascii="Times New Roman" w:hAnsi="Times New Roman" w:eastAsia="宋体" w:cs="宋体"/>
                <w:color w:val="auto"/>
                <w:spacing w:val="-10"/>
                <w:sz w:val="24"/>
                <w:szCs w:val="24"/>
                <w:highlight w:val="none"/>
              </w:rPr>
              <w:t>，</w:t>
            </w:r>
            <w:r>
              <w:rPr>
                <w:rFonts w:hint="default" w:ascii="Times New Roman" w:hAnsi="Times New Roman" w:cs="Times New Roman"/>
                <w:color w:val="auto"/>
                <w:sz w:val="24"/>
                <w:szCs w:val="24"/>
                <w:highlight w:val="none"/>
              </w:rPr>
              <w:t>%</w:t>
            </w:r>
            <w:r>
              <w:rPr>
                <w:color w:val="auto"/>
                <w:sz w:val="24"/>
                <w:szCs w:val="24"/>
                <w:highlight w:val="none"/>
              </w:rPr>
              <w:t>；</w:t>
            </w:r>
            <w:r>
              <w:rPr>
                <w:rFonts w:hint="eastAsia"/>
                <w:color w:val="auto"/>
                <w:sz w:val="24"/>
                <w:szCs w:val="24"/>
                <w:highlight w:val="none"/>
                <w:lang w:val="en-US" w:eastAsia="zh-CN"/>
              </w:rPr>
              <w:t>根据生物质成型燃料分析一览表，干燥基灰分为6.46%，收到基全水分为26.7%，则</w:t>
            </w:r>
            <w:r>
              <w:rPr>
                <w:rFonts w:ascii="Times New Roman" w:hAnsi="Times New Roman" w:eastAsia="宋体" w:cs="宋体"/>
                <w:color w:val="auto"/>
                <w:sz w:val="24"/>
                <w:szCs w:val="24"/>
                <w:highlight w:val="none"/>
              </w:rPr>
              <w:t>Aar</w:t>
            </w:r>
            <w:r>
              <w:rPr>
                <w:rFonts w:hint="eastAsia" w:ascii="Times New Roman" w:hAnsi="Times New Roman" w:eastAsia="宋体" w:cs="宋体"/>
                <w:color w:val="auto"/>
                <w:sz w:val="24"/>
                <w:szCs w:val="24"/>
                <w:highlight w:val="none"/>
                <w:lang w:val="en-US" w:eastAsia="zh-CN"/>
              </w:rPr>
              <w:t>=6.46×{（100-26.7）/100}=4.74，则</w:t>
            </w:r>
            <w:r>
              <w:rPr>
                <w:rFonts w:ascii="Times New Roman" w:hAnsi="Times New Roman" w:eastAsia="宋体" w:cs="宋体"/>
                <w:color w:val="auto"/>
                <w:sz w:val="24"/>
                <w:szCs w:val="24"/>
                <w:highlight w:val="none"/>
              </w:rPr>
              <w:t>Aar</w:t>
            </w:r>
            <w:r>
              <w:rPr>
                <w:color w:val="auto"/>
                <w:sz w:val="24"/>
                <w:szCs w:val="24"/>
                <w:highlight w:val="none"/>
              </w:rPr>
              <w:t>取</w:t>
            </w:r>
            <w:r>
              <w:rPr>
                <w:rFonts w:hint="eastAsia" w:ascii="Times New Roman" w:hAnsi="Times New Roman" w:cs="Times New Roman"/>
                <w:color w:val="auto"/>
                <w:sz w:val="24"/>
                <w:szCs w:val="24"/>
                <w:highlight w:val="none"/>
                <w:lang w:val="en-US" w:eastAsia="zh-CN"/>
              </w:rPr>
              <w:t>4.74%</w:t>
            </w:r>
            <w:r>
              <w:rPr>
                <w:color w:val="auto"/>
                <w:sz w:val="24"/>
                <w:szCs w:val="24"/>
                <w:highlight w:val="none"/>
              </w:rPr>
              <w:t>；</w:t>
            </w:r>
          </w:p>
          <w:p w14:paraId="26A3C028">
            <w:pPr>
              <w:keepNext w:val="0"/>
              <w:keepLines w:val="0"/>
              <w:pageBreakBefore w:val="0"/>
              <w:widowControl w:val="0"/>
              <w:kinsoku/>
              <w:wordWrap/>
              <w:overflowPunct/>
              <w:topLinePunct w:val="0"/>
              <w:autoSpaceDE/>
              <w:autoSpaceDN/>
              <w:bidi w:val="0"/>
              <w:adjustRightInd/>
              <w:snapToGrid/>
              <w:spacing w:line="360" w:lineRule="auto"/>
              <w:ind w:left="0" w:right="0" w:firstLine="1180" w:firstLineChars="500"/>
              <w:textAlignment w:val="auto"/>
              <w:rPr>
                <w:rFonts w:ascii="Times New Roman" w:hAnsi="Times New Roman" w:eastAsia="宋体" w:cs="宋体"/>
                <w:color w:val="auto"/>
                <w:sz w:val="24"/>
                <w:szCs w:val="24"/>
                <w:highlight w:val="none"/>
              </w:rPr>
            </w:pPr>
            <w:r>
              <w:rPr>
                <w:rFonts w:ascii="Times New Roman" w:hAnsi="Times New Roman" w:eastAsia="宋体" w:cs="宋体"/>
                <w:color w:val="auto"/>
                <w:spacing w:val="-2"/>
                <w:sz w:val="24"/>
                <w:szCs w:val="24"/>
                <w:highlight w:val="none"/>
              </w:rPr>
              <w:t>d</w:t>
            </w:r>
            <w:r>
              <w:rPr>
                <w:rFonts w:ascii="Times New Roman" w:hAnsi="Times New Roman" w:eastAsia="宋体" w:cs="宋体"/>
                <w:color w:val="auto"/>
                <w:spacing w:val="-2"/>
                <w:position w:val="-1"/>
                <w:sz w:val="16"/>
                <w:szCs w:val="16"/>
                <w:highlight w:val="none"/>
              </w:rPr>
              <w:t>fh</w:t>
            </w:r>
            <w:r>
              <w:rPr>
                <w:rFonts w:ascii="Times New Roman" w:hAnsi="Times New Roman" w:eastAsia="宋体" w:cs="宋体"/>
                <w:color w:val="auto"/>
                <w:spacing w:val="-2"/>
                <w:sz w:val="24"/>
                <w:szCs w:val="24"/>
                <w:highlight w:val="none"/>
              </w:rPr>
              <w:t>——锅炉烟气带出的飞灰份额，本次取值为</w:t>
            </w:r>
            <w:r>
              <w:rPr>
                <w:rFonts w:ascii="Times New Roman" w:hAnsi="Times New Roman" w:eastAsia="宋体" w:cs="宋体"/>
                <w:color w:val="auto"/>
                <w:spacing w:val="-3"/>
                <w:sz w:val="24"/>
                <w:szCs w:val="24"/>
                <w:highlight w:val="none"/>
              </w:rPr>
              <w:t>20%</w:t>
            </w:r>
            <w:r>
              <w:rPr>
                <w:rFonts w:ascii="Times New Roman" w:hAnsi="Times New Roman" w:eastAsia="宋体" w:cs="宋体"/>
                <w:color w:val="auto"/>
                <w:spacing w:val="-20"/>
                <w:sz w:val="24"/>
                <w:szCs w:val="24"/>
                <w:highlight w:val="none"/>
              </w:rPr>
              <w:t>，（</w:t>
            </w:r>
            <w:r>
              <w:rPr>
                <w:rFonts w:ascii="Times New Roman" w:hAnsi="Times New Roman" w:eastAsia="宋体" w:cs="宋体"/>
                <w:color w:val="auto"/>
                <w:spacing w:val="-3"/>
                <w:sz w:val="24"/>
                <w:szCs w:val="24"/>
                <w:highlight w:val="none"/>
              </w:rPr>
              <w:t>数据来源《污</w:t>
            </w:r>
            <w:r>
              <w:rPr>
                <w:rFonts w:ascii="Times New Roman" w:hAnsi="Times New Roman" w:eastAsia="宋体" w:cs="宋体"/>
                <w:color w:val="auto"/>
                <w:spacing w:val="-1"/>
                <w:sz w:val="24"/>
                <w:szCs w:val="24"/>
                <w:highlight w:val="none"/>
              </w:rPr>
              <w:t>染源源强核算技术指南锅炉》</w:t>
            </w:r>
            <w:r>
              <w:rPr>
                <w:rFonts w:hint="eastAsia" w:ascii="Times New Roman" w:hAnsi="Times New Roman" w:cs="宋体"/>
                <w:color w:val="auto"/>
                <w:spacing w:val="-1"/>
                <w:sz w:val="24"/>
                <w:szCs w:val="24"/>
                <w:highlight w:val="none"/>
                <w:lang w:eastAsia="zh-CN"/>
              </w:rPr>
              <w:t>（</w:t>
            </w:r>
            <w:r>
              <w:rPr>
                <w:rFonts w:ascii="Times New Roman" w:hAnsi="Times New Roman" w:eastAsia="宋体" w:cs="宋体"/>
                <w:color w:val="auto"/>
                <w:spacing w:val="-1"/>
                <w:sz w:val="24"/>
                <w:szCs w:val="24"/>
                <w:highlight w:val="none"/>
              </w:rPr>
              <w:t>H 991—2018</w:t>
            </w:r>
            <w:r>
              <w:rPr>
                <w:rFonts w:hint="eastAsia" w:ascii="Times New Roman" w:hAnsi="Times New Roman" w:cs="宋体"/>
                <w:color w:val="auto"/>
                <w:spacing w:val="-1"/>
                <w:sz w:val="24"/>
                <w:szCs w:val="24"/>
                <w:highlight w:val="none"/>
                <w:lang w:eastAsia="zh-CN"/>
              </w:rPr>
              <w:t>）</w:t>
            </w:r>
            <w:r>
              <w:rPr>
                <w:rFonts w:ascii="Times New Roman" w:hAnsi="Times New Roman" w:eastAsia="宋体" w:cs="宋体"/>
                <w:color w:val="auto"/>
                <w:spacing w:val="-1"/>
                <w:sz w:val="24"/>
                <w:szCs w:val="24"/>
                <w:highlight w:val="none"/>
              </w:rPr>
              <w:t>附录</w:t>
            </w:r>
            <w:r>
              <w:rPr>
                <w:rFonts w:ascii="Times New Roman" w:hAnsi="Times New Roman" w:eastAsia="宋体" w:cs="宋体"/>
                <w:color w:val="auto"/>
                <w:spacing w:val="-2"/>
                <w:sz w:val="24"/>
                <w:szCs w:val="24"/>
                <w:highlight w:val="none"/>
              </w:rPr>
              <w:t>B表B.2</w:t>
            </w:r>
            <w:r>
              <w:rPr>
                <w:rFonts w:hint="eastAsia" w:ascii="Times New Roman" w:hAnsi="Times New Roman" w:eastAsia="宋体" w:cs="宋体"/>
                <w:color w:val="auto"/>
                <w:spacing w:val="-2"/>
                <w:sz w:val="24"/>
                <w:szCs w:val="24"/>
                <w:highlight w:val="none"/>
                <w:lang w:val="en-US" w:eastAsia="zh-CN"/>
              </w:rPr>
              <w:t>链条炉排炉</w:t>
            </w:r>
            <w:r>
              <w:rPr>
                <w:rFonts w:ascii="Times New Roman" w:hAnsi="Times New Roman" w:eastAsia="宋体" w:cs="宋体"/>
                <w:color w:val="auto"/>
                <w:spacing w:val="-7"/>
                <w:sz w:val="24"/>
                <w:szCs w:val="24"/>
                <w:highlight w:val="none"/>
              </w:rPr>
              <w:t>）；</w:t>
            </w:r>
          </w:p>
          <w:p w14:paraId="20F838A3">
            <w:pPr>
              <w:keepNext w:val="0"/>
              <w:keepLines w:val="0"/>
              <w:pageBreakBefore w:val="0"/>
              <w:widowControl w:val="0"/>
              <w:kinsoku/>
              <w:wordWrap/>
              <w:overflowPunct/>
              <w:topLinePunct w:val="0"/>
              <w:autoSpaceDE/>
              <w:autoSpaceDN/>
              <w:bidi w:val="0"/>
              <w:adjustRightInd/>
              <w:snapToGrid/>
              <w:spacing w:line="360" w:lineRule="auto"/>
              <w:ind w:left="0" w:right="0" w:firstLine="1190" w:firstLineChars="500"/>
              <w:textAlignment w:val="auto"/>
              <w:rPr>
                <w:rFonts w:ascii="Times New Roman" w:hAnsi="Times New Roman" w:eastAsia="宋体" w:cs="宋体"/>
                <w:color w:val="auto"/>
                <w:sz w:val="24"/>
                <w:szCs w:val="24"/>
                <w:highlight w:val="none"/>
              </w:rPr>
            </w:pPr>
            <w:r>
              <w:rPr>
                <w:rFonts w:ascii="Times New Roman" w:hAnsi="Times New Roman" w:eastAsia="宋体" w:cs="宋体"/>
                <w:color w:val="auto"/>
                <w:spacing w:val="-1"/>
                <w:sz w:val="24"/>
                <w:szCs w:val="24"/>
                <w:highlight w:val="none"/>
              </w:rPr>
              <w:t>Ƞc——</w:t>
            </w:r>
            <w:r>
              <w:rPr>
                <w:rFonts w:hint="eastAsia" w:ascii="Times New Roman" w:hAnsi="Times New Roman" w:eastAsia="宋体" w:cs="宋体"/>
                <w:color w:val="auto"/>
                <w:spacing w:val="-1"/>
                <w:sz w:val="24"/>
                <w:szCs w:val="24"/>
                <w:highlight w:val="none"/>
                <w:lang w:val="en-US" w:eastAsia="zh-CN"/>
              </w:rPr>
              <w:t>袋式</w:t>
            </w:r>
            <w:r>
              <w:rPr>
                <w:rFonts w:ascii="Times New Roman" w:hAnsi="Times New Roman" w:eastAsia="宋体" w:cs="宋体"/>
                <w:color w:val="auto"/>
                <w:spacing w:val="-1"/>
                <w:sz w:val="24"/>
                <w:szCs w:val="24"/>
                <w:highlight w:val="none"/>
              </w:rPr>
              <w:t>除尘效率，</w:t>
            </w:r>
            <w:r>
              <w:rPr>
                <w:rFonts w:hint="eastAsia" w:ascii="Times New Roman" w:hAnsi="Times New Roman" w:eastAsia="宋体" w:cs="宋体"/>
                <w:color w:val="auto"/>
                <w:spacing w:val="-1"/>
                <w:sz w:val="24"/>
                <w:szCs w:val="24"/>
                <w:highlight w:val="none"/>
                <w:lang w:val="en-US" w:eastAsia="zh-CN"/>
              </w:rPr>
              <w:t>袋式除尘器效率为</w:t>
            </w:r>
            <w:r>
              <w:rPr>
                <w:rFonts w:ascii="Times New Roman" w:hAnsi="Times New Roman" w:eastAsia="宋体" w:cs="宋体"/>
                <w:color w:val="auto"/>
                <w:spacing w:val="-1"/>
                <w:sz w:val="24"/>
                <w:szCs w:val="24"/>
                <w:highlight w:val="none"/>
              </w:rPr>
              <w:t>99.</w:t>
            </w:r>
            <w:r>
              <w:rPr>
                <w:rFonts w:hint="eastAsia" w:ascii="Times New Roman" w:hAnsi="Times New Roman" w:eastAsia="宋体" w:cs="宋体"/>
                <w:color w:val="auto"/>
                <w:spacing w:val="-1"/>
                <w:sz w:val="24"/>
                <w:szCs w:val="24"/>
                <w:highlight w:val="none"/>
                <w:lang w:val="en-US" w:eastAsia="zh-CN"/>
              </w:rPr>
              <w:t>7</w:t>
            </w:r>
            <w:r>
              <w:rPr>
                <w:rFonts w:ascii="Times New Roman" w:hAnsi="Times New Roman" w:eastAsia="宋体" w:cs="宋体"/>
                <w:color w:val="auto"/>
                <w:spacing w:val="-1"/>
                <w:sz w:val="24"/>
                <w:szCs w:val="24"/>
                <w:highlight w:val="none"/>
              </w:rPr>
              <w:t>%；</w:t>
            </w:r>
          </w:p>
          <w:p w14:paraId="6818A757">
            <w:pPr>
              <w:keepNext w:val="0"/>
              <w:keepLines w:val="0"/>
              <w:pageBreakBefore w:val="0"/>
              <w:widowControl w:val="0"/>
              <w:kinsoku/>
              <w:wordWrap/>
              <w:overflowPunct/>
              <w:topLinePunct w:val="0"/>
              <w:autoSpaceDE/>
              <w:autoSpaceDN/>
              <w:bidi w:val="0"/>
              <w:adjustRightInd/>
              <w:snapToGrid/>
              <w:spacing w:line="360" w:lineRule="auto"/>
              <w:ind w:left="0" w:right="0" w:firstLine="1200" w:firstLineChars="500"/>
              <w:textAlignment w:val="auto"/>
              <w:rPr>
                <w:rFonts w:hint="eastAsia" w:ascii="Times New Roman" w:hAnsi="Times New Roman" w:eastAsia="宋体" w:cs="宋体"/>
                <w:color w:val="auto"/>
                <w:spacing w:val="-2"/>
                <w:sz w:val="24"/>
                <w:szCs w:val="24"/>
                <w:highlight w:val="none"/>
                <w:lang w:val="en-US" w:eastAsia="zh-CN"/>
              </w:rPr>
            </w:pPr>
            <w:r>
              <w:rPr>
                <w:rFonts w:ascii="Times New Roman" w:hAnsi="Times New Roman" w:eastAsia="宋体" w:cs="宋体"/>
                <w:color w:val="auto"/>
                <w:sz w:val="24"/>
                <w:szCs w:val="24"/>
                <w:highlight w:val="none"/>
              </w:rPr>
              <w:t>C</w:t>
            </w:r>
            <w:r>
              <w:rPr>
                <w:rFonts w:ascii="Times New Roman" w:hAnsi="Times New Roman" w:eastAsia="宋体" w:cs="宋体"/>
                <w:color w:val="auto"/>
                <w:position w:val="-1"/>
                <w:sz w:val="16"/>
                <w:szCs w:val="16"/>
                <w:highlight w:val="none"/>
              </w:rPr>
              <w:t>fh</w:t>
            </w:r>
            <w:r>
              <w:rPr>
                <w:rFonts w:ascii="Times New Roman" w:hAnsi="Times New Roman" w:eastAsia="宋体" w:cs="宋体"/>
                <w:color w:val="auto"/>
                <w:spacing w:val="1"/>
                <w:sz w:val="24"/>
                <w:szCs w:val="24"/>
                <w:highlight w:val="none"/>
              </w:rPr>
              <w:t>——飞灰中的可燃物含量，本次取</w:t>
            </w:r>
            <w:r>
              <w:rPr>
                <w:rFonts w:hint="eastAsia" w:ascii="Times New Roman" w:hAnsi="Times New Roman" w:eastAsia="宋体" w:cs="宋体"/>
                <w:color w:val="auto"/>
                <w:spacing w:val="1"/>
                <w:sz w:val="24"/>
                <w:szCs w:val="24"/>
                <w:highlight w:val="none"/>
                <w:lang w:val="en-US" w:eastAsia="zh-CN"/>
              </w:rPr>
              <w:t>13</w:t>
            </w:r>
            <w:r>
              <w:rPr>
                <w:rFonts w:ascii="Times New Roman" w:hAnsi="Times New Roman" w:eastAsia="宋体" w:cs="宋体"/>
                <w:color w:val="auto"/>
                <w:spacing w:val="1"/>
                <w:sz w:val="24"/>
                <w:szCs w:val="24"/>
                <w:highlight w:val="none"/>
              </w:rPr>
              <w:t>%</w:t>
            </w:r>
            <w:r>
              <w:rPr>
                <w:rFonts w:ascii="Times New Roman" w:hAnsi="Times New Roman" w:eastAsia="宋体" w:cs="宋体"/>
                <w:color w:val="auto"/>
                <w:spacing w:val="-13"/>
                <w:sz w:val="24"/>
                <w:szCs w:val="24"/>
                <w:highlight w:val="none"/>
              </w:rPr>
              <w:t>，（</w:t>
            </w:r>
            <w:r>
              <w:rPr>
                <w:bCs/>
                <w:color w:val="auto"/>
                <w:highlight w:val="none"/>
              </w:rPr>
              <w:t>飞灰、炉渣中可燃物含量</w:t>
            </w:r>
            <w:r>
              <w:rPr>
                <w:rFonts w:hint="eastAsia"/>
                <w:bCs/>
                <w:color w:val="auto"/>
                <w:highlight w:val="none"/>
                <w:lang w:eastAsia="zh-CN"/>
              </w:rPr>
              <w:t>（</w:t>
            </w:r>
            <w:r>
              <w:rPr>
                <w:bCs/>
                <w:color w:val="auto"/>
                <w:highlight w:val="none"/>
              </w:rPr>
              <w:t>含碳量</w:t>
            </w:r>
            <w:r>
              <w:rPr>
                <w:rFonts w:hint="eastAsia"/>
                <w:bCs/>
                <w:color w:val="auto"/>
                <w:highlight w:val="none"/>
                <w:lang w:eastAsia="zh-CN"/>
              </w:rPr>
              <w:t>）</w:t>
            </w:r>
            <w:r>
              <w:rPr>
                <w:bCs/>
                <w:color w:val="auto"/>
                <w:highlight w:val="none"/>
              </w:rPr>
              <w:t>可在《工业锅炉经济运行》</w:t>
            </w:r>
            <w:r>
              <w:rPr>
                <w:rFonts w:hint="eastAsia"/>
                <w:bCs/>
                <w:color w:val="auto"/>
                <w:highlight w:val="none"/>
                <w:lang w:eastAsia="zh-CN"/>
              </w:rPr>
              <w:t>（</w:t>
            </w:r>
            <w:r>
              <w:rPr>
                <w:rFonts w:hint="default" w:ascii="Times New Roman" w:hAnsi="Times New Roman" w:cs="Times New Roman"/>
                <w:bCs/>
                <w:color w:val="auto"/>
                <w:highlight w:val="none"/>
              </w:rPr>
              <w:t>GB/T17954-2007</w:t>
            </w:r>
            <w:r>
              <w:rPr>
                <w:rFonts w:hint="eastAsia"/>
                <w:bCs/>
                <w:color w:val="auto"/>
                <w:highlight w:val="none"/>
                <w:lang w:eastAsia="zh-CN"/>
              </w:rPr>
              <w:t>）</w:t>
            </w:r>
            <w:r>
              <w:rPr>
                <w:bCs/>
                <w:color w:val="auto"/>
                <w:highlight w:val="none"/>
              </w:rPr>
              <w:t>表</w:t>
            </w:r>
            <w:r>
              <w:rPr>
                <w:rFonts w:hint="default" w:ascii="Times New Roman" w:hAnsi="Times New Roman" w:cs="Times New Roman"/>
                <w:bCs/>
                <w:color w:val="auto"/>
                <w:highlight w:val="none"/>
              </w:rPr>
              <w:t>4-1</w:t>
            </w:r>
            <w:r>
              <w:rPr>
                <w:bCs/>
                <w:color w:val="auto"/>
                <w:highlight w:val="none"/>
              </w:rPr>
              <w:t>内选取</w:t>
            </w:r>
            <w:r>
              <w:rPr>
                <w:rFonts w:hint="eastAsia"/>
                <w:bCs/>
                <w:color w:val="auto"/>
                <w:highlight w:val="none"/>
                <w:lang w:eastAsia="zh-CN"/>
              </w:rPr>
              <w:t>（</w:t>
            </w:r>
            <w:r>
              <w:rPr>
                <w:rFonts w:hint="default" w:ascii="Times New Roman" w:hAnsi="Times New Roman" w:cs="Times New Roman"/>
                <w:bCs/>
                <w:color w:val="auto"/>
                <w:highlight w:val="none"/>
              </w:rPr>
              <w:t>13%</w:t>
            </w:r>
            <w:r>
              <w:rPr>
                <w:rFonts w:hint="eastAsia"/>
                <w:bCs/>
                <w:color w:val="auto"/>
                <w:highlight w:val="none"/>
                <w:lang w:eastAsia="zh-CN"/>
              </w:rPr>
              <w:t>）</w:t>
            </w:r>
            <w:r>
              <w:rPr>
                <w:rFonts w:ascii="Times New Roman" w:hAnsi="Times New Roman" w:eastAsia="宋体" w:cs="宋体"/>
                <w:color w:val="auto"/>
                <w:spacing w:val="-3"/>
                <w:sz w:val="24"/>
                <w:szCs w:val="24"/>
                <w:highlight w:val="none"/>
              </w:rPr>
              <w:t>）</w:t>
            </w:r>
          </w:p>
          <w:p w14:paraId="04BC0A8A">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default" w:ascii="Times New Roman" w:hAnsi="Times New Roman" w:eastAsia="宋体" w:cs="宋体"/>
                <w:color w:val="auto"/>
                <w:spacing w:val="-2"/>
                <w:sz w:val="24"/>
                <w:szCs w:val="24"/>
                <w:highlight w:val="none"/>
                <w:lang w:val="en-US" w:eastAsia="zh-CN"/>
              </w:rPr>
            </w:pPr>
            <w:r>
              <w:rPr>
                <w:rFonts w:hint="default" w:ascii="Times New Roman" w:hAnsi="Times New Roman" w:eastAsia="宋体" w:cs="宋体"/>
                <w:color w:val="auto"/>
                <w:spacing w:val="-2"/>
                <w:sz w:val="24"/>
                <w:szCs w:val="24"/>
                <w:highlight w:val="none"/>
                <w:lang w:val="en-US" w:eastAsia="zh-CN"/>
              </w:rPr>
              <w:t>本项目小时颗粒物排放量=</w:t>
            </w:r>
            <w:r>
              <w:rPr>
                <w:rFonts w:hint="eastAsia" w:ascii="Times New Roman" w:hAnsi="Times New Roman" w:cs="宋体"/>
                <w:color w:val="auto"/>
                <w:spacing w:val="-2"/>
                <w:sz w:val="24"/>
                <w:szCs w:val="24"/>
                <w:highlight w:val="none"/>
                <w:lang w:val="en-US" w:eastAsia="zh-CN"/>
              </w:rPr>
              <w:t>1.0811</w:t>
            </w:r>
            <w:r>
              <w:rPr>
                <w:rFonts w:hint="default" w:ascii="Times New Roman" w:hAnsi="Times New Roman" w:eastAsia="宋体" w:cs="宋体"/>
                <w:color w:val="auto"/>
                <w:spacing w:val="-2"/>
                <w:sz w:val="24"/>
                <w:szCs w:val="24"/>
                <w:highlight w:val="none"/>
                <w:lang w:val="en-US" w:eastAsia="zh-CN"/>
              </w:rPr>
              <w:t>×</w:t>
            </w:r>
            <w:r>
              <w:rPr>
                <w:rFonts w:hint="eastAsia" w:ascii="Times New Roman" w:hAnsi="Times New Roman" w:cs="Times New Roman"/>
                <w:color w:val="auto"/>
                <w:spacing w:val="-2"/>
                <w:sz w:val="24"/>
                <w:szCs w:val="24"/>
                <w:highlight w:val="none"/>
                <w:lang w:val="en-US" w:eastAsia="zh-CN"/>
              </w:rPr>
              <w:t>4.74</w:t>
            </w:r>
            <w:r>
              <w:rPr>
                <w:rFonts w:hint="default" w:ascii="Times New Roman" w:hAnsi="Times New Roman" w:eastAsia="宋体" w:cs="宋体"/>
                <w:color w:val="auto"/>
                <w:spacing w:val="-2"/>
                <w:sz w:val="24"/>
                <w:szCs w:val="24"/>
                <w:highlight w:val="none"/>
                <w:lang w:val="en-US" w:eastAsia="zh-CN"/>
              </w:rPr>
              <w:t>%×20%×（1-99.</w:t>
            </w:r>
            <w:r>
              <w:rPr>
                <w:rFonts w:hint="eastAsia" w:ascii="Times New Roman" w:hAnsi="Times New Roman" w:eastAsia="宋体" w:cs="宋体"/>
                <w:color w:val="auto"/>
                <w:spacing w:val="-2"/>
                <w:sz w:val="24"/>
                <w:szCs w:val="24"/>
                <w:highlight w:val="none"/>
                <w:lang w:val="en-US" w:eastAsia="zh-CN"/>
              </w:rPr>
              <w:t>7</w:t>
            </w:r>
            <w:r>
              <w:rPr>
                <w:rFonts w:hint="default" w:ascii="Times New Roman" w:hAnsi="Times New Roman" w:eastAsia="宋体" w:cs="宋体"/>
                <w:color w:val="auto"/>
                <w:spacing w:val="-2"/>
                <w:sz w:val="24"/>
                <w:szCs w:val="24"/>
                <w:highlight w:val="none"/>
                <w:lang w:val="en-US" w:eastAsia="zh-CN"/>
              </w:rPr>
              <w:t>%）/（1-1</w:t>
            </w:r>
            <w:r>
              <w:rPr>
                <w:rFonts w:hint="eastAsia" w:ascii="Times New Roman" w:hAnsi="Times New Roman" w:eastAsia="宋体" w:cs="宋体"/>
                <w:color w:val="auto"/>
                <w:spacing w:val="-2"/>
                <w:sz w:val="24"/>
                <w:szCs w:val="24"/>
                <w:highlight w:val="none"/>
                <w:lang w:val="en-US" w:eastAsia="zh-CN"/>
              </w:rPr>
              <w:t>3</w:t>
            </w:r>
            <w:r>
              <w:rPr>
                <w:rFonts w:hint="default" w:ascii="Times New Roman" w:hAnsi="Times New Roman" w:eastAsia="宋体" w:cs="宋体"/>
                <w:color w:val="auto"/>
                <w:spacing w:val="-2"/>
                <w:sz w:val="24"/>
                <w:szCs w:val="24"/>
                <w:highlight w:val="none"/>
                <w:lang w:val="en-US" w:eastAsia="zh-CN"/>
              </w:rPr>
              <w:t>%）=</w:t>
            </w:r>
            <w:r>
              <w:rPr>
                <w:rFonts w:hint="eastAsia" w:ascii="Times New Roman" w:hAnsi="Times New Roman" w:cs="宋体"/>
                <w:color w:val="auto"/>
                <w:spacing w:val="-2"/>
                <w:sz w:val="24"/>
                <w:szCs w:val="24"/>
                <w:highlight w:val="none"/>
                <w:lang w:val="en-US" w:eastAsia="zh-CN"/>
              </w:rPr>
              <w:t>0.0000353</w:t>
            </w:r>
            <w:r>
              <w:rPr>
                <w:rFonts w:hint="default" w:ascii="Times New Roman" w:hAnsi="Times New Roman" w:eastAsia="宋体" w:cs="宋体"/>
                <w:color w:val="auto"/>
                <w:spacing w:val="-2"/>
                <w:sz w:val="24"/>
                <w:szCs w:val="24"/>
                <w:highlight w:val="none"/>
                <w:lang w:val="en-US" w:eastAsia="zh-CN"/>
              </w:rPr>
              <w:t>t/h，</w:t>
            </w:r>
            <w:r>
              <w:rPr>
                <w:rFonts w:hint="eastAsia" w:ascii="Times New Roman" w:hAnsi="Times New Roman" w:cs="宋体"/>
                <w:color w:val="auto"/>
                <w:spacing w:val="-2"/>
                <w:sz w:val="24"/>
                <w:szCs w:val="24"/>
                <w:highlight w:val="none"/>
                <w:lang w:val="en-US" w:eastAsia="zh-CN"/>
              </w:rPr>
              <w:t>0.0353</w:t>
            </w:r>
            <w:r>
              <w:rPr>
                <w:rFonts w:hint="default" w:ascii="Times New Roman" w:hAnsi="Times New Roman" w:eastAsia="宋体" w:cs="宋体"/>
                <w:color w:val="auto"/>
                <w:spacing w:val="-2"/>
                <w:sz w:val="24"/>
                <w:szCs w:val="24"/>
                <w:highlight w:val="none"/>
                <w:lang w:val="en-US" w:eastAsia="zh-CN"/>
              </w:rPr>
              <w:t>kg/h。</w:t>
            </w:r>
            <w:r>
              <w:rPr>
                <w:rFonts w:hint="eastAsia" w:ascii="Times New Roman" w:hAnsi="Times New Roman" w:eastAsia="宋体" w:cs="宋体"/>
                <w:color w:val="auto"/>
                <w:spacing w:val="-2"/>
                <w:sz w:val="24"/>
                <w:szCs w:val="24"/>
                <w:highlight w:val="none"/>
                <w:lang w:val="en-US" w:eastAsia="zh-CN"/>
              </w:rPr>
              <w:t>排放浓度为</w:t>
            </w:r>
            <w:r>
              <w:rPr>
                <w:rFonts w:hint="eastAsia" w:ascii="Times New Roman" w:hAnsi="Times New Roman" w:cs="宋体"/>
                <w:color w:val="auto"/>
                <w:spacing w:val="-2"/>
                <w:sz w:val="24"/>
                <w:szCs w:val="24"/>
                <w:highlight w:val="none"/>
                <w:lang w:val="en-US" w:eastAsia="zh-CN"/>
              </w:rPr>
              <w:t>4.378</w:t>
            </w:r>
            <w:r>
              <w:rPr>
                <w:rFonts w:hint="eastAsia" w:ascii="Times New Roman" w:hAnsi="Times New Roman" w:eastAsia="宋体" w:cs="宋体"/>
                <w:color w:val="auto"/>
                <w:spacing w:val="-2"/>
                <w:sz w:val="24"/>
                <w:szCs w:val="24"/>
                <w:highlight w:val="none"/>
                <w:lang w:val="en-US" w:eastAsia="zh-CN"/>
              </w:rPr>
              <w:t>mg/m</w:t>
            </w:r>
            <w:r>
              <w:rPr>
                <w:rFonts w:hint="eastAsia" w:ascii="Times New Roman" w:hAnsi="Times New Roman" w:eastAsia="宋体" w:cs="宋体"/>
                <w:color w:val="auto"/>
                <w:spacing w:val="-2"/>
                <w:sz w:val="24"/>
                <w:szCs w:val="24"/>
                <w:highlight w:val="none"/>
                <w:vertAlign w:val="superscript"/>
                <w:lang w:val="en-US" w:eastAsia="zh-CN"/>
              </w:rPr>
              <w:t>3</w:t>
            </w:r>
            <w:r>
              <w:rPr>
                <w:rFonts w:hint="eastAsia" w:ascii="Times New Roman" w:hAnsi="Times New Roman" w:eastAsia="宋体" w:cs="宋体"/>
                <w:color w:val="auto"/>
                <w:spacing w:val="-2"/>
                <w:sz w:val="24"/>
                <w:szCs w:val="24"/>
                <w:highlight w:val="none"/>
                <w:lang w:val="en-US" w:eastAsia="zh-CN"/>
              </w:rPr>
              <w:t>。产生浓度为</w:t>
            </w:r>
            <w:r>
              <w:rPr>
                <w:rFonts w:hint="eastAsia" w:ascii="Times New Roman" w:hAnsi="Times New Roman" w:cs="宋体"/>
                <w:color w:val="auto"/>
                <w:spacing w:val="-2"/>
                <w:sz w:val="24"/>
                <w:szCs w:val="24"/>
                <w:highlight w:val="none"/>
                <w:lang w:val="en-US" w:eastAsia="zh-CN"/>
              </w:rPr>
              <w:t>1459.37</w:t>
            </w:r>
            <w:r>
              <w:rPr>
                <w:rFonts w:hint="eastAsia" w:ascii="Times New Roman" w:hAnsi="Times New Roman" w:eastAsia="宋体" w:cs="宋体"/>
                <w:color w:val="auto"/>
                <w:spacing w:val="-2"/>
                <w:sz w:val="24"/>
                <w:szCs w:val="24"/>
                <w:highlight w:val="none"/>
                <w:lang w:val="en-US" w:eastAsia="zh-CN"/>
              </w:rPr>
              <w:t>mg/m</w:t>
            </w:r>
            <w:r>
              <w:rPr>
                <w:rFonts w:hint="eastAsia" w:ascii="Times New Roman" w:hAnsi="Times New Roman" w:eastAsia="宋体" w:cs="宋体"/>
                <w:color w:val="auto"/>
                <w:spacing w:val="-2"/>
                <w:sz w:val="24"/>
                <w:szCs w:val="24"/>
                <w:highlight w:val="none"/>
                <w:vertAlign w:val="superscript"/>
                <w:lang w:val="en-US" w:eastAsia="zh-CN"/>
              </w:rPr>
              <w:t>3</w:t>
            </w:r>
            <w:r>
              <w:rPr>
                <w:rFonts w:hint="eastAsia" w:ascii="Times New Roman" w:hAnsi="Times New Roman" w:eastAsia="宋体" w:cs="宋体"/>
                <w:color w:val="auto"/>
                <w:spacing w:val="-2"/>
                <w:sz w:val="24"/>
                <w:szCs w:val="24"/>
                <w:highlight w:val="none"/>
                <w:lang w:val="en-US" w:eastAsia="zh-CN"/>
              </w:rPr>
              <w:t>，产生速率</w:t>
            </w:r>
            <w:r>
              <w:rPr>
                <w:rFonts w:hint="eastAsia" w:ascii="Times New Roman" w:hAnsi="Times New Roman" w:cs="宋体"/>
                <w:color w:val="auto"/>
                <w:spacing w:val="-2"/>
                <w:sz w:val="24"/>
                <w:szCs w:val="24"/>
                <w:highlight w:val="none"/>
                <w:lang w:val="en-US" w:eastAsia="zh-CN"/>
              </w:rPr>
              <w:t>11.78</w:t>
            </w:r>
            <w:r>
              <w:rPr>
                <w:rFonts w:hint="eastAsia" w:ascii="Times New Roman" w:hAnsi="Times New Roman" w:eastAsia="宋体" w:cs="宋体"/>
                <w:color w:val="auto"/>
                <w:spacing w:val="-2"/>
                <w:sz w:val="24"/>
                <w:szCs w:val="24"/>
                <w:highlight w:val="none"/>
                <w:lang w:val="en-US" w:eastAsia="zh-CN"/>
              </w:rPr>
              <w:t>kg/h。</w:t>
            </w:r>
          </w:p>
          <w:p w14:paraId="2E8BA327">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472" w:firstLineChars="200"/>
              <w:textAlignment w:val="auto"/>
              <w:rPr>
                <w:rFonts w:hint="eastAsia" w:ascii="宋体" w:hAnsi="宋体" w:eastAsia="宋体" w:cs="宋体"/>
                <w:color w:val="auto"/>
                <w:spacing w:val="0"/>
                <w:sz w:val="24"/>
                <w:szCs w:val="24"/>
                <w:highlight w:val="none"/>
                <w:lang w:val="en-US" w:eastAsia="zh-CN"/>
              </w:rPr>
            </w:pPr>
            <w:r>
              <w:rPr>
                <w:rFonts w:hint="eastAsia" w:ascii="Times New Roman" w:hAnsi="Times New Roman" w:eastAsia="宋体" w:cs="宋体"/>
                <w:color w:val="auto"/>
                <w:spacing w:val="-2"/>
                <w:sz w:val="24"/>
                <w:szCs w:val="24"/>
                <w:highlight w:val="none"/>
                <w:lang w:val="en-US" w:eastAsia="zh-CN"/>
              </w:rPr>
              <w:t>年颗粒物排放量=</w:t>
            </w:r>
            <w:r>
              <w:rPr>
                <w:rFonts w:hint="eastAsia" w:cs="宋体"/>
                <w:bCs/>
                <w:color w:val="auto"/>
                <w:spacing w:val="0"/>
                <w:sz w:val="24"/>
                <w:szCs w:val="24"/>
                <w:highlight w:val="none"/>
                <w:lang w:val="en-US" w:eastAsia="zh-CN"/>
              </w:rPr>
              <w:t>3113.568</w:t>
            </w:r>
            <w:r>
              <w:rPr>
                <w:rFonts w:hint="default" w:ascii="Times New Roman" w:hAnsi="Times New Roman" w:eastAsia="宋体" w:cs="宋体"/>
                <w:color w:val="auto"/>
                <w:spacing w:val="-2"/>
                <w:sz w:val="24"/>
                <w:szCs w:val="24"/>
                <w:highlight w:val="none"/>
                <w:lang w:val="en-US" w:eastAsia="zh-CN"/>
              </w:rPr>
              <w:t>×</w:t>
            </w:r>
            <w:r>
              <w:rPr>
                <w:rFonts w:hint="eastAsia" w:cs="宋体"/>
                <w:color w:val="auto"/>
                <w:spacing w:val="-2"/>
                <w:sz w:val="24"/>
                <w:szCs w:val="24"/>
                <w:highlight w:val="none"/>
                <w:lang w:val="en-US" w:eastAsia="zh-CN"/>
              </w:rPr>
              <w:t>16.33</w:t>
            </w:r>
            <w:r>
              <w:rPr>
                <w:rFonts w:hint="default" w:ascii="Times New Roman" w:hAnsi="Times New Roman" w:eastAsia="宋体" w:cs="宋体"/>
                <w:color w:val="auto"/>
                <w:spacing w:val="-2"/>
                <w:sz w:val="24"/>
                <w:szCs w:val="24"/>
                <w:highlight w:val="none"/>
                <w:lang w:val="en-US" w:eastAsia="zh-CN"/>
              </w:rPr>
              <w:t>%×20%×（1-99.</w:t>
            </w:r>
            <w:r>
              <w:rPr>
                <w:rFonts w:hint="eastAsia" w:ascii="Times New Roman" w:hAnsi="Times New Roman" w:eastAsia="宋体" w:cs="宋体"/>
                <w:color w:val="auto"/>
                <w:spacing w:val="-2"/>
                <w:sz w:val="24"/>
                <w:szCs w:val="24"/>
                <w:highlight w:val="none"/>
                <w:lang w:val="en-US" w:eastAsia="zh-CN"/>
              </w:rPr>
              <w:t>7</w:t>
            </w:r>
            <w:r>
              <w:rPr>
                <w:rFonts w:hint="default" w:ascii="Times New Roman" w:hAnsi="Times New Roman" w:eastAsia="宋体" w:cs="宋体"/>
                <w:color w:val="auto"/>
                <w:spacing w:val="-2"/>
                <w:sz w:val="24"/>
                <w:szCs w:val="24"/>
                <w:highlight w:val="none"/>
                <w:lang w:val="en-US" w:eastAsia="zh-CN"/>
              </w:rPr>
              <w:t>%）/（1-1</w:t>
            </w:r>
            <w:r>
              <w:rPr>
                <w:rFonts w:hint="eastAsia" w:ascii="Times New Roman" w:hAnsi="Times New Roman" w:eastAsia="宋体" w:cs="宋体"/>
                <w:color w:val="auto"/>
                <w:spacing w:val="-2"/>
                <w:sz w:val="24"/>
                <w:szCs w:val="24"/>
                <w:highlight w:val="none"/>
                <w:lang w:val="en-US" w:eastAsia="zh-CN"/>
              </w:rPr>
              <w:t>3</w:t>
            </w:r>
            <w:r>
              <w:rPr>
                <w:rFonts w:hint="default" w:ascii="Times New Roman" w:hAnsi="Times New Roman" w:eastAsia="宋体" w:cs="宋体"/>
                <w:color w:val="auto"/>
                <w:spacing w:val="-2"/>
                <w:sz w:val="24"/>
                <w:szCs w:val="24"/>
                <w:highlight w:val="none"/>
                <w:lang w:val="en-US" w:eastAsia="zh-CN"/>
              </w:rPr>
              <w:t>%）</w:t>
            </w:r>
            <w:r>
              <w:rPr>
                <w:rFonts w:hint="eastAsia" w:ascii="Times New Roman" w:hAnsi="Times New Roman" w:eastAsia="宋体" w:cs="宋体"/>
                <w:color w:val="auto"/>
                <w:spacing w:val="-2"/>
                <w:sz w:val="24"/>
                <w:szCs w:val="24"/>
                <w:highlight w:val="none"/>
                <w:lang w:val="en-US" w:eastAsia="zh-CN"/>
              </w:rPr>
              <w:t>=</w:t>
            </w:r>
            <w:r>
              <w:rPr>
                <w:rFonts w:hint="eastAsia" w:cs="宋体"/>
                <w:color w:val="auto"/>
                <w:spacing w:val="-2"/>
                <w:sz w:val="24"/>
                <w:szCs w:val="24"/>
                <w:highlight w:val="none"/>
                <w:lang w:val="en-US" w:eastAsia="zh-CN"/>
              </w:rPr>
              <w:t>0.102</w:t>
            </w:r>
            <w:r>
              <w:rPr>
                <w:rFonts w:hint="eastAsia" w:ascii="Times New Roman" w:hAnsi="Times New Roman" w:eastAsia="宋体" w:cs="宋体"/>
                <w:color w:val="auto"/>
                <w:spacing w:val="-2"/>
                <w:sz w:val="24"/>
                <w:szCs w:val="24"/>
                <w:highlight w:val="none"/>
                <w:lang w:val="en-US" w:eastAsia="zh-CN"/>
              </w:rPr>
              <w:t>t/a</w:t>
            </w:r>
          </w:p>
          <w:p w14:paraId="53BCFB9D">
            <w:pPr>
              <w:pStyle w:val="46"/>
              <w:adjustRightInd/>
              <w:spacing w:line="360" w:lineRule="auto"/>
              <w:ind w:firstLine="480" w:firstLineChars="200"/>
              <w:jc w:val="left"/>
              <w:rPr>
                <w:color w:val="auto"/>
                <w:highlight w:val="none"/>
              </w:rPr>
            </w:pPr>
            <w:r>
              <w:rPr>
                <w:rFonts w:hint="eastAsia" w:ascii="宋体" w:hAnsi="宋体" w:cs="宋体"/>
                <w:color w:val="auto"/>
                <w:highlight w:val="none"/>
              </w:rPr>
              <w:t>③</w:t>
            </w:r>
            <w:r>
              <w:rPr>
                <w:color w:val="auto"/>
                <w:highlight w:val="none"/>
              </w:rPr>
              <w:t>二氧化硫</w:t>
            </w:r>
          </w:p>
          <w:p w14:paraId="3A30CE10">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eastAsia="宋体" w:cs="宋体"/>
                <w:color w:val="auto"/>
                <w:spacing w:val="0"/>
                <w:sz w:val="24"/>
                <w:szCs w:val="24"/>
                <w:highlight w:val="none"/>
                <w:lang w:val="en-US" w:eastAsia="zh-CN"/>
              </w:rPr>
            </w:pPr>
            <w:r>
              <w:rPr>
                <w:rFonts w:hint="eastAsia" w:ascii="Times New Roman" w:hAnsi="Times New Roman"/>
                <w:bCs/>
                <w:color w:val="auto"/>
                <w:kern w:val="28"/>
                <w:sz w:val="24"/>
                <w:highlight w:val="none"/>
              </w:rPr>
              <w:t>根据</w:t>
            </w:r>
            <w:r>
              <w:rPr>
                <w:rFonts w:ascii="Times New Roman" w:hAnsi="Times New Roman"/>
                <w:bCs/>
                <w:color w:val="auto"/>
                <w:kern w:val="28"/>
                <w:sz w:val="24"/>
                <w:highlight w:val="none"/>
              </w:rPr>
              <w:t>《污染源源强核算技术指南 锅炉》（HJ991-2018）</w:t>
            </w:r>
            <w:r>
              <w:rPr>
                <w:rFonts w:hint="eastAsia" w:ascii="Times New Roman" w:hAnsi="Times New Roman"/>
                <w:bCs/>
                <w:color w:val="auto"/>
                <w:kern w:val="28"/>
                <w:sz w:val="24"/>
                <w:highlight w:val="none"/>
              </w:rPr>
              <w:t>5</w:t>
            </w:r>
            <w:r>
              <w:rPr>
                <w:rFonts w:ascii="Times New Roman" w:hAnsi="Times New Roman"/>
                <w:bCs/>
                <w:color w:val="auto"/>
                <w:kern w:val="28"/>
                <w:sz w:val="24"/>
                <w:highlight w:val="none"/>
              </w:rPr>
              <w:t>.1.1</w:t>
            </w:r>
            <w:r>
              <w:rPr>
                <w:rFonts w:hint="eastAsia" w:ascii="Times New Roman" w:hAnsi="Times New Roman"/>
                <w:bCs/>
                <w:color w:val="auto"/>
                <w:kern w:val="28"/>
                <w:sz w:val="24"/>
                <w:highlight w:val="none"/>
              </w:rPr>
              <w:t>式（</w:t>
            </w:r>
            <w:r>
              <w:rPr>
                <w:rFonts w:ascii="Times New Roman" w:hAnsi="Times New Roman"/>
                <w:bCs/>
                <w:color w:val="auto"/>
                <w:kern w:val="28"/>
                <w:sz w:val="24"/>
                <w:highlight w:val="none"/>
              </w:rPr>
              <w:t>4</w:t>
            </w:r>
            <w:r>
              <w:rPr>
                <w:rFonts w:hint="eastAsia" w:ascii="Times New Roman" w:hAnsi="Times New Roman"/>
                <w:bCs/>
                <w:color w:val="auto"/>
                <w:kern w:val="28"/>
                <w:sz w:val="24"/>
                <w:highlight w:val="none"/>
              </w:rPr>
              <w:t>），二氧化硫</w:t>
            </w:r>
            <w:r>
              <w:rPr>
                <w:rFonts w:ascii="Times New Roman" w:hAnsi="Times New Roman"/>
                <w:bCs/>
                <w:color w:val="auto"/>
                <w:kern w:val="28"/>
                <w:sz w:val="24"/>
                <w:highlight w:val="none"/>
              </w:rPr>
              <w:t>排放量</w:t>
            </w:r>
            <w:r>
              <w:rPr>
                <w:rFonts w:hint="eastAsia" w:ascii="Times New Roman" w:hAnsi="Times New Roman"/>
                <w:bCs/>
                <w:color w:val="auto"/>
                <w:kern w:val="28"/>
                <w:sz w:val="24"/>
                <w:highlight w:val="none"/>
              </w:rPr>
              <w:t>计算公式如下：</w:t>
            </w:r>
          </w:p>
          <w:p w14:paraId="40D5FFAE">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0" w:firstLineChars="0"/>
              <w:jc w:val="center"/>
              <w:textAlignment w:val="auto"/>
              <w:rPr>
                <w:rFonts w:hint="eastAsia" w:ascii="宋体" w:hAnsi="宋体" w:eastAsia="宋体" w:cs="宋体"/>
                <w:color w:val="auto"/>
                <w:spacing w:val="0"/>
                <w:sz w:val="24"/>
                <w:szCs w:val="24"/>
                <w:highlight w:val="none"/>
                <w:lang w:val="en-US" w:eastAsia="zh-CN"/>
              </w:rPr>
            </w:pPr>
            <w:r>
              <w:rPr>
                <w:rFonts w:ascii="Times New Roman" w:hAnsi="Times New Roman" w:eastAsia="宋体" w:cs="宋体"/>
                <w:color w:val="auto"/>
                <w:position w:val="-14"/>
                <w:highlight w:val="none"/>
              </w:rPr>
              <w:drawing>
                <wp:inline distT="0" distB="0" distL="0" distR="0">
                  <wp:extent cx="2991485" cy="457200"/>
                  <wp:effectExtent l="0" t="0" r="18415" b="0"/>
                  <wp:docPr id="96" name="IM 4"/>
                  <wp:cNvGraphicFramePr/>
                  <a:graphic xmlns:a="http://schemas.openxmlformats.org/drawingml/2006/main">
                    <a:graphicData uri="http://schemas.openxmlformats.org/drawingml/2006/picture">
                      <pic:pic xmlns:pic="http://schemas.openxmlformats.org/drawingml/2006/picture">
                        <pic:nvPicPr>
                          <pic:cNvPr id="96" name="IM 4"/>
                          <pic:cNvPicPr/>
                        </pic:nvPicPr>
                        <pic:blipFill>
                          <a:blip r:embed="rId28"/>
                          <a:stretch>
                            <a:fillRect/>
                          </a:stretch>
                        </pic:blipFill>
                        <pic:spPr>
                          <a:xfrm>
                            <a:off x="0" y="0"/>
                            <a:ext cx="2991611" cy="457200"/>
                          </a:xfrm>
                          <a:prstGeom prst="rect">
                            <a:avLst/>
                          </a:prstGeom>
                        </pic:spPr>
                      </pic:pic>
                    </a:graphicData>
                  </a:graphic>
                </wp:inline>
              </w:drawing>
            </w:r>
          </w:p>
          <w:p w14:paraId="22F48653">
            <w:pPr>
              <w:spacing w:line="360" w:lineRule="auto"/>
              <w:ind w:firstLine="480" w:firstLineChars="200"/>
              <w:rPr>
                <w:color w:val="auto"/>
                <w:sz w:val="24"/>
                <w:szCs w:val="24"/>
                <w:highlight w:val="none"/>
              </w:rPr>
            </w:pPr>
            <w:r>
              <w:rPr>
                <w:color w:val="auto"/>
                <w:sz w:val="24"/>
                <w:szCs w:val="24"/>
                <w:highlight w:val="none"/>
              </w:rPr>
              <w:t>式中：E</w:t>
            </w:r>
            <w:r>
              <w:rPr>
                <w:bCs/>
                <w:color w:val="auto"/>
                <w:sz w:val="24"/>
                <w:szCs w:val="24"/>
                <w:highlight w:val="none"/>
                <w:vertAlign w:val="subscript"/>
              </w:rPr>
              <w:t>SO2</w:t>
            </w:r>
            <w:r>
              <w:rPr>
                <w:color w:val="auto"/>
                <w:sz w:val="24"/>
                <w:szCs w:val="24"/>
                <w:highlight w:val="none"/>
              </w:rPr>
              <w:t>—核算时段内</w:t>
            </w:r>
            <w:r>
              <w:rPr>
                <w:rFonts w:hint="default" w:ascii="Times New Roman" w:hAnsi="Times New Roman" w:cs="Times New Roman"/>
                <w:bCs/>
                <w:color w:val="auto"/>
                <w:sz w:val="24"/>
                <w:szCs w:val="24"/>
                <w:highlight w:val="none"/>
              </w:rPr>
              <w:t>SO</w:t>
            </w:r>
            <w:r>
              <w:rPr>
                <w:rFonts w:hint="default" w:ascii="Times New Roman" w:hAnsi="Times New Roman" w:cs="Times New Roman"/>
                <w:bCs/>
                <w:color w:val="auto"/>
                <w:sz w:val="24"/>
                <w:szCs w:val="24"/>
                <w:highlight w:val="none"/>
                <w:vertAlign w:val="subscript"/>
              </w:rPr>
              <w:t>2</w:t>
            </w:r>
            <w:r>
              <w:rPr>
                <w:bCs/>
                <w:color w:val="auto"/>
                <w:sz w:val="24"/>
                <w:szCs w:val="24"/>
                <w:highlight w:val="none"/>
              </w:rPr>
              <w:t>排放量</w:t>
            </w:r>
            <w:r>
              <w:rPr>
                <w:color w:val="auto"/>
                <w:sz w:val="24"/>
                <w:szCs w:val="24"/>
                <w:highlight w:val="none"/>
              </w:rPr>
              <w:t>，</w:t>
            </w:r>
            <w:r>
              <w:rPr>
                <w:rFonts w:hint="default" w:ascii="Times New Roman" w:hAnsi="Times New Roman" w:cs="Times New Roman"/>
                <w:color w:val="auto"/>
                <w:sz w:val="24"/>
                <w:szCs w:val="24"/>
                <w:highlight w:val="none"/>
              </w:rPr>
              <w:t>t</w:t>
            </w:r>
            <w:r>
              <w:rPr>
                <w:color w:val="auto"/>
                <w:sz w:val="24"/>
                <w:szCs w:val="24"/>
                <w:highlight w:val="none"/>
              </w:rPr>
              <w:t>；</w:t>
            </w:r>
          </w:p>
          <w:p w14:paraId="25D51460">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color w:val="auto"/>
                <w:sz w:val="24"/>
                <w:szCs w:val="24"/>
                <w:highlight w:val="none"/>
              </w:rPr>
            </w:pPr>
            <w:r>
              <w:rPr>
                <w:color w:val="auto"/>
                <w:sz w:val="24"/>
                <w:szCs w:val="24"/>
                <w:highlight w:val="none"/>
              </w:rPr>
              <w:t>R—核算时段内锅炉燃料消耗量，</w:t>
            </w:r>
            <w:r>
              <w:rPr>
                <w:rFonts w:hint="default" w:ascii="Times New Roman" w:hAnsi="Times New Roman" w:cs="Times New Roman"/>
                <w:color w:val="auto"/>
                <w:sz w:val="24"/>
                <w:szCs w:val="24"/>
                <w:highlight w:val="none"/>
              </w:rPr>
              <w:t>t</w:t>
            </w:r>
            <w:r>
              <w:rPr>
                <w:color w:val="auto"/>
                <w:sz w:val="24"/>
                <w:szCs w:val="24"/>
                <w:highlight w:val="none"/>
              </w:rPr>
              <w:t>，生物质成型颗粒</w:t>
            </w:r>
            <w:r>
              <w:rPr>
                <w:bCs/>
                <w:color w:val="auto"/>
                <w:sz w:val="24"/>
                <w:szCs w:val="24"/>
                <w:highlight w:val="none"/>
              </w:rPr>
              <w:t>取</w:t>
            </w:r>
            <w:r>
              <w:rPr>
                <w:rFonts w:hint="eastAsia" w:ascii="Times New Roman" w:hAnsi="Times New Roman" w:cs="Times New Roman"/>
                <w:bCs/>
                <w:color w:val="auto"/>
                <w:spacing w:val="0"/>
                <w:sz w:val="24"/>
                <w:szCs w:val="24"/>
                <w:highlight w:val="none"/>
                <w:lang w:val="en-US" w:eastAsia="zh-CN"/>
              </w:rPr>
              <w:t>3113.568</w:t>
            </w:r>
            <w:r>
              <w:rPr>
                <w:rFonts w:hint="default" w:ascii="Times New Roman" w:hAnsi="Times New Roman" w:cs="Times New Roman"/>
                <w:color w:val="auto"/>
                <w:sz w:val="24"/>
                <w:szCs w:val="24"/>
                <w:highlight w:val="none"/>
              </w:rPr>
              <w:t>t</w:t>
            </w:r>
            <w:r>
              <w:rPr>
                <w:color w:val="auto"/>
                <w:sz w:val="24"/>
                <w:szCs w:val="24"/>
                <w:highlight w:val="none"/>
              </w:rPr>
              <w:t>；</w:t>
            </w:r>
          </w:p>
          <w:p w14:paraId="07D3E8BF">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b/>
                <w:color w:val="auto"/>
                <w:sz w:val="24"/>
                <w:szCs w:val="24"/>
                <w:highlight w:val="none"/>
              </w:rPr>
            </w:pPr>
            <w:r>
              <w:rPr>
                <w:color w:val="auto"/>
                <w:sz w:val="24"/>
                <w:szCs w:val="24"/>
                <w:highlight w:val="none"/>
              </w:rPr>
              <w:t>S</w:t>
            </w:r>
            <w:r>
              <w:rPr>
                <w:color w:val="auto"/>
                <w:sz w:val="24"/>
                <w:szCs w:val="24"/>
                <w:highlight w:val="none"/>
                <w:vertAlign w:val="subscript"/>
              </w:rPr>
              <w:t>ar</w:t>
            </w:r>
            <w:r>
              <w:rPr>
                <w:color w:val="auto"/>
                <w:sz w:val="24"/>
                <w:szCs w:val="24"/>
                <w:highlight w:val="none"/>
              </w:rPr>
              <w:t>—</w:t>
            </w:r>
            <w:r>
              <w:rPr>
                <w:rFonts w:hint="eastAsia"/>
                <w:color w:val="auto"/>
                <w:sz w:val="24"/>
                <w:szCs w:val="24"/>
                <w:highlight w:val="none"/>
              </w:rPr>
              <w:t>燃料收到基硫含量</w:t>
            </w:r>
            <w:r>
              <w:rPr>
                <w:color w:val="auto"/>
                <w:sz w:val="24"/>
                <w:szCs w:val="24"/>
                <w:highlight w:val="none"/>
              </w:rPr>
              <w:t>，</w:t>
            </w:r>
            <w:r>
              <w:rPr>
                <w:rFonts w:hint="default" w:ascii="Times New Roman" w:hAnsi="Times New Roman" w:cs="Times New Roman"/>
                <w:color w:val="auto"/>
                <w:sz w:val="24"/>
                <w:szCs w:val="24"/>
                <w:highlight w:val="none"/>
              </w:rPr>
              <w:t>%</w:t>
            </w:r>
            <w:r>
              <w:rPr>
                <w:color w:val="auto"/>
                <w:sz w:val="24"/>
                <w:szCs w:val="24"/>
                <w:highlight w:val="none"/>
              </w:rPr>
              <w:t>，取</w:t>
            </w:r>
            <w:r>
              <w:rPr>
                <w:rFonts w:hint="default" w:ascii="Times New Roman" w:hAnsi="Times New Roman" w:cs="Times New Roman"/>
                <w:color w:val="auto"/>
                <w:sz w:val="24"/>
                <w:szCs w:val="24"/>
                <w:highlight w:val="none"/>
              </w:rPr>
              <w:t>0</w:t>
            </w:r>
            <w:r>
              <w:rPr>
                <w:color w:val="auto"/>
                <w:sz w:val="24"/>
                <w:szCs w:val="24"/>
                <w:highlight w:val="none"/>
              </w:rPr>
              <w:t>.</w:t>
            </w:r>
            <w:r>
              <w:rPr>
                <w:rFonts w:hint="default" w:ascii="Times New Roman" w:hAnsi="Times New Roman" w:cs="Times New Roman"/>
                <w:color w:val="auto"/>
                <w:sz w:val="24"/>
                <w:szCs w:val="24"/>
                <w:highlight w:val="none"/>
              </w:rPr>
              <w:t>07</w:t>
            </w:r>
            <w:r>
              <w:rPr>
                <w:color w:val="auto"/>
                <w:sz w:val="24"/>
                <w:szCs w:val="24"/>
                <w:highlight w:val="none"/>
              </w:rPr>
              <w:t>；</w:t>
            </w:r>
          </w:p>
          <w:p w14:paraId="4E40388C">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b/>
                <w:color w:val="auto"/>
                <w:sz w:val="24"/>
                <w:szCs w:val="24"/>
                <w:highlight w:val="none"/>
              </w:rPr>
            </w:pPr>
            <w:r>
              <w:rPr>
                <w:color w:val="auto"/>
                <w:sz w:val="24"/>
                <w:szCs w:val="24"/>
                <w:highlight w:val="none"/>
              </w:rPr>
              <w:t>q</w:t>
            </w:r>
            <w:r>
              <w:rPr>
                <w:color w:val="auto"/>
                <w:sz w:val="24"/>
                <w:szCs w:val="24"/>
                <w:highlight w:val="none"/>
                <w:vertAlign w:val="subscript"/>
              </w:rPr>
              <w:t>4</w:t>
            </w:r>
            <w:r>
              <w:rPr>
                <w:color w:val="auto"/>
                <w:sz w:val="24"/>
                <w:szCs w:val="24"/>
                <w:highlight w:val="none"/>
              </w:rPr>
              <w:t>—锅炉机械不完全燃烧热损失，</w:t>
            </w:r>
            <w:r>
              <w:rPr>
                <w:rFonts w:hint="default" w:ascii="Times New Roman" w:hAnsi="Times New Roman" w:cs="Times New Roman"/>
                <w:color w:val="auto"/>
                <w:sz w:val="24"/>
                <w:szCs w:val="24"/>
                <w:highlight w:val="none"/>
              </w:rPr>
              <w:t>%</w:t>
            </w:r>
            <w:r>
              <w:rPr>
                <w:color w:val="auto"/>
                <w:sz w:val="24"/>
                <w:szCs w:val="24"/>
                <w:highlight w:val="none"/>
              </w:rPr>
              <w:t>，取</w:t>
            </w:r>
            <w:r>
              <w:rPr>
                <w:rFonts w:hint="default" w:ascii="Times New Roman" w:hAnsi="Times New Roman" w:cs="Times New Roman"/>
                <w:color w:val="auto"/>
                <w:sz w:val="24"/>
                <w:szCs w:val="24"/>
                <w:highlight w:val="none"/>
              </w:rPr>
              <w:t>1</w:t>
            </w:r>
            <w:r>
              <w:rPr>
                <w:rFonts w:hint="default" w:ascii="Times New Roman" w:hAnsi="Times New Roman" w:cs="Times New Roman"/>
                <w:color w:val="auto"/>
                <w:sz w:val="24"/>
                <w:szCs w:val="24"/>
                <w:highlight w:val="none"/>
                <w:lang w:val="en-US" w:eastAsia="zh-CN"/>
              </w:rPr>
              <w:t>0</w:t>
            </w:r>
            <w:r>
              <w:rPr>
                <w:color w:val="auto"/>
                <w:sz w:val="24"/>
                <w:szCs w:val="24"/>
                <w:highlight w:val="none"/>
              </w:rPr>
              <w:t>；</w:t>
            </w:r>
          </w:p>
          <w:p w14:paraId="2EF14EDF">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b/>
                <w:color w:val="auto"/>
                <w:sz w:val="24"/>
                <w:szCs w:val="24"/>
                <w:highlight w:val="none"/>
              </w:rPr>
            </w:pPr>
            <w:r>
              <w:rPr>
                <w:rFonts w:hint="default" w:ascii="Times New Roman" w:hAnsi="Times New Roman" w:cs="Times New Roman"/>
                <w:i/>
                <w:iCs/>
                <w:color w:val="auto"/>
                <w:sz w:val="24"/>
                <w:szCs w:val="24"/>
                <w:highlight w:val="none"/>
                <w:lang w:eastAsia="zh-CN"/>
              </w:rPr>
              <w:t>η</w:t>
            </w:r>
            <w:r>
              <w:rPr>
                <w:rFonts w:hint="eastAsia" w:ascii="Times New Roman" w:hAnsi="Times New Roman" w:cs="Times New Roman"/>
                <w:i/>
                <w:iCs/>
                <w:color w:val="auto"/>
                <w:sz w:val="24"/>
                <w:szCs w:val="24"/>
                <w:highlight w:val="none"/>
                <w:vertAlign w:val="subscript"/>
                <w:lang w:val="en-US" w:eastAsia="zh-CN"/>
              </w:rPr>
              <w:t>s</w:t>
            </w:r>
            <w:r>
              <w:rPr>
                <w:color w:val="auto"/>
                <w:sz w:val="24"/>
                <w:szCs w:val="24"/>
                <w:highlight w:val="none"/>
              </w:rPr>
              <w:t>—脱硫效率，</w:t>
            </w:r>
            <w:r>
              <w:rPr>
                <w:rFonts w:hint="default" w:ascii="Times New Roman" w:hAnsi="Times New Roman" w:cs="Times New Roman"/>
                <w:color w:val="auto"/>
                <w:sz w:val="24"/>
                <w:szCs w:val="24"/>
                <w:highlight w:val="none"/>
              </w:rPr>
              <w:t>%</w:t>
            </w:r>
            <w:r>
              <w:rPr>
                <w:color w:val="auto"/>
                <w:sz w:val="24"/>
                <w:szCs w:val="24"/>
                <w:highlight w:val="none"/>
              </w:rPr>
              <w:t>，取</w:t>
            </w:r>
            <w:r>
              <w:rPr>
                <w:rFonts w:hint="default" w:ascii="Times New Roman" w:hAnsi="Times New Roman" w:cs="Times New Roman"/>
                <w:color w:val="auto"/>
                <w:sz w:val="24"/>
                <w:szCs w:val="24"/>
                <w:highlight w:val="none"/>
              </w:rPr>
              <w:t>0%</w:t>
            </w:r>
            <w:r>
              <w:rPr>
                <w:color w:val="auto"/>
                <w:sz w:val="24"/>
                <w:szCs w:val="24"/>
                <w:highlight w:val="none"/>
              </w:rPr>
              <w:t>；</w:t>
            </w:r>
          </w:p>
          <w:p w14:paraId="39818879">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宋体" w:cs="宋体"/>
                <w:color w:val="auto"/>
                <w:spacing w:val="-2"/>
                <w:sz w:val="24"/>
                <w:szCs w:val="24"/>
                <w:highlight w:val="none"/>
              </w:rPr>
            </w:pPr>
            <w:r>
              <w:rPr>
                <w:rFonts w:hint="default" w:ascii="Times New Roman" w:hAnsi="Times New Roman" w:cs="Times New Roman"/>
                <w:color w:val="auto"/>
                <w:sz w:val="24"/>
                <w:szCs w:val="24"/>
                <w:highlight w:val="none"/>
              </w:rPr>
              <w:t>K</w:t>
            </w:r>
            <w:r>
              <w:rPr>
                <w:color w:val="auto"/>
                <w:sz w:val="24"/>
                <w:szCs w:val="24"/>
                <w:highlight w:val="none"/>
              </w:rPr>
              <w:t>—燃料中的硫燃烧后氧化成二氧化硫的份额，量纲一的量，本项目取</w:t>
            </w:r>
            <w:r>
              <w:rPr>
                <w:rFonts w:hint="default" w:ascii="Times New Roman" w:hAnsi="Times New Roman" w:cs="Times New Roman"/>
                <w:color w:val="auto"/>
                <w:sz w:val="24"/>
                <w:szCs w:val="24"/>
                <w:highlight w:val="none"/>
              </w:rPr>
              <w:t>0</w:t>
            </w:r>
            <w:r>
              <w:rPr>
                <w:color w:val="auto"/>
                <w:sz w:val="24"/>
                <w:szCs w:val="24"/>
                <w:highlight w:val="none"/>
              </w:rPr>
              <w:t>.</w:t>
            </w:r>
            <w:r>
              <w:rPr>
                <w:rFonts w:hint="default" w:ascii="Times New Roman" w:hAnsi="Times New Roman" w:cs="Times New Roman"/>
                <w:color w:val="auto"/>
                <w:sz w:val="24"/>
                <w:szCs w:val="24"/>
                <w:highlight w:val="none"/>
              </w:rPr>
              <w:t>50</w:t>
            </w:r>
            <w:r>
              <w:rPr>
                <w:color w:val="auto"/>
                <w:sz w:val="24"/>
                <w:szCs w:val="24"/>
                <w:highlight w:val="none"/>
              </w:rPr>
              <w:t>。</w:t>
            </w:r>
          </w:p>
          <w:p w14:paraId="227099C7">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宋体" w:cs="宋体"/>
                <w:color w:val="auto"/>
                <w:sz w:val="24"/>
                <w:szCs w:val="24"/>
                <w:highlight w:val="none"/>
              </w:rPr>
            </w:pPr>
            <w:r>
              <w:rPr>
                <w:rFonts w:ascii="Times New Roman" w:hAnsi="Times New Roman" w:eastAsia="宋体" w:cs="宋体"/>
                <w:color w:val="auto"/>
                <w:sz w:val="24"/>
                <w:szCs w:val="24"/>
                <w:highlight w:val="none"/>
              </w:rPr>
              <w:t>本项目二氧化硫年排放量为</w:t>
            </w:r>
          </w:p>
          <w:p w14:paraId="457562FB">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宋体"/>
                <w:color w:val="auto"/>
                <w:sz w:val="24"/>
                <w:szCs w:val="24"/>
                <w:highlight w:val="none"/>
                <w:lang w:val="en-US" w:eastAsia="zh-CN"/>
              </w:rPr>
            </w:pPr>
            <w:r>
              <w:rPr>
                <w:rFonts w:ascii="Times New Roman" w:hAnsi="Times New Roman" w:eastAsia="宋体" w:cs="宋体"/>
                <w:color w:val="auto"/>
                <w:sz w:val="24"/>
                <w:szCs w:val="24"/>
                <w:highlight w:val="none"/>
              </w:rPr>
              <w:t>E</w:t>
            </w:r>
            <w:r>
              <w:rPr>
                <w:rFonts w:ascii="Times New Roman" w:hAnsi="Times New Roman" w:eastAsia="宋体" w:cs="宋体"/>
                <w:color w:val="auto"/>
                <w:sz w:val="24"/>
                <w:szCs w:val="24"/>
                <w:highlight w:val="none"/>
                <w:vertAlign w:val="subscript"/>
              </w:rPr>
              <w:t>SO</w:t>
            </w:r>
            <w:r>
              <w:rPr>
                <w:rFonts w:hint="eastAsia" w:ascii="Times New Roman" w:hAnsi="Times New Roman" w:eastAsia="宋体" w:cs="宋体"/>
                <w:color w:val="auto"/>
                <w:position w:val="-1"/>
                <w:sz w:val="16"/>
                <w:szCs w:val="16"/>
                <w:highlight w:val="none"/>
                <w:vertAlign w:val="subscript"/>
                <w:lang w:val="en-US" w:eastAsia="zh-CN"/>
              </w:rPr>
              <w:t>2</w:t>
            </w:r>
            <w:r>
              <w:rPr>
                <w:rFonts w:ascii="Times New Roman" w:hAnsi="Times New Roman" w:eastAsia="宋体" w:cs="宋体"/>
                <w:color w:val="auto"/>
                <w:sz w:val="24"/>
                <w:szCs w:val="24"/>
                <w:highlight w:val="none"/>
              </w:rPr>
              <w:t>=2×</w:t>
            </w:r>
            <w:r>
              <w:rPr>
                <w:rFonts w:hint="eastAsia" w:ascii="Times New Roman" w:hAnsi="Times New Roman" w:cs="宋体"/>
                <w:color w:val="auto"/>
                <w:spacing w:val="-2"/>
                <w:sz w:val="24"/>
                <w:szCs w:val="24"/>
                <w:highlight w:val="none"/>
                <w:lang w:val="en-US" w:eastAsia="zh-CN"/>
              </w:rPr>
              <w:t>3113.568</w:t>
            </w:r>
            <w:r>
              <w:rPr>
                <w:rFonts w:ascii="Times New Roman" w:hAnsi="Times New Roman" w:eastAsia="宋体" w:cs="宋体"/>
                <w:color w:val="auto"/>
                <w:sz w:val="24"/>
                <w:szCs w:val="24"/>
                <w:highlight w:val="none"/>
              </w:rPr>
              <w:t>×</w:t>
            </w:r>
            <w:r>
              <w:rPr>
                <w:rFonts w:hint="default" w:ascii="Times New Roman" w:hAnsi="Times New Roman" w:eastAsia="宋体" w:cs="宋体"/>
                <w:color w:val="auto"/>
                <w:spacing w:val="-2"/>
                <w:sz w:val="24"/>
                <w:szCs w:val="24"/>
                <w:highlight w:val="none"/>
                <w:lang w:val="en-US" w:eastAsia="zh-CN"/>
              </w:rPr>
              <w:t>0.</w:t>
            </w:r>
            <w:r>
              <w:rPr>
                <w:rFonts w:hint="eastAsia" w:ascii="Times New Roman" w:hAnsi="Times New Roman" w:eastAsia="宋体" w:cs="宋体"/>
                <w:color w:val="auto"/>
                <w:spacing w:val="-2"/>
                <w:sz w:val="24"/>
                <w:szCs w:val="24"/>
                <w:highlight w:val="none"/>
                <w:lang w:val="en-US" w:eastAsia="zh-CN"/>
              </w:rPr>
              <w:t>0</w:t>
            </w:r>
            <w:r>
              <w:rPr>
                <w:rFonts w:hint="eastAsia" w:ascii="Times New Roman" w:hAnsi="Times New Roman" w:cs="宋体"/>
                <w:color w:val="auto"/>
                <w:spacing w:val="-2"/>
                <w:sz w:val="24"/>
                <w:szCs w:val="24"/>
                <w:highlight w:val="none"/>
                <w:lang w:val="en-US" w:eastAsia="zh-CN"/>
              </w:rPr>
              <w:t>7</w:t>
            </w:r>
            <w:r>
              <w:rPr>
                <w:rFonts w:hint="default" w:ascii="Times New Roman" w:hAnsi="Times New Roman" w:eastAsia="宋体" w:cs="宋体"/>
                <w:color w:val="auto"/>
                <w:spacing w:val="-2"/>
                <w:sz w:val="24"/>
                <w:szCs w:val="24"/>
                <w:highlight w:val="none"/>
                <w:lang w:val="en-US" w:eastAsia="zh-CN"/>
              </w:rPr>
              <w:t>%</w:t>
            </w:r>
            <w:r>
              <w:rPr>
                <w:rFonts w:ascii="Times New Roman" w:hAnsi="Times New Roman" w:eastAsia="宋体" w:cs="宋体"/>
                <w:color w:val="auto"/>
                <w:spacing w:val="-1"/>
                <w:sz w:val="24"/>
                <w:szCs w:val="24"/>
                <w:highlight w:val="none"/>
              </w:rPr>
              <w:t>×(</w:t>
            </w:r>
            <w:r>
              <w:rPr>
                <w:rFonts w:hint="eastAsia" w:ascii="Times New Roman" w:hAnsi="Times New Roman" w:eastAsia="宋体" w:cs="宋体"/>
                <w:color w:val="auto"/>
                <w:spacing w:val="-1"/>
                <w:sz w:val="24"/>
                <w:szCs w:val="24"/>
                <w:highlight w:val="none"/>
                <w:lang w:val="en-US" w:eastAsia="zh-CN"/>
              </w:rPr>
              <w:t>1-1</w:t>
            </w:r>
            <w:r>
              <w:rPr>
                <w:rFonts w:hint="eastAsia" w:ascii="Times New Roman" w:hAnsi="Times New Roman" w:cs="宋体"/>
                <w:color w:val="auto"/>
                <w:spacing w:val="-1"/>
                <w:sz w:val="24"/>
                <w:szCs w:val="24"/>
                <w:highlight w:val="none"/>
                <w:lang w:val="en-US" w:eastAsia="zh-CN"/>
              </w:rPr>
              <w:t>0</w:t>
            </w:r>
            <w:r>
              <w:rPr>
                <w:rFonts w:hint="eastAsia" w:ascii="Times New Roman" w:hAnsi="Times New Roman" w:eastAsia="宋体" w:cs="宋体"/>
                <w:color w:val="auto"/>
                <w:spacing w:val="-1"/>
                <w:sz w:val="24"/>
                <w:szCs w:val="24"/>
                <w:highlight w:val="none"/>
                <w:lang w:val="en-US" w:eastAsia="zh-CN"/>
              </w:rPr>
              <w:t>%</w:t>
            </w:r>
            <w:r>
              <w:rPr>
                <w:rFonts w:ascii="Times New Roman" w:hAnsi="Times New Roman" w:eastAsia="宋体" w:cs="宋体"/>
                <w:color w:val="auto"/>
                <w:spacing w:val="-1"/>
                <w:sz w:val="24"/>
                <w:szCs w:val="24"/>
                <w:highlight w:val="none"/>
              </w:rPr>
              <w:t>)×(1-</w:t>
            </w:r>
            <w:r>
              <w:rPr>
                <w:rFonts w:hint="eastAsia" w:ascii="Times New Roman" w:hAnsi="Times New Roman" w:eastAsia="宋体" w:cs="宋体"/>
                <w:color w:val="auto"/>
                <w:spacing w:val="-1"/>
                <w:sz w:val="24"/>
                <w:szCs w:val="24"/>
                <w:highlight w:val="none"/>
                <w:lang w:val="en-US" w:eastAsia="zh-CN"/>
              </w:rPr>
              <w:t>0</w:t>
            </w:r>
            <w:r>
              <w:rPr>
                <w:rFonts w:ascii="Times New Roman" w:hAnsi="Times New Roman" w:eastAsia="宋体" w:cs="宋体"/>
                <w:color w:val="auto"/>
                <w:spacing w:val="-1"/>
                <w:sz w:val="24"/>
                <w:szCs w:val="24"/>
                <w:highlight w:val="none"/>
              </w:rPr>
              <w:t>)×0.</w:t>
            </w:r>
            <w:r>
              <w:rPr>
                <w:rFonts w:hint="eastAsia" w:ascii="Times New Roman" w:hAnsi="Times New Roman" w:cs="宋体"/>
                <w:color w:val="auto"/>
                <w:spacing w:val="-1"/>
                <w:sz w:val="24"/>
                <w:szCs w:val="24"/>
                <w:highlight w:val="none"/>
                <w:lang w:val="en-US" w:eastAsia="zh-CN"/>
              </w:rPr>
              <w:t>5</w:t>
            </w:r>
            <w:r>
              <w:rPr>
                <w:rFonts w:hint="eastAsia" w:ascii="Times New Roman" w:hAnsi="Times New Roman" w:eastAsia="宋体" w:cs="宋体"/>
                <w:color w:val="auto"/>
                <w:spacing w:val="-1"/>
                <w:sz w:val="24"/>
                <w:szCs w:val="24"/>
                <w:highlight w:val="none"/>
                <w:lang w:val="en-US" w:eastAsia="zh-CN"/>
              </w:rPr>
              <w:t>=</w:t>
            </w:r>
            <w:r>
              <w:rPr>
                <w:rFonts w:hint="eastAsia" w:ascii="Times New Roman" w:hAnsi="Times New Roman" w:cs="宋体"/>
                <w:color w:val="auto"/>
                <w:spacing w:val="-1"/>
                <w:sz w:val="24"/>
                <w:szCs w:val="24"/>
                <w:highlight w:val="none"/>
                <w:lang w:val="en-US" w:eastAsia="zh-CN"/>
              </w:rPr>
              <w:t>1.962</w:t>
            </w:r>
            <w:r>
              <w:rPr>
                <w:rFonts w:hint="eastAsia" w:ascii="Times New Roman" w:hAnsi="Times New Roman" w:eastAsia="宋体" w:cs="宋体"/>
                <w:color w:val="auto"/>
                <w:spacing w:val="-1"/>
                <w:sz w:val="24"/>
                <w:szCs w:val="24"/>
                <w:highlight w:val="none"/>
                <w:lang w:val="en-US" w:eastAsia="zh-CN"/>
              </w:rPr>
              <w:t>t/a</w:t>
            </w:r>
          </w:p>
          <w:p w14:paraId="3B4C4E39">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宋体" w:cs="宋体"/>
                <w:color w:val="auto"/>
                <w:sz w:val="24"/>
                <w:szCs w:val="24"/>
                <w:highlight w:val="none"/>
                <w:lang w:val="en-US" w:eastAsia="zh-CN"/>
              </w:rPr>
            </w:pPr>
            <w:r>
              <w:rPr>
                <w:rFonts w:hint="eastAsia" w:ascii="Times New Roman" w:hAnsi="Times New Roman" w:eastAsia="宋体" w:cs="宋体"/>
                <w:color w:val="auto"/>
                <w:sz w:val="24"/>
                <w:szCs w:val="24"/>
                <w:highlight w:val="none"/>
                <w:lang w:val="en-US" w:eastAsia="zh-CN"/>
              </w:rPr>
              <w:t>最大排放速率为</w:t>
            </w:r>
          </w:p>
          <w:p w14:paraId="37763742">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ascii="Times New Roman" w:hAnsi="Times New Roman" w:eastAsia="宋体" w:cs="宋体"/>
                <w:color w:val="auto"/>
                <w:spacing w:val="-1"/>
                <w:sz w:val="24"/>
                <w:szCs w:val="24"/>
                <w:highlight w:val="none"/>
              </w:rPr>
            </w:pPr>
            <w:r>
              <w:rPr>
                <w:rFonts w:ascii="Times New Roman" w:hAnsi="Times New Roman" w:eastAsia="宋体" w:cs="宋体"/>
                <w:color w:val="auto"/>
                <w:sz w:val="24"/>
                <w:szCs w:val="24"/>
                <w:highlight w:val="none"/>
              </w:rPr>
              <w:t>E</w:t>
            </w:r>
            <w:r>
              <w:rPr>
                <w:rFonts w:ascii="Times New Roman" w:hAnsi="Times New Roman" w:eastAsia="宋体" w:cs="宋体"/>
                <w:color w:val="auto"/>
                <w:sz w:val="24"/>
                <w:szCs w:val="24"/>
                <w:highlight w:val="none"/>
                <w:vertAlign w:val="subscript"/>
              </w:rPr>
              <w:t>SO</w:t>
            </w:r>
            <w:r>
              <w:rPr>
                <w:rFonts w:ascii="Times New Roman" w:hAnsi="Times New Roman" w:eastAsia="宋体" w:cs="宋体"/>
                <w:color w:val="auto"/>
                <w:position w:val="-1"/>
                <w:sz w:val="16"/>
                <w:szCs w:val="16"/>
                <w:highlight w:val="none"/>
                <w:vertAlign w:val="subscript"/>
              </w:rPr>
              <w:t>2</w:t>
            </w:r>
            <w:r>
              <w:rPr>
                <w:rFonts w:ascii="Times New Roman" w:hAnsi="Times New Roman" w:eastAsia="宋体" w:cs="宋体"/>
                <w:color w:val="auto"/>
                <w:sz w:val="24"/>
                <w:szCs w:val="24"/>
                <w:highlight w:val="none"/>
              </w:rPr>
              <w:t>=2×</w:t>
            </w:r>
            <w:r>
              <w:rPr>
                <w:rFonts w:hint="eastAsia" w:cs="宋体"/>
                <w:color w:val="auto"/>
                <w:spacing w:val="-2"/>
                <w:sz w:val="24"/>
                <w:szCs w:val="24"/>
                <w:highlight w:val="none"/>
                <w:lang w:val="en-US" w:eastAsia="zh-CN"/>
              </w:rPr>
              <w:t>1.0811</w:t>
            </w:r>
            <w:r>
              <w:rPr>
                <w:rFonts w:ascii="Times New Roman" w:hAnsi="Times New Roman" w:eastAsia="宋体" w:cs="宋体"/>
                <w:color w:val="auto"/>
                <w:sz w:val="24"/>
                <w:szCs w:val="24"/>
                <w:highlight w:val="none"/>
              </w:rPr>
              <w:t>×</w:t>
            </w:r>
            <w:r>
              <w:rPr>
                <w:rFonts w:hint="default" w:ascii="Times New Roman" w:hAnsi="Times New Roman" w:eastAsia="宋体" w:cs="宋体"/>
                <w:color w:val="auto"/>
                <w:spacing w:val="-2"/>
                <w:sz w:val="24"/>
                <w:szCs w:val="24"/>
                <w:highlight w:val="none"/>
                <w:lang w:val="en-US" w:eastAsia="zh-CN"/>
              </w:rPr>
              <w:t>0.</w:t>
            </w:r>
            <w:r>
              <w:rPr>
                <w:rFonts w:hint="eastAsia" w:ascii="Times New Roman" w:hAnsi="Times New Roman" w:eastAsia="宋体" w:cs="宋体"/>
                <w:color w:val="auto"/>
                <w:spacing w:val="-2"/>
                <w:sz w:val="24"/>
                <w:szCs w:val="24"/>
                <w:highlight w:val="none"/>
                <w:lang w:val="en-US" w:eastAsia="zh-CN"/>
              </w:rPr>
              <w:t>0</w:t>
            </w:r>
            <w:r>
              <w:rPr>
                <w:rFonts w:hint="eastAsia" w:cs="宋体"/>
                <w:color w:val="auto"/>
                <w:spacing w:val="-2"/>
                <w:sz w:val="24"/>
                <w:szCs w:val="24"/>
                <w:highlight w:val="none"/>
                <w:lang w:val="en-US" w:eastAsia="zh-CN"/>
              </w:rPr>
              <w:t>7</w:t>
            </w:r>
            <w:r>
              <w:rPr>
                <w:rFonts w:hint="default" w:ascii="Times New Roman" w:hAnsi="Times New Roman" w:eastAsia="宋体" w:cs="宋体"/>
                <w:color w:val="auto"/>
                <w:spacing w:val="-2"/>
                <w:sz w:val="24"/>
                <w:szCs w:val="24"/>
                <w:highlight w:val="none"/>
                <w:lang w:val="en-US" w:eastAsia="zh-CN"/>
              </w:rPr>
              <w:t>%</w:t>
            </w:r>
            <w:r>
              <w:rPr>
                <w:rFonts w:ascii="Times New Roman" w:hAnsi="Times New Roman" w:eastAsia="宋体" w:cs="宋体"/>
                <w:color w:val="auto"/>
                <w:spacing w:val="-1"/>
                <w:sz w:val="24"/>
                <w:szCs w:val="24"/>
                <w:highlight w:val="none"/>
              </w:rPr>
              <w:t>×(</w:t>
            </w:r>
            <w:r>
              <w:rPr>
                <w:rFonts w:hint="eastAsia" w:ascii="Times New Roman" w:hAnsi="Times New Roman" w:eastAsia="宋体" w:cs="宋体"/>
                <w:color w:val="auto"/>
                <w:spacing w:val="-1"/>
                <w:sz w:val="24"/>
                <w:szCs w:val="24"/>
                <w:highlight w:val="none"/>
                <w:lang w:val="en-US" w:eastAsia="zh-CN"/>
              </w:rPr>
              <w:t>1-1</w:t>
            </w:r>
            <w:r>
              <w:rPr>
                <w:rFonts w:hint="eastAsia" w:cs="宋体"/>
                <w:color w:val="auto"/>
                <w:spacing w:val="-1"/>
                <w:sz w:val="24"/>
                <w:szCs w:val="24"/>
                <w:highlight w:val="none"/>
                <w:lang w:val="en-US" w:eastAsia="zh-CN"/>
              </w:rPr>
              <w:t>0</w:t>
            </w:r>
            <w:r>
              <w:rPr>
                <w:rFonts w:hint="eastAsia" w:ascii="Times New Roman" w:hAnsi="Times New Roman" w:eastAsia="宋体" w:cs="宋体"/>
                <w:color w:val="auto"/>
                <w:spacing w:val="-1"/>
                <w:sz w:val="24"/>
                <w:szCs w:val="24"/>
                <w:highlight w:val="none"/>
                <w:lang w:val="en-US" w:eastAsia="zh-CN"/>
              </w:rPr>
              <w:t>%</w:t>
            </w:r>
            <w:r>
              <w:rPr>
                <w:rFonts w:ascii="Times New Roman" w:hAnsi="Times New Roman" w:eastAsia="宋体" w:cs="宋体"/>
                <w:color w:val="auto"/>
                <w:spacing w:val="-1"/>
                <w:sz w:val="24"/>
                <w:szCs w:val="24"/>
                <w:highlight w:val="none"/>
              </w:rPr>
              <w:t>)×(1-</w:t>
            </w:r>
            <w:r>
              <w:rPr>
                <w:rFonts w:hint="eastAsia" w:ascii="Times New Roman" w:hAnsi="Times New Roman" w:eastAsia="宋体" w:cs="宋体"/>
                <w:color w:val="auto"/>
                <w:spacing w:val="-1"/>
                <w:sz w:val="24"/>
                <w:szCs w:val="24"/>
                <w:highlight w:val="none"/>
                <w:lang w:val="en-US" w:eastAsia="zh-CN"/>
              </w:rPr>
              <w:t>0</w:t>
            </w:r>
            <w:r>
              <w:rPr>
                <w:rFonts w:ascii="Times New Roman" w:hAnsi="Times New Roman" w:eastAsia="宋体" w:cs="宋体"/>
                <w:color w:val="auto"/>
                <w:spacing w:val="-1"/>
                <w:sz w:val="24"/>
                <w:szCs w:val="24"/>
                <w:highlight w:val="none"/>
              </w:rPr>
              <w:t>)×0.</w:t>
            </w:r>
            <w:r>
              <w:rPr>
                <w:rFonts w:hint="eastAsia" w:cs="宋体"/>
                <w:color w:val="auto"/>
                <w:spacing w:val="-1"/>
                <w:sz w:val="24"/>
                <w:szCs w:val="24"/>
                <w:highlight w:val="none"/>
                <w:lang w:val="en-US" w:eastAsia="zh-CN"/>
              </w:rPr>
              <w:t>5</w:t>
            </w:r>
            <w:r>
              <w:rPr>
                <w:rFonts w:hint="eastAsia" w:ascii="Times New Roman" w:hAnsi="Times New Roman" w:eastAsia="宋体" w:cs="宋体"/>
                <w:color w:val="auto"/>
                <w:spacing w:val="-1"/>
                <w:sz w:val="24"/>
                <w:szCs w:val="24"/>
                <w:highlight w:val="none"/>
                <w:lang w:val="en-US" w:eastAsia="zh-CN"/>
              </w:rPr>
              <w:t>*1000</w:t>
            </w:r>
            <w:r>
              <w:rPr>
                <w:rFonts w:ascii="Times New Roman" w:hAnsi="Times New Roman" w:eastAsia="宋体" w:cs="宋体"/>
                <w:color w:val="auto"/>
                <w:spacing w:val="-1"/>
                <w:sz w:val="24"/>
                <w:szCs w:val="24"/>
                <w:highlight w:val="none"/>
              </w:rPr>
              <w:t>=</w:t>
            </w:r>
            <w:r>
              <w:rPr>
                <w:rFonts w:hint="eastAsia" w:cs="宋体"/>
                <w:color w:val="auto"/>
                <w:spacing w:val="-1"/>
                <w:sz w:val="24"/>
                <w:szCs w:val="24"/>
                <w:highlight w:val="none"/>
                <w:lang w:val="en-US" w:eastAsia="zh-CN"/>
              </w:rPr>
              <w:t>0.681</w:t>
            </w:r>
            <w:r>
              <w:rPr>
                <w:rFonts w:ascii="Times New Roman" w:hAnsi="Times New Roman" w:eastAsia="宋体" w:cs="宋体"/>
                <w:color w:val="auto"/>
                <w:spacing w:val="-1"/>
                <w:sz w:val="24"/>
                <w:szCs w:val="24"/>
                <w:highlight w:val="none"/>
              </w:rPr>
              <w:t>kg/h</w:t>
            </w:r>
          </w:p>
          <w:p w14:paraId="620407CA">
            <w:pPr>
              <w:pStyle w:val="14"/>
              <w:rPr>
                <w:rFonts w:hint="default" w:eastAsia="宋体"/>
                <w:color w:val="auto"/>
                <w:highlight w:val="none"/>
                <w:lang w:val="en-US" w:eastAsia="zh-CN"/>
              </w:rPr>
            </w:pPr>
            <w:r>
              <w:rPr>
                <w:rFonts w:hint="eastAsia" w:ascii="Times New Roman" w:hAnsi="Times New Roman" w:eastAsia="宋体" w:cs="宋体"/>
                <w:color w:val="auto"/>
                <w:spacing w:val="-1"/>
                <w:sz w:val="24"/>
                <w:szCs w:val="24"/>
                <w:highlight w:val="none"/>
                <w:lang w:val="en-US" w:eastAsia="zh-CN"/>
              </w:rPr>
              <w:t>最大排放浓度为</w:t>
            </w:r>
            <w:r>
              <w:rPr>
                <w:rFonts w:hint="eastAsia" w:ascii="Times New Roman" w:hAnsi="Times New Roman" w:cs="宋体"/>
                <w:color w:val="auto"/>
                <w:spacing w:val="-1"/>
                <w:sz w:val="24"/>
                <w:szCs w:val="24"/>
                <w:highlight w:val="none"/>
                <w:lang w:val="en-US" w:eastAsia="zh-CN"/>
              </w:rPr>
              <w:t>84.37</w:t>
            </w:r>
            <w:r>
              <w:rPr>
                <w:rFonts w:hint="eastAsia" w:ascii="Times New Roman" w:hAnsi="Times New Roman" w:eastAsia="宋体" w:cs="宋体"/>
                <w:color w:val="auto"/>
                <w:spacing w:val="-1"/>
                <w:sz w:val="24"/>
                <w:szCs w:val="24"/>
                <w:highlight w:val="none"/>
                <w:lang w:val="en-US" w:eastAsia="zh-CN"/>
              </w:rPr>
              <w:t>mg/m</w:t>
            </w:r>
            <w:r>
              <w:rPr>
                <w:rFonts w:hint="eastAsia" w:ascii="Times New Roman" w:hAnsi="Times New Roman" w:eastAsia="宋体" w:cs="宋体"/>
                <w:color w:val="auto"/>
                <w:spacing w:val="-1"/>
                <w:sz w:val="24"/>
                <w:szCs w:val="24"/>
                <w:highlight w:val="none"/>
                <w:vertAlign w:val="superscript"/>
                <w:lang w:val="en-US" w:eastAsia="zh-CN"/>
              </w:rPr>
              <w:t>3</w:t>
            </w:r>
            <w:r>
              <w:rPr>
                <w:rFonts w:hint="eastAsia" w:ascii="Times New Roman" w:hAnsi="Times New Roman" w:eastAsia="宋体" w:cs="宋体"/>
                <w:color w:val="auto"/>
                <w:spacing w:val="-1"/>
                <w:sz w:val="24"/>
                <w:szCs w:val="24"/>
                <w:highlight w:val="none"/>
                <w:lang w:val="en-US" w:eastAsia="zh-CN"/>
              </w:rPr>
              <w:t>。</w:t>
            </w:r>
          </w:p>
          <w:p w14:paraId="779E6C80">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④氮氧化物</w:t>
            </w:r>
          </w:p>
          <w:p w14:paraId="59964E5D">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0" w:firstLineChars="0"/>
              <w:jc w:val="center"/>
              <w:textAlignment w:val="auto"/>
              <w:rPr>
                <w:rFonts w:hint="eastAsia" w:ascii="宋体" w:hAnsi="宋体" w:eastAsia="宋体" w:cs="宋体"/>
                <w:color w:val="auto"/>
                <w:spacing w:val="0"/>
                <w:sz w:val="24"/>
                <w:szCs w:val="24"/>
                <w:highlight w:val="none"/>
                <w:lang w:val="en-US" w:eastAsia="zh-CN"/>
              </w:rPr>
            </w:pPr>
            <w:r>
              <w:rPr>
                <w:rFonts w:ascii="Times New Roman" w:hAnsi="Times New Roman" w:eastAsia="宋体" w:cs="宋体"/>
                <w:color w:val="auto"/>
                <w:position w:val="-14"/>
                <w:highlight w:val="none"/>
              </w:rPr>
              <w:drawing>
                <wp:inline distT="0" distB="0" distL="0" distR="0">
                  <wp:extent cx="2705100" cy="457200"/>
                  <wp:effectExtent l="0" t="0" r="0" b="0"/>
                  <wp:docPr id="97" name="IM 6"/>
                  <wp:cNvGraphicFramePr/>
                  <a:graphic xmlns:a="http://schemas.openxmlformats.org/drawingml/2006/main">
                    <a:graphicData uri="http://schemas.openxmlformats.org/drawingml/2006/picture">
                      <pic:pic xmlns:pic="http://schemas.openxmlformats.org/drawingml/2006/picture">
                        <pic:nvPicPr>
                          <pic:cNvPr id="97" name="IM 6"/>
                          <pic:cNvPicPr/>
                        </pic:nvPicPr>
                        <pic:blipFill>
                          <a:blip r:embed="rId29"/>
                          <a:stretch>
                            <a:fillRect/>
                          </a:stretch>
                        </pic:blipFill>
                        <pic:spPr>
                          <a:xfrm>
                            <a:off x="0" y="0"/>
                            <a:ext cx="2705100" cy="457200"/>
                          </a:xfrm>
                          <a:prstGeom prst="rect">
                            <a:avLst/>
                          </a:prstGeom>
                        </pic:spPr>
                      </pic:pic>
                    </a:graphicData>
                  </a:graphic>
                </wp:inline>
              </w:drawing>
            </w:r>
          </w:p>
          <w:p w14:paraId="58AD9D3E">
            <w:pPr>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rFonts w:hint="eastAsia" w:ascii="Times New Roman" w:hAnsi="Times New Roman" w:eastAsia="宋体" w:cs="宋体"/>
                <w:color w:val="auto"/>
                <w:spacing w:val="-2"/>
                <w:sz w:val="24"/>
                <w:szCs w:val="24"/>
                <w:highlight w:val="none"/>
                <w:lang w:val="en-US" w:eastAsia="zh-CN"/>
              </w:rPr>
            </w:pPr>
            <w:r>
              <w:rPr>
                <w:rFonts w:hint="eastAsia" w:ascii="Times New Roman" w:hAnsi="Times New Roman" w:eastAsia="宋体" w:cs="宋体"/>
                <w:color w:val="auto"/>
                <w:spacing w:val="-2"/>
                <w:sz w:val="24"/>
                <w:szCs w:val="24"/>
                <w:highlight w:val="none"/>
                <w:lang w:val="en-US" w:eastAsia="zh-CN"/>
              </w:rPr>
              <w:t>根据《污染源源强核算技术指南锅炉》（HJ991-2018）5.1物料衡算法计算氮氧化物排放量：</w:t>
            </w:r>
          </w:p>
          <w:p w14:paraId="04F64134">
            <w:pPr>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ascii="Times New Roman" w:hAnsi="Times New Roman" w:eastAsia="宋体" w:cs="宋体"/>
                <w:color w:val="auto"/>
                <w:sz w:val="24"/>
                <w:szCs w:val="24"/>
                <w:highlight w:val="none"/>
              </w:rPr>
            </w:pPr>
            <w:r>
              <w:rPr>
                <w:rFonts w:ascii="Times New Roman" w:hAnsi="Times New Roman" w:eastAsia="宋体" w:cs="宋体"/>
                <w:color w:val="auto"/>
                <w:spacing w:val="-1"/>
                <w:sz w:val="24"/>
                <w:szCs w:val="24"/>
                <w:highlight w:val="none"/>
              </w:rPr>
              <w:t>式中：</w:t>
            </w:r>
            <w:r>
              <w:rPr>
                <w:rFonts w:ascii="Times New Roman" w:hAnsi="Times New Roman" w:eastAsia="宋体" w:cs="宋体"/>
                <w:i/>
                <w:iCs/>
                <w:color w:val="auto"/>
                <w:spacing w:val="-1"/>
                <w:sz w:val="24"/>
                <w:szCs w:val="24"/>
                <w:highlight w:val="none"/>
              </w:rPr>
              <w:t>E</w:t>
            </w:r>
            <w:r>
              <w:rPr>
                <w:rFonts w:ascii="Times New Roman" w:hAnsi="Times New Roman" w:eastAsia="宋体" w:cs="宋体"/>
                <w:i/>
                <w:iCs/>
                <w:color w:val="auto"/>
                <w:spacing w:val="-1"/>
                <w:position w:val="-1"/>
                <w:sz w:val="24"/>
                <w:szCs w:val="24"/>
                <w:highlight w:val="none"/>
                <w:vertAlign w:val="subscript"/>
              </w:rPr>
              <w:t>NOx</w:t>
            </w:r>
            <w:r>
              <w:rPr>
                <w:rFonts w:ascii="Times New Roman" w:hAnsi="Times New Roman" w:eastAsia="宋体" w:cs="宋体"/>
                <w:color w:val="auto"/>
                <w:spacing w:val="-1"/>
                <w:sz w:val="24"/>
                <w:szCs w:val="24"/>
                <w:highlight w:val="none"/>
              </w:rPr>
              <w:t>——核算时段内氮氧化物排放量，t；</w:t>
            </w:r>
          </w:p>
          <w:p w14:paraId="37AB8BB1">
            <w:pPr>
              <w:keepNext w:val="0"/>
              <w:keepLines w:val="0"/>
              <w:pageBreakBefore w:val="0"/>
              <w:widowControl w:val="0"/>
              <w:kinsoku/>
              <w:wordWrap/>
              <w:overflowPunct/>
              <w:topLinePunct w:val="0"/>
              <w:autoSpaceDE/>
              <w:autoSpaceDN/>
              <w:bidi w:val="0"/>
              <w:adjustRightInd/>
              <w:snapToGrid/>
              <w:spacing w:line="360" w:lineRule="auto"/>
              <w:ind w:left="0" w:right="0" w:firstLine="944" w:firstLineChars="400"/>
              <w:textAlignment w:val="auto"/>
              <w:rPr>
                <w:rFonts w:ascii="Times New Roman" w:hAnsi="Times New Roman" w:eastAsia="宋体" w:cs="宋体"/>
                <w:color w:val="auto"/>
                <w:sz w:val="24"/>
                <w:szCs w:val="24"/>
                <w:highlight w:val="none"/>
              </w:rPr>
            </w:pPr>
            <w:r>
              <w:rPr>
                <w:rFonts w:ascii="Times New Roman" w:hAnsi="Times New Roman" w:eastAsia="宋体" w:cs="宋体"/>
                <w:i/>
                <w:iCs/>
                <w:color w:val="auto"/>
                <w:spacing w:val="-2"/>
                <w:sz w:val="24"/>
                <w:szCs w:val="24"/>
                <w:highlight w:val="none"/>
              </w:rPr>
              <w:t>ρ</w:t>
            </w:r>
            <w:r>
              <w:rPr>
                <w:rFonts w:ascii="Times New Roman" w:hAnsi="Times New Roman" w:eastAsia="宋体" w:cs="宋体"/>
                <w:color w:val="auto"/>
                <w:spacing w:val="-2"/>
                <w:position w:val="-1"/>
                <w:sz w:val="11"/>
                <w:szCs w:val="11"/>
                <w:highlight w:val="none"/>
              </w:rPr>
              <w:t>NOx</w:t>
            </w:r>
            <w:r>
              <w:rPr>
                <w:rFonts w:ascii="Times New Roman" w:hAnsi="Times New Roman" w:eastAsia="宋体" w:cs="宋体"/>
                <w:color w:val="auto"/>
                <w:spacing w:val="-2"/>
                <w:sz w:val="24"/>
                <w:szCs w:val="24"/>
                <w:highlight w:val="none"/>
              </w:rPr>
              <w:t>——锅炉炉膛出口氮氧化物质量浓度，</w:t>
            </w:r>
            <w:r>
              <w:rPr>
                <w:rFonts w:hint="eastAsia" w:cs="Times New Roman"/>
                <w:color w:val="auto"/>
                <w:sz w:val="24"/>
                <w:szCs w:val="24"/>
                <w:highlight w:val="none"/>
                <w:lang w:val="en-US" w:eastAsia="zh-CN"/>
              </w:rPr>
              <w:t>本项目</w:t>
            </w:r>
            <w:r>
              <w:rPr>
                <w:rFonts w:hint="eastAsia" w:ascii="宋体" w:hAnsi="宋体" w:eastAsia="宋体" w:cs="宋体"/>
                <w:color w:val="auto"/>
                <w:spacing w:val="0"/>
                <w:sz w:val="24"/>
                <w:szCs w:val="24"/>
                <w:highlight w:val="none"/>
                <w:lang w:val="en-US" w:eastAsia="zh-CN"/>
              </w:rPr>
              <w:t>采用低氮燃烧器，低氮燃烧器工作原理为把一个火焰分成数个小火焰，由于小火焰散热面积大，火焰温度较低，使“热反应</w:t>
            </w:r>
            <w:r>
              <w:rPr>
                <w:rFonts w:hint="default" w:ascii="Times New Roman" w:hAnsi="Times New Roman" w:eastAsia="宋体" w:cs="Times New Roman"/>
                <w:color w:val="auto"/>
                <w:spacing w:val="0"/>
                <w:sz w:val="24"/>
                <w:szCs w:val="24"/>
                <w:highlight w:val="none"/>
                <w:lang w:val="en-US" w:eastAsia="zh-CN"/>
              </w:rPr>
              <w:t>NO</w:t>
            </w:r>
            <w:r>
              <w:rPr>
                <w:rFonts w:hint="eastAsia" w:ascii="宋体" w:hAnsi="宋体" w:eastAsia="宋体" w:cs="宋体"/>
                <w:color w:val="auto"/>
                <w:spacing w:val="0"/>
                <w:sz w:val="24"/>
                <w:szCs w:val="24"/>
                <w:highlight w:val="none"/>
                <w:lang w:val="en-US" w:eastAsia="zh-CN"/>
              </w:rPr>
              <w:t>”有所下降。此外，火焰小缩短了氧、氮等气体在火焰中的停留时间，对“热反应</w:t>
            </w:r>
            <w:r>
              <w:rPr>
                <w:rFonts w:hint="default" w:ascii="Times New Roman" w:hAnsi="Times New Roman" w:eastAsia="宋体" w:cs="Times New Roman"/>
                <w:color w:val="auto"/>
                <w:spacing w:val="0"/>
                <w:sz w:val="24"/>
                <w:szCs w:val="24"/>
                <w:highlight w:val="none"/>
                <w:lang w:val="en-US" w:eastAsia="zh-CN"/>
              </w:rPr>
              <w:t>NO</w:t>
            </w:r>
            <w:r>
              <w:rPr>
                <w:rFonts w:hint="eastAsia" w:ascii="宋体" w:hAnsi="宋体" w:eastAsia="宋体" w:cs="宋体"/>
                <w:color w:val="auto"/>
                <w:spacing w:val="0"/>
                <w:sz w:val="24"/>
                <w:szCs w:val="24"/>
                <w:highlight w:val="none"/>
                <w:lang w:val="en-US" w:eastAsia="zh-CN"/>
              </w:rPr>
              <w:t>”和“燃料</w:t>
            </w:r>
            <w:r>
              <w:rPr>
                <w:rFonts w:hint="default" w:ascii="Times New Roman" w:hAnsi="Times New Roman" w:eastAsia="宋体" w:cs="Times New Roman"/>
                <w:color w:val="auto"/>
                <w:spacing w:val="0"/>
                <w:sz w:val="24"/>
                <w:szCs w:val="24"/>
                <w:highlight w:val="none"/>
                <w:lang w:val="en-US" w:eastAsia="zh-CN"/>
              </w:rPr>
              <w:t>NO</w:t>
            </w:r>
            <w:r>
              <w:rPr>
                <w:rFonts w:hint="eastAsia" w:ascii="宋体" w:hAnsi="宋体" w:eastAsia="宋体" w:cs="宋体"/>
                <w:color w:val="auto"/>
                <w:spacing w:val="0"/>
                <w:sz w:val="24"/>
                <w:szCs w:val="24"/>
                <w:highlight w:val="none"/>
                <w:lang w:val="en-US" w:eastAsia="zh-CN"/>
              </w:rPr>
              <w:t>”都有明显的抑制作用。烟气在高温区停留时间是影响</w:t>
            </w:r>
            <w:r>
              <w:rPr>
                <w:rFonts w:hint="default" w:ascii="Times New Roman" w:hAnsi="Times New Roman" w:eastAsia="宋体" w:cs="Times New Roman"/>
                <w:color w:val="auto"/>
                <w:spacing w:val="0"/>
                <w:sz w:val="24"/>
                <w:szCs w:val="24"/>
                <w:highlight w:val="none"/>
                <w:lang w:val="en-US" w:eastAsia="zh-CN"/>
              </w:rPr>
              <w:t>NOx</w:t>
            </w:r>
            <w:r>
              <w:rPr>
                <w:rFonts w:hint="eastAsia" w:ascii="宋体" w:hAnsi="宋体" w:eastAsia="宋体" w:cs="宋体"/>
                <w:color w:val="auto"/>
                <w:spacing w:val="0"/>
                <w:sz w:val="24"/>
                <w:szCs w:val="24"/>
                <w:highlight w:val="none"/>
                <w:lang w:val="en-US" w:eastAsia="zh-CN"/>
              </w:rPr>
              <w:t>生成量的主要因素之一，改善燃烧与空气的混合，能够使火焰面的厚度减薄，在燃烧负荷不变的情况下，烟气在火焰面即高温区内停留时间缩短，因而使</w:t>
            </w:r>
            <w:r>
              <w:rPr>
                <w:rFonts w:hint="default" w:ascii="Times New Roman" w:hAnsi="Times New Roman" w:eastAsia="宋体" w:cs="Times New Roman"/>
                <w:color w:val="auto"/>
                <w:spacing w:val="0"/>
                <w:sz w:val="24"/>
                <w:szCs w:val="24"/>
                <w:highlight w:val="none"/>
                <w:lang w:val="en-US" w:eastAsia="zh-CN"/>
              </w:rPr>
              <w:t>NOx</w:t>
            </w:r>
            <w:r>
              <w:rPr>
                <w:rFonts w:hint="eastAsia" w:ascii="宋体" w:hAnsi="宋体" w:eastAsia="宋体" w:cs="宋体"/>
                <w:color w:val="auto"/>
                <w:spacing w:val="0"/>
                <w:sz w:val="24"/>
                <w:szCs w:val="24"/>
                <w:highlight w:val="none"/>
                <w:lang w:val="en-US" w:eastAsia="zh-CN"/>
              </w:rPr>
              <w:t>的生成量降低。低氮燃烧器不具备脱硝功能，因此本项目低氮燃烧器脱硝效率按</w:t>
            </w:r>
            <w:r>
              <w:rPr>
                <w:rFonts w:hint="default" w:ascii="Times New Roman" w:hAnsi="Times New Roman" w:eastAsia="宋体" w:cs="Times New Roman"/>
                <w:color w:val="auto"/>
                <w:spacing w:val="0"/>
                <w:sz w:val="24"/>
                <w:szCs w:val="24"/>
                <w:highlight w:val="none"/>
                <w:lang w:val="en-US" w:eastAsia="zh-CN"/>
              </w:rPr>
              <w:t>0</w:t>
            </w:r>
            <w:r>
              <w:rPr>
                <w:rFonts w:hint="eastAsia" w:ascii="宋体" w:hAnsi="宋体" w:eastAsia="宋体" w:cs="宋体"/>
                <w:color w:val="auto"/>
                <w:spacing w:val="0"/>
                <w:sz w:val="24"/>
                <w:szCs w:val="24"/>
                <w:highlight w:val="none"/>
                <w:lang w:val="en-US" w:eastAsia="zh-CN"/>
              </w:rPr>
              <w:t>计算。</w:t>
            </w:r>
            <w:r>
              <w:rPr>
                <w:rFonts w:hint="eastAsia" w:cs="宋体"/>
                <w:color w:val="auto"/>
                <w:spacing w:val="0"/>
                <w:sz w:val="24"/>
                <w:szCs w:val="24"/>
                <w:highlight w:val="none"/>
                <w:lang w:val="en-US" w:eastAsia="zh-CN"/>
              </w:rPr>
              <w:t>根据《排放源统计调查产排污核算方法和系数手册4430--工业锅炉（热力供应）行业系数手册》，</w:t>
            </w:r>
            <w:r>
              <w:rPr>
                <w:rFonts w:hint="eastAsia" w:ascii="宋体" w:hAnsi="宋体" w:eastAsia="宋体" w:cs="宋体"/>
                <w:color w:val="auto"/>
                <w:spacing w:val="0"/>
                <w:sz w:val="24"/>
                <w:szCs w:val="24"/>
                <w:highlight w:val="none"/>
                <w:lang w:val="en-US" w:eastAsia="zh-CN"/>
              </w:rPr>
              <w:t>低氮燃烧器技术能将氮氧化物产生浓度降低</w:t>
            </w:r>
            <w:r>
              <w:rPr>
                <w:rFonts w:hint="eastAsia" w:cs="宋体"/>
                <w:color w:val="auto"/>
                <w:spacing w:val="0"/>
                <w:sz w:val="24"/>
                <w:szCs w:val="24"/>
                <w:highlight w:val="none"/>
                <w:lang w:val="en-US" w:eastAsia="zh-CN"/>
              </w:rPr>
              <w:t>3</w:t>
            </w:r>
            <w:r>
              <w:rPr>
                <w:rFonts w:hint="eastAsia" w:ascii="宋体" w:hAnsi="宋体" w:eastAsia="宋体" w:cs="宋体"/>
                <w:color w:val="auto"/>
                <w:spacing w:val="0"/>
                <w:sz w:val="24"/>
                <w:szCs w:val="24"/>
                <w:highlight w:val="none"/>
                <w:lang w:val="en-US" w:eastAsia="zh-CN"/>
              </w:rPr>
              <w:t>0%，本项目根据指南表</w:t>
            </w:r>
            <w:r>
              <w:rPr>
                <w:rFonts w:hint="default" w:ascii="Times New Roman" w:hAnsi="Times New Roman" w:eastAsia="宋体" w:cs="Times New Roman"/>
                <w:color w:val="auto"/>
                <w:spacing w:val="0"/>
                <w:sz w:val="24"/>
                <w:szCs w:val="24"/>
                <w:highlight w:val="none"/>
                <w:lang w:val="en-US" w:eastAsia="zh-CN"/>
              </w:rPr>
              <w:t>B</w:t>
            </w:r>
            <w:r>
              <w:rPr>
                <w:rFonts w:hint="eastAsia" w:ascii="宋体" w:hAnsi="宋体" w:eastAsia="宋体" w:cs="宋体"/>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4</w:t>
            </w:r>
            <w:r>
              <w:rPr>
                <w:rFonts w:hint="eastAsia" w:ascii="宋体" w:hAnsi="宋体" w:eastAsia="宋体" w:cs="宋体"/>
                <w:color w:val="auto"/>
                <w:spacing w:val="0"/>
                <w:sz w:val="24"/>
                <w:szCs w:val="24"/>
                <w:highlight w:val="none"/>
                <w:lang w:val="en-US" w:eastAsia="zh-CN"/>
              </w:rPr>
              <w:t>，本项目取中间值，氮氧化物产生浓度取</w:t>
            </w:r>
            <w:r>
              <w:rPr>
                <w:rFonts w:hint="default" w:ascii="Times New Roman" w:hAnsi="Times New Roman" w:eastAsia="宋体" w:cs="Times New Roman"/>
                <w:color w:val="auto"/>
                <w:spacing w:val="0"/>
                <w:sz w:val="24"/>
                <w:szCs w:val="24"/>
                <w:highlight w:val="none"/>
                <w:lang w:val="en-US" w:eastAsia="zh-CN"/>
              </w:rPr>
              <w:t>300mg/m</w:t>
            </w:r>
            <w:r>
              <w:rPr>
                <w:rFonts w:hint="default" w:ascii="Times New Roman" w:hAnsi="Times New Roman" w:eastAsia="宋体" w:cs="Times New Roman"/>
                <w:color w:val="auto"/>
                <w:spacing w:val="0"/>
                <w:sz w:val="24"/>
                <w:szCs w:val="24"/>
                <w:highlight w:val="none"/>
                <w:vertAlign w:val="superscript"/>
                <w:lang w:val="en-US" w:eastAsia="zh-CN"/>
              </w:rPr>
              <w:t>3</w:t>
            </w:r>
            <w:r>
              <w:rPr>
                <w:rFonts w:hint="eastAsia" w:ascii="宋体" w:hAnsi="宋体" w:eastAsia="宋体" w:cs="宋体"/>
                <w:color w:val="auto"/>
                <w:spacing w:val="0"/>
                <w:sz w:val="24"/>
                <w:szCs w:val="24"/>
                <w:highlight w:val="none"/>
                <w:lang w:val="en-US" w:eastAsia="zh-CN"/>
              </w:rPr>
              <w:t>，经低氮燃烧方式处理后，锅炉炉膛出口氮氧化物质量浓度为</w:t>
            </w:r>
            <w:r>
              <w:rPr>
                <w:rFonts w:hint="eastAsia" w:ascii="Times New Roman" w:hAnsi="Times New Roman" w:cs="Times New Roman"/>
                <w:color w:val="auto"/>
                <w:spacing w:val="0"/>
                <w:sz w:val="24"/>
                <w:szCs w:val="24"/>
                <w:highlight w:val="none"/>
                <w:lang w:val="en-US" w:eastAsia="zh-CN"/>
              </w:rPr>
              <w:t>210</w:t>
            </w:r>
            <w:r>
              <w:rPr>
                <w:rFonts w:hint="default" w:ascii="Times New Roman" w:hAnsi="Times New Roman" w:eastAsia="宋体" w:cs="Times New Roman"/>
                <w:color w:val="auto"/>
                <w:spacing w:val="0"/>
                <w:sz w:val="24"/>
                <w:szCs w:val="24"/>
                <w:highlight w:val="none"/>
                <w:lang w:val="en-US" w:eastAsia="zh-CN"/>
              </w:rPr>
              <w:t>mg/m</w:t>
            </w:r>
            <w:r>
              <w:rPr>
                <w:rFonts w:hint="default" w:ascii="Times New Roman" w:hAnsi="Times New Roman" w:eastAsia="宋体" w:cs="Times New Roman"/>
                <w:color w:val="auto"/>
                <w:spacing w:val="0"/>
                <w:sz w:val="24"/>
                <w:szCs w:val="24"/>
                <w:highlight w:val="none"/>
                <w:vertAlign w:val="superscript"/>
                <w:lang w:val="en-US" w:eastAsia="zh-CN"/>
              </w:rPr>
              <w:t>3</w:t>
            </w:r>
            <w:r>
              <w:rPr>
                <w:rFonts w:hint="eastAsia" w:ascii="宋体" w:hAnsi="宋体" w:eastAsia="宋体" w:cs="宋体"/>
                <w:color w:val="auto"/>
                <w:spacing w:val="0"/>
                <w:sz w:val="24"/>
                <w:szCs w:val="24"/>
                <w:highlight w:val="none"/>
                <w:lang w:val="en-US" w:eastAsia="zh-CN"/>
              </w:rPr>
              <w:t>。</w:t>
            </w:r>
          </w:p>
          <w:p w14:paraId="390A87E6">
            <w:pPr>
              <w:keepNext w:val="0"/>
              <w:keepLines w:val="0"/>
              <w:pageBreakBefore w:val="0"/>
              <w:widowControl w:val="0"/>
              <w:kinsoku/>
              <w:wordWrap/>
              <w:overflowPunct/>
              <w:topLinePunct w:val="0"/>
              <w:autoSpaceDE/>
              <w:autoSpaceDN/>
              <w:bidi w:val="0"/>
              <w:adjustRightInd/>
              <w:snapToGrid/>
              <w:spacing w:line="360" w:lineRule="auto"/>
              <w:ind w:left="0" w:right="0" w:firstLine="1040" w:firstLineChars="400"/>
              <w:textAlignment w:val="auto"/>
              <w:rPr>
                <w:rFonts w:ascii="Times New Roman" w:hAnsi="Times New Roman" w:eastAsia="宋体" w:cs="宋体"/>
                <w:color w:val="auto"/>
                <w:sz w:val="24"/>
                <w:szCs w:val="24"/>
                <w:highlight w:val="none"/>
              </w:rPr>
            </w:pPr>
            <w:r>
              <w:rPr>
                <w:rFonts w:ascii="Times New Roman" w:hAnsi="Times New Roman" w:eastAsia="宋体" w:cs="宋体"/>
                <w:color w:val="auto"/>
                <w:spacing w:val="10"/>
                <w:sz w:val="24"/>
                <w:szCs w:val="24"/>
                <w:highlight w:val="none"/>
              </w:rPr>
              <w:t>Q——核算时段内标态干烟气排放量，本项目</w:t>
            </w:r>
            <w:r>
              <w:rPr>
                <w:rFonts w:hint="eastAsia" w:ascii="Times New Roman" w:hAnsi="Times New Roman" w:cs="Times New Roman"/>
                <w:color w:val="auto"/>
                <w:spacing w:val="0"/>
                <w:sz w:val="24"/>
                <w:szCs w:val="24"/>
                <w:highlight w:val="none"/>
                <w:lang w:val="en-US" w:eastAsia="zh-CN"/>
              </w:rPr>
              <w:t>8072.152071</w:t>
            </w:r>
            <w:r>
              <w:rPr>
                <w:rFonts w:hint="default" w:ascii="Times New Roman" w:hAnsi="Times New Roman" w:eastAsia="宋体" w:cs="Times New Roman"/>
                <w:color w:val="auto"/>
                <w:spacing w:val="9"/>
                <w:sz w:val="24"/>
                <w:szCs w:val="24"/>
                <w:highlight w:val="none"/>
              </w:rPr>
              <w:t>m</w:t>
            </w:r>
            <w:r>
              <w:rPr>
                <w:rFonts w:hint="default" w:ascii="Times New Roman" w:hAnsi="Times New Roman" w:eastAsia="宋体" w:cs="Times New Roman"/>
                <w:color w:val="auto"/>
                <w:spacing w:val="9"/>
                <w:position w:val="8"/>
                <w:sz w:val="16"/>
                <w:szCs w:val="16"/>
                <w:highlight w:val="none"/>
              </w:rPr>
              <w:t>3</w:t>
            </w:r>
            <w:r>
              <w:rPr>
                <w:rFonts w:hint="default" w:ascii="Times New Roman" w:hAnsi="Times New Roman" w:eastAsia="宋体" w:cs="Times New Roman"/>
                <w:color w:val="auto"/>
                <w:spacing w:val="9"/>
                <w:sz w:val="24"/>
                <w:szCs w:val="24"/>
                <w:highlight w:val="none"/>
              </w:rPr>
              <w:t>/h</w:t>
            </w:r>
            <w:r>
              <w:rPr>
                <w:rFonts w:ascii="Times New Roman" w:hAnsi="Times New Roman" w:eastAsia="宋体" w:cs="宋体"/>
                <w:color w:val="auto"/>
                <w:spacing w:val="-2"/>
                <w:sz w:val="24"/>
                <w:szCs w:val="24"/>
                <w:highlight w:val="none"/>
              </w:rPr>
              <w:t>；</w:t>
            </w:r>
          </w:p>
          <w:p w14:paraId="6CC354BF">
            <w:pPr>
              <w:keepNext w:val="0"/>
              <w:keepLines w:val="0"/>
              <w:pageBreakBefore w:val="0"/>
              <w:widowControl w:val="0"/>
              <w:kinsoku/>
              <w:wordWrap/>
              <w:overflowPunct/>
              <w:topLinePunct w:val="0"/>
              <w:autoSpaceDE/>
              <w:autoSpaceDN/>
              <w:bidi w:val="0"/>
              <w:adjustRightInd/>
              <w:snapToGrid/>
              <w:spacing w:line="360" w:lineRule="auto"/>
              <w:ind w:left="0" w:right="0" w:firstLine="952" w:firstLineChars="400"/>
              <w:textAlignment w:val="auto"/>
              <w:rPr>
                <w:rFonts w:hint="eastAsia" w:ascii="Times New Roman" w:hAnsi="Times New Roman" w:eastAsia="宋体" w:cs="宋体"/>
                <w:color w:val="auto"/>
                <w:spacing w:val="-2"/>
                <w:sz w:val="24"/>
                <w:szCs w:val="24"/>
                <w:highlight w:val="none"/>
                <w:lang w:val="en-US" w:eastAsia="zh-CN"/>
              </w:rPr>
            </w:pPr>
            <w:r>
              <w:rPr>
                <w:rFonts w:ascii="Times New Roman" w:hAnsi="Times New Roman" w:eastAsia="宋体" w:cs="宋体"/>
                <w:i/>
                <w:iCs/>
                <w:color w:val="auto"/>
                <w:spacing w:val="-1"/>
                <w:sz w:val="24"/>
                <w:szCs w:val="24"/>
                <w:highlight w:val="none"/>
              </w:rPr>
              <w:t>Ƞ</w:t>
            </w:r>
            <w:r>
              <w:rPr>
                <w:rFonts w:ascii="Times New Roman" w:hAnsi="Times New Roman" w:eastAsia="宋体" w:cs="宋体"/>
                <w:i/>
                <w:iCs/>
                <w:color w:val="auto"/>
                <w:spacing w:val="-1"/>
                <w:position w:val="-1"/>
                <w:sz w:val="24"/>
                <w:szCs w:val="24"/>
                <w:highlight w:val="none"/>
                <w:vertAlign w:val="subscript"/>
              </w:rPr>
              <w:t>NOx</w:t>
            </w:r>
            <w:r>
              <w:rPr>
                <w:rFonts w:ascii="Times New Roman" w:hAnsi="Times New Roman" w:eastAsia="宋体" w:cs="宋体"/>
                <w:color w:val="auto"/>
                <w:spacing w:val="-1"/>
                <w:sz w:val="24"/>
                <w:szCs w:val="24"/>
                <w:highlight w:val="none"/>
              </w:rPr>
              <w:t>——脱硝效率，</w:t>
            </w:r>
            <w:r>
              <w:rPr>
                <w:rFonts w:hint="eastAsia" w:ascii="Times New Roman" w:hAnsi="Times New Roman" w:eastAsia="宋体" w:cs="宋体"/>
                <w:color w:val="auto"/>
                <w:spacing w:val="-1"/>
                <w:sz w:val="24"/>
                <w:szCs w:val="24"/>
                <w:highlight w:val="none"/>
                <w:lang w:val="en-US" w:eastAsia="zh-CN"/>
              </w:rPr>
              <w:t>本项目采用低氮燃烧器，低氮燃烧器不具备脱硝功能，因此</w:t>
            </w:r>
            <w:r>
              <w:rPr>
                <w:rFonts w:hint="eastAsia" w:ascii="Times New Roman" w:hAnsi="Times New Roman" w:cs="宋体"/>
                <w:color w:val="auto"/>
                <w:spacing w:val="-1"/>
                <w:sz w:val="24"/>
                <w:szCs w:val="24"/>
                <w:highlight w:val="none"/>
                <w:lang w:val="en-US" w:eastAsia="zh-CN"/>
              </w:rPr>
              <w:t>脱硝</w:t>
            </w:r>
            <w:r>
              <w:rPr>
                <w:rFonts w:hint="eastAsia" w:ascii="Times New Roman" w:hAnsi="Times New Roman" w:eastAsia="宋体" w:cs="宋体"/>
                <w:color w:val="auto"/>
                <w:spacing w:val="-1"/>
                <w:sz w:val="24"/>
                <w:szCs w:val="24"/>
                <w:highlight w:val="none"/>
                <w:lang w:val="en-US" w:eastAsia="zh-CN"/>
              </w:rPr>
              <w:t>效率为0</w:t>
            </w:r>
            <w:r>
              <w:rPr>
                <w:rFonts w:ascii="Times New Roman" w:hAnsi="Times New Roman" w:eastAsia="宋体" w:cs="宋体"/>
                <w:color w:val="auto"/>
                <w:spacing w:val="-1"/>
                <w:sz w:val="24"/>
                <w:szCs w:val="24"/>
                <w:highlight w:val="none"/>
              </w:rPr>
              <w:t>。</w:t>
            </w:r>
          </w:p>
          <w:p w14:paraId="2203DDB8">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宋体" w:cs="宋体"/>
                <w:color w:val="auto"/>
                <w:spacing w:val="-5"/>
                <w:sz w:val="24"/>
                <w:szCs w:val="24"/>
                <w:highlight w:val="none"/>
                <w:lang w:val="en-US" w:eastAsia="zh-CN"/>
              </w:rPr>
            </w:pPr>
            <w:r>
              <w:rPr>
                <w:rFonts w:hint="eastAsia" w:ascii="Times New Roman" w:hAnsi="Times New Roman" w:eastAsia="宋体" w:cs="宋体"/>
                <w:color w:val="auto"/>
                <w:sz w:val="24"/>
                <w:szCs w:val="24"/>
                <w:highlight w:val="none"/>
                <w:lang w:val="en-US" w:eastAsia="zh-CN"/>
              </w:rPr>
              <w:t>最大排放速率为</w:t>
            </w:r>
            <w:r>
              <w:rPr>
                <w:rFonts w:ascii="Times New Roman" w:hAnsi="Times New Roman" w:eastAsia="宋体" w:cs="宋体"/>
                <w:color w:val="auto"/>
                <w:spacing w:val="-4"/>
                <w:sz w:val="24"/>
                <w:szCs w:val="24"/>
                <w:highlight w:val="none"/>
              </w:rPr>
              <w:t>E</w:t>
            </w:r>
            <w:r>
              <w:rPr>
                <w:rFonts w:ascii="Times New Roman" w:hAnsi="Times New Roman" w:eastAsia="宋体" w:cs="宋体"/>
                <w:color w:val="auto"/>
                <w:spacing w:val="-4"/>
                <w:sz w:val="24"/>
                <w:szCs w:val="24"/>
                <w:highlight w:val="none"/>
                <w:vertAlign w:val="subscript"/>
              </w:rPr>
              <w:t>NO</w:t>
            </w:r>
            <w:r>
              <w:rPr>
                <w:rFonts w:ascii="Times New Roman" w:hAnsi="Times New Roman" w:eastAsia="宋体" w:cs="宋体"/>
                <w:color w:val="auto"/>
                <w:spacing w:val="-4"/>
                <w:position w:val="-1"/>
                <w:sz w:val="16"/>
                <w:szCs w:val="16"/>
                <w:highlight w:val="none"/>
                <w:vertAlign w:val="subscript"/>
              </w:rPr>
              <w:t>X</w:t>
            </w:r>
            <w:r>
              <w:rPr>
                <w:rFonts w:ascii="Times New Roman" w:hAnsi="Times New Roman" w:eastAsia="宋体" w:cs="宋体"/>
                <w:color w:val="auto"/>
                <w:spacing w:val="-4"/>
                <w:sz w:val="24"/>
                <w:szCs w:val="24"/>
                <w:highlight w:val="none"/>
              </w:rPr>
              <w:t>=</w:t>
            </w:r>
            <w:r>
              <w:rPr>
                <w:rFonts w:hint="eastAsia" w:ascii="Times New Roman" w:hAnsi="Times New Roman" w:cs="宋体"/>
                <w:color w:val="auto"/>
                <w:spacing w:val="-4"/>
                <w:sz w:val="24"/>
                <w:szCs w:val="24"/>
                <w:highlight w:val="none"/>
                <w:lang w:val="en-US" w:eastAsia="zh-CN"/>
              </w:rPr>
              <w:t>270</w:t>
            </w:r>
            <w:r>
              <w:rPr>
                <w:rFonts w:ascii="Times New Roman" w:hAnsi="Times New Roman" w:eastAsia="宋体" w:cs="宋体"/>
                <w:color w:val="auto"/>
                <w:spacing w:val="-4"/>
                <w:sz w:val="24"/>
                <w:szCs w:val="24"/>
                <w:highlight w:val="none"/>
              </w:rPr>
              <w:t>×</w:t>
            </w:r>
            <w:r>
              <w:rPr>
                <w:rFonts w:hint="eastAsia" w:ascii="Times New Roman" w:hAnsi="Times New Roman" w:cs="宋体"/>
                <w:color w:val="auto"/>
                <w:spacing w:val="-4"/>
                <w:sz w:val="24"/>
                <w:szCs w:val="24"/>
                <w:highlight w:val="none"/>
                <w:lang w:val="en-US" w:eastAsia="zh-CN"/>
              </w:rPr>
              <w:t>8072.152071</w:t>
            </w:r>
            <w:r>
              <w:rPr>
                <w:rFonts w:ascii="Times New Roman" w:hAnsi="Times New Roman" w:eastAsia="宋体" w:cs="宋体"/>
                <w:color w:val="auto"/>
                <w:spacing w:val="-5"/>
                <w:sz w:val="24"/>
                <w:szCs w:val="24"/>
                <w:highlight w:val="none"/>
              </w:rPr>
              <w:t>×（1-</w:t>
            </w:r>
            <w:r>
              <w:rPr>
                <w:rFonts w:hint="eastAsia" w:ascii="Times New Roman" w:hAnsi="Times New Roman" w:eastAsia="宋体" w:cs="宋体"/>
                <w:color w:val="auto"/>
                <w:spacing w:val="-5"/>
                <w:sz w:val="24"/>
                <w:szCs w:val="24"/>
                <w:highlight w:val="none"/>
                <w:lang w:val="en-US" w:eastAsia="zh-CN"/>
              </w:rPr>
              <w:t>0</w:t>
            </w:r>
            <w:r>
              <w:rPr>
                <w:rFonts w:ascii="Times New Roman" w:hAnsi="Times New Roman" w:eastAsia="宋体" w:cs="宋体"/>
                <w:color w:val="auto"/>
                <w:spacing w:val="-5"/>
                <w:sz w:val="24"/>
                <w:szCs w:val="24"/>
                <w:highlight w:val="none"/>
              </w:rPr>
              <w:t>）×10</w:t>
            </w:r>
            <w:r>
              <w:rPr>
                <w:rFonts w:ascii="Times New Roman" w:hAnsi="Times New Roman" w:eastAsia="宋体" w:cs="宋体"/>
                <w:color w:val="auto"/>
                <w:spacing w:val="-5"/>
                <w:position w:val="9"/>
                <w:sz w:val="16"/>
                <w:szCs w:val="16"/>
                <w:highlight w:val="none"/>
              </w:rPr>
              <w:t>-9</w:t>
            </w:r>
            <w:r>
              <w:rPr>
                <w:rFonts w:ascii="Times New Roman" w:hAnsi="Times New Roman" w:eastAsia="宋体" w:cs="宋体"/>
                <w:color w:val="auto"/>
                <w:spacing w:val="-5"/>
                <w:sz w:val="24"/>
                <w:szCs w:val="24"/>
                <w:highlight w:val="none"/>
              </w:rPr>
              <w:t>=</w:t>
            </w:r>
            <w:r>
              <w:rPr>
                <w:rFonts w:hint="eastAsia" w:ascii="Times New Roman" w:hAnsi="Times New Roman" w:eastAsia="宋体" w:cs="宋体"/>
                <w:color w:val="auto"/>
                <w:spacing w:val="-5"/>
                <w:sz w:val="24"/>
                <w:szCs w:val="24"/>
                <w:highlight w:val="none"/>
                <w:lang w:val="en-US" w:eastAsia="zh-CN"/>
              </w:rPr>
              <w:t>0.00</w:t>
            </w:r>
            <w:r>
              <w:rPr>
                <w:rFonts w:hint="eastAsia" w:ascii="Times New Roman" w:hAnsi="Times New Roman" w:cs="宋体"/>
                <w:color w:val="auto"/>
                <w:spacing w:val="-5"/>
                <w:sz w:val="24"/>
                <w:szCs w:val="24"/>
                <w:highlight w:val="none"/>
                <w:lang w:val="en-US" w:eastAsia="zh-CN"/>
              </w:rPr>
              <w:t>218</w:t>
            </w:r>
            <w:r>
              <w:rPr>
                <w:rFonts w:hint="eastAsia" w:ascii="Times New Roman" w:hAnsi="Times New Roman" w:eastAsia="宋体" w:cs="宋体"/>
                <w:color w:val="auto"/>
                <w:spacing w:val="-5"/>
                <w:sz w:val="24"/>
                <w:szCs w:val="24"/>
                <w:highlight w:val="none"/>
                <w:lang w:val="en-US" w:eastAsia="zh-CN"/>
              </w:rPr>
              <w:t>t</w:t>
            </w:r>
            <w:r>
              <w:rPr>
                <w:rFonts w:ascii="Times New Roman" w:hAnsi="Times New Roman" w:eastAsia="宋体" w:cs="宋体"/>
                <w:color w:val="auto"/>
                <w:spacing w:val="-5"/>
                <w:sz w:val="24"/>
                <w:szCs w:val="24"/>
                <w:highlight w:val="none"/>
              </w:rPr>
              <w:t>/h</w:t>
            </w:r>
            <w:r>
              <w:rPr>
                <w:rFonts w:hint="eastAsia" w:ascii="Times New Roman" w:hAnsi="Times New Roman" w:eastAsia="宋体" w:cs="宋体"/>
                <w:color w:val="auto"/>
                <w:spacing w:val="-5"/>
                <w:sz w:val="24"/>
                <w:szCs w:val="24"/>
                <w:highlight w:val="none"/>
                <w:lang w:val="en-US" w:eastAsia="zh-CN"/>
              </w:rPr>
              <w:t>=</w:t>
            </w:r>
            <w:r>
              <w:rPr>
                <w:rFonts w:hint="eastAsia" w:ascii="Times New Roman" w:hAnsi="Times New Roman" w:cs="宋体"/>
                <w:color w:val="auto"/>
                <w:spacing w:val="-5"/>
                <w:sz w:val="24"/>
                <w:szCs w:val="24"/>
                <w:highlight w:val="none"/>
                <w:lang w:val="en-US" w:eastAsia="zh-CN"/>
              </w:rPr>
              <w:t>2.18</w:t>
            </w:r>
            <w:r>
              <w:rPr>
                <w:rFonts w:hint="eastAsia" w:ascii="Times New Roman" w:hAnsi="Times New Roman" w:eastAsia="宋体" w:cs="宋体"/>
                <w:color w:val="auto"/>
                <w:spacing w:val="-5"/>
                <w:sz w:val="24"/>
                <w:szCs w:val="24"/>
                <w:highlight w:val="none"/>
                <w:lang w:val="en-US" w:eastAsia="zh-CN"/>
              </w:rPr>
              <w:t>kg/h</w:t>
            </w:r>
          </w:p>
          <w:p w14:paraId="3CE31210">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eastAsia="宋体" w:cs="宋体"/>
                <w:color w:val="auto"/>
                <w:spacing w:val="0"/>
                <w:sz w:val="24"/>
                <w:szCs w:val="24"/>
                <w:highlight w:val="none"/>
                <w:lang w:val="en-US" w:eastAsia="zh-CN"/>
              </w:rPr>
            </w:pPr>
            <w:r>
              <w:rPr>
                <w:rFonts w:ascii="Times New Roman" w:hAnsi="Times New Roman" w:eastAsia="宋体" w:cs="宋体"/>
                <w:color w:val="auto"/>
                <w:sz w:val="24"/>
                <w:szCs w:val="24"/>
                <w:highlight w:val="none"/>
              </w:rPr>
              <w:t>年排放量为</w:t>
            </w:r>
            <w:r>
              <w:rPr>
                <w:rFonts w:ascii="Times New Roman" w:hAnsi="Times New Roman" w:eastAsia="宋体" w:cs="宋体"/>
                <w:color w:val="auto"/>
                <w:spacing w:val="-4"/>
                <w:sz w:val="24"/>
                <w:szCs w:val="24"/>
                <w:highlight w:val="none"/>
              </w:rPr>
              <w:t>E</w:t>
            </w:r>
            <w:r>
              <w:rPr>
                <w:rFonts w:ascii="Times New Roman" w:hAnsi="Times New Roman" w:eastAsia="宋体" w:cs="宋体"/>
                <w:color w:val="auto"/>
                <w:spacing w:val="-4"/>
                <w:sz w:val="24"/>
                <w:szCs w:val="24"/>
                <w:highlight w:val="none"/>
                <w:vertAlign w:val="subscript"/>
              </w:rPr>
              <w:t>NO</w:t>
            </w:r>
            <w:r>
              <w:rPr>
                <w:rFonts w:ascii="Times New Roman" w:hAnsi="Times New Roman" w:eastAsia="宋体" w:cs="宋体"/>
                <w:color w:val="auto"/>
                <w:spacing w:val="-4"/>
                <w:position w:val="-1"/>
                <w:sz w:val="16"/>
                <w:szCs w:val="16"/>
                <w:highlight w:val="none"/>
                <w:vertAlign w:val="subscript"/>
              </w:rPr>
              <w:t>X</w:t>
            </w:r>
            <w:r>
              <w:rPr>
                <w:rFonts w:ascii="Times New Roman" w:hAnsi="Times New Roman" w:eastAsia="宋体" w:cs="宋体"/>
                <w:color w:val="auto"/>
                <w:spacing w:val="-4"/>
                <w:sz w:val="24"/>
                <w:szCs w:val="24"/>
                <w:highlight w:val="none"/>
              </w:rPr>
              <w:t>=</w:t>
            </w:r>
            <w:r>
              <w:rPr>
                <w:rFonts w:hint="eastAsia" w:cs="宋体"/>
                <w:color w:val="auto"/>
                <w:spacing w:val="-4"/>
                <w:sz w:val="24"/>
                <w:szCs w:val="24"/>
                <w:highlight w:val="none"/>
                <w:lang w:val="en-US" w:eastAsia="zh-CN"/>
              </w:rPr>
              <w:t>270</w:t>
            </w:r>
            <w:r>
              <w:rPr>
                <w:rFonts w:ascii="Times New Roman" w:hAnsi="Times New Roman" w:eastAsia="宋体" w:cs="宋体"/>
                <w:color w:val="auto"/>
                <w:spacing w:val="-4"/>
                <w:sz w:val="24"/>
                <w:szCs w:val="24"/>
                <w:highlight w:val="none"/>
              </w:rPr>
              <w:t>×</w:t>
            </w:r>
            <w:r>
              <w:rPr>
                <w:rFonts w:hint="eastAsia" w:cs="宋体"/>
                <w:color w:val="auto"/>
                <w:spacing w:val="-4"/>
                <w:sz w:val="24"/>
                <w:szCs w:val="24"/>
                <w:highlight w:val="none"/>
                <w:lang w:eastAsia="zh-CN"/>
              </w:rPr>
              <w:t>23247797.96448</w:t>
            </w:r>
            <w:r>
              <w:rPr>
                <w:rFonts w:ascii="Times New Roman" w:hAnsi="Times New Roman" w:eastAsia="宋体" w:cs="宋体"/>
                <w:color w:val="auto"/>
                <w:spacing w:val="-5"/>
                <w:sz w:val="24"/>
                <w:szCs w:val="24"/>
                <w:highlight w:val="none"/>
              </w:rPr>
              <w:t>×（1-</w:t>
            </w:r>
            <w:r>
              <w:rPr>
                <w:rFonts w:hint="eastAsia" w:ascii="Times New Roman" w:hAnsi="Times New Roman" w:eastAsia="宋体" w:cs="宋体"/>
                <w:color w:val="auto"/>
                <w:spacing w:val="-5"/>
                <w:sz w:val="24"/>
                <w:szCs w:val="24"/>
                <w:highlight w:val="none"/>
                <w:lang w:val="en-US" w:eastAsia="zh-CN"/>
              </w:rPr>
              <w:t>0</w:t>
            </w:r>
            <w:r>
              <w:rPr>
                <w:rFonts w:ascii="Times New Roman" w:hAnsi="Times New Roman" w:eastAsia="宋体" w:cs="宋体"/>
                <w:color w:val="auto"/>
                <w:spacing w:val="-5"/>
                <w:sz w:val="24"/>
                <w:szCs w:val="24"/>
                <w:highlight w:val="none"/>
              </w:rPr>
              <w:t>）×10</w:t>
            </w:r>
            <w:r>
              <w:rPr>
                <w:rFonts w:ascii="Times New Roman" w:hAnsi="Times New Roman" w:eastAsia="宋体" w:cs="宋体"/>
                <w:color w:val="auto"/>
                <w:spacing w:val="-5"/>
                <w:position w:val="9"/>
                <w:sz w:val="16"/>
                <w:szCs w:val="16"/>
                <w:highlight w:val="none"/>
              </w:rPr>
              <w:t>-9</w:t>
            </w:r>
            <w:r>
              <w:rPr>
                <w:rFonts w:ascii="Times New Roman" w:hAnsi="Times New Roman" w:eastAsia="宋体" w:cs="宋体"/>
                <w:color w:val="auto"/>
                <w:spacing w:val="-5"/>
                <w:sz w:val="24"/>
                <w:szCs w:val="24"/>
                <w:highlight w:val="none"/>
              </w:rPr>
              <w:t>=</w:t>
            </w:r>
            <w:r>
              <w:rPr>
                <w:rFonts w:hint="eastAsia" w:cs="宋体"/>
                <w:color w:val="auto"/>
                <w:spacing w:val="-5"/>
                <w:sz w:val="24"/>
                <w:szCs w:val="24"/>
                <w:highlight w:val="none"/>
                <w:lang w:val="en-US" w:eastAsia="zh-CN"/>
              </w:rPr>
              <w:t>6.28</w:t>
            </w:r>
            <w:r>
              <w:rPr>
                <w:rFonts w:hint="eastAsia" w:ascii="Times New Roman" w:hAnsi="Times New Roman" w:eastAsia="宋体" w:cs="宋体"/>
                <w:color w:val="auto"/>
                <w:spacing w:val="-5"/>
                <w:sz w:val="24"/>
                <w:szCs w:val="24"/>
                <w:highlight w:val="none"/>
                <w:lang w:val="en-US" w:eastAsia="zh-CN"/>
              </w:rPr>
              <w:t>t/a</w:t>
            </w:r>
          </w:p>
          <w:p w14:paraId="00EA59C9">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⑤汞及其化合物</w:t>
            </w:r>
          </w:p>
          <w:p w14:paraId="0CA643B0">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0" w:firstLineChars="0"/>
              <w:jc w:val="center"/>
              <w:textAlignment w:val="auto"/>
              <w:rPr>
                <w:rFonts w:hint="default" w:ascii="宋体" w:hAnsi="宋体" w:cs="宋体"/>
                <w:color w:val="auto"/>
                <w:spacing w:val="0"/>
                <w:sz w:val="24"/>
                <w:szCs w:val="24"/>
                <w:highlight w:val="none"/>
                <w:lang w:val="en-US" w:eastAsia="zh-CN"/>
              </w:rPr>
            </w:pPr>
            <w:r>
              <w:rPr>
                <w:color w:val="auto"/>
                <w:highlight w:val="none"/>
              </w:rPr>
              <w:drawing>
                <wp:inline distT="0" distB="0" distL="114300" distR="114300">
                  <wp:extent cx="3562350" cy="733425"/>
                  <wp:effectExtent l="0" t="0" r="0" b="0"/>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30">
                            <a:clrChange>
                              <a:clrFrom>
                                <a:srgbClr val="CFE8CC">
                                  <a:alpha val="100000"/>
                                </a:srgbClr>
                              </a:clrFrom>
                              <a:clrTo>
                                <a:srgbClr val="CFE8CC">
                                  <a:alpha val="100000"/>
                                  <a:alpha val="0"/>
                                </a:srgbClr>
                              </a:clrTo>
                            </a:clrChange>
                          </a:blip>
                          <a:stretch>
                            <a:fillRect/>
                          </a:stretch>
                        </pic:blipFill>
                        <pic:spPr>
                          <a:xfrm>
                            <a:off x="0" y="0"/>
                            <a:ext cx="3562350" cy="733425"/>
                          </a:xfrm>
                          <a:prstGeom prst="rect">
                            <a:avLst/>
                          </a:prstGeom>
                          <a:noFill/>
                          <a:ln>
                            <a:noFill/>
                          </a:ln>
                        </pic:spPr>
                      </pic:pic>
                    </a:graphicData>
                  </a:graphic>
                </wp:inline>
              </w:drawing>
            </w:r>
          </w:p>
          <w:p w14:paraId="22C6B7CB">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式中：</w:t>
            </w:r>
            <w:r>
              <w:rPr>
                <w:rFonts w:hint="eastAsia" w:ascii="宋体" w:hAnsi="宋体" w:cs="宋体"/>
                <w:i/>
                <w:iCs/>
                <w:color w:val="auto"/>
                <w:spacing w:val="0"/>
                <w:sz w:val="24"/>
                <w:szCs w:val="24"/>
                <w:highlight w:val="none"/>
                <w:lang w:val="en-US" w:eastAsia="zh-CN"/>
              </w:rPr>
              <w:t>E</w:t>
            </w:r>
            <w:r>
              <w:rPr>
                <w:rFonts w:hint="eastAsia" w:ascii="宋体" w:hAnsi="宋体" w:cs="宋体"/>
                <w:i/>
                <w:iCs/>
                <w:color w:val="auto"/>
                <w:spacing w:val="0"/>
                <w:sz w:val="24"/>
                <w:szCs w:val="24"/>
                <w:highlight w:val="none"/>
                <w:vertAlign w:val="subscript"/>
                <w:lang w:val="en-US" w:eastAsia="zh-CN"/>
              </w:rPr>
              <w:t>Hg</w:t>
            </w:r>
            <w:r>
              <w:rPr>
                <w:rFonts w:hint="eastAsia" w:ascii="宋体" w:hAnsi="宋体" w:cs="宋体"/>
                <w:color w:val="auto"/>
                <w:spacing w:val="0"/>
                <w:sz w:val="24"/>
                <w:szCs w:val="24"/>
                <w:highlight w:val="none"/>
                <w:lang w:val="en-US" w:eastAsia="zh-CN"/>
              </w:rPr>
              <w:t>——核算时段内汞及其化合物排放量（以汞计），t；</w:t>
            </w:r>
          </w:p>
          <w:p w14:paraId="25EB29B5">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1200" w:firstLineChars="500"/>
              <w:textAlignment w:val="auto"/>
              <w:rPr>
                <w:rFonts w:hint="eastAsia" w:ascii="宋体" w:hAnsi="宋体" w:cs="宋体"/>
                <w:color w:val="auto"/>
                <w:spacing w:val="0"/>
                <w:sz w:val="24"/>
                <w:szCs w:val="24"/>
                <w:highlight w:val="none"/>
                <w:lang w:val="en-US" w:eastAsia="zh-CN"/>
              </w:rPr>
            </w:pPr>
            <w:r>
              <w:rPr>
                <w:rFonts w:hint="eastAsia" w:ascii="宋体" w:hAnsi="宋体" w:cs="宋体"/>
                <w:i/>
                <w:iCs/>
                <w:color w:val="auto"/>
                <w:spacing w:val="0"/>
                <w:sz w:val="24"/>
                <w:szCs w:val="24"/>
                <w:highlight w:val="none"/>
                <w:lang w:val="en-US" w:eastAsia="zh-CN"/>
              </w:rPr>
              <w:t>R</w:t>
            </w:r>
            <w:r>
              <w:rPr>
                <w:rFonts w:hint="eastAsia" w:ascii="宋体" w:hAnsi="宋体" w:cs="宋体"/>
                <w:color w:val="auto"/>
                <w:spacing w:val="0"/>
                <w:sz w:val="24"/>
                <w:szCs w:val="24"/>
                <w:highlight w:val="none"/>
                <w:lang w:val="en-US" w:eastAsia="zh-CN"/>
              </w:rPr>
              <w:t>——核算时段内锅炉燃料耗量，t，取</w:t>
            </w:r>
            <w:r>
              <w:rPr>
                <w:rFonts w:hint="eastAsia" w:cs="Times New Roman"/>
                <w:color w:val="auto"/>
                <w:spacing w:val="-2"/>
                <w:sz w:val="24"/>
                <w:szCs w:val="24"/>
                <w:highlight w:val="none"/>
                <w:lang w:val="en-US" w:eastAsia="zh-CN"/>
              </w:rPr>
              <w:t>1.0811</w:t>
            </w:r>
            <w:r>
              <w:rPr>
                <w:rFonts w:hint="default" w:ascii="Times New Roman" w:hAnsi="Times New Roman" w:eastAsia="宋体" w:cs="Times New Roman"/>
                <w:color w:val="auto"/>
                <w:spacing w:val="-2"/>
                <w:sz w:val="24"/>
                <w:szCs w:val="24"/>
                <w:highlight w:val="none"/>
              </w:rPr>
              <w:t>t/h</w:t>
            </w:r>
            <w:r>
              <w:rPr>
                <w:rFonts w:ascii="Times New Roman" w:hAnsi="Times New Roman" w:eastAsia="宋体" w:cs="宋体"/>
                <w:color w:val="auto"/>
                <w:spacing w:val="-2"/>
                <w:sz w:val="24"/>
                <w:szCs w:val="24"/>
                <w:highlight w:val="none"/>
              </w:rPr>
              <w:t>；</w:t>
            </w:r>
            <w:r>
              <w:rPr>
                <w:rFonts w:hint="eastAsia" w:cs="Times New Roman"/>
                <w:bCs/>
                <w:color w:val="auto"/>
                <w:spacing w:val="0"/>
                <w:sz w:val="24"/>
                <w:szCs w:val="24"/>
                <w:highlight w:val="none"/>
                <w:lang w:val="en-US" w:eastAsia="zh-CN"/>
              </w:rPr>
              <w:t>3113.568</w:t>
            </w:r>
            <w:r>
              <w:rPr>
                <w:rFonts w:hint="default" w:ascii="Times New Roman" w:hAnsi="Times New Roman" w:eastAsia="宋体" w:cs="Times New Roman"/>
                <w:b w:val="0"/>
                <w:bCs/>
                <w:color w:val="auto"/>
                <w:spacing w:val="0"/>
                <w:kern w:val="2"/>
                <w:sz w:val="24"/>
                <w:szCs w:val="24"/>
                <w:highlight w:val="none"/>
                <w:lang w:val="en-US" w:eastAsia="zh-CN" w:bidi="ar-SA"/>
              </w:rPr>
              <w:t>t/a</w:t>
            </w:r>
            <w:r>
              <w:rPr>
                <w:rFonts w:hint="eastAsia" w:ascii="Times New Roman" w:hAnsi="Times New Roman" w:cs="Times New Roman"/>
                <w:b w:val="0"/>
                <w:bCs/>
                <w:color w:val="auto"/>
                <w:spacing w:val="0"/>
                <w:kern w:val="2"/>
                <w:sz w:val="24"/>
                <w:szCs w:val="24"/>
                <w:highlight w:val="none"/>
                <w:lang w:val="en-US" w:eastAsia="zh-CN" w:bidi="ar-SA"/>
              </w:rPr>
              <w:t>。</w:t>
            </w:r>
          </w:p>
          <w:p w14:paraId="3366B857">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1200" w:firstLineChars="500"/>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m</w:t>
            </w:r>
            <w:r>
              <w:rPr>
                <w:rFonts w:hint="eastAsia" w:ascii="宋体" w:hAnsi="宋体" w:cs="宋体"/>
                <w:i/>
                <w:iCs/>
                <w:color w:val="auto"/>
                <w:spacing w:val="0"/>
                <w:sz w:val="24"/>
                <w:szCs w:val="24"/>
                <w:highlight w:val="none"/>
                <w:vertAlign w:val="subscript"/>
                <w:lang w:val="en-US" w:eastAsia="zh-CN"/>
              </w:rPr>
              <w:t>Hgar</w:t>
            </w:r>
            <w:r>
              <w:rPr>
                <w:rFonts w:hint="eastAsia" w:ascii="宋体" w:hAnsi="宋体" w:cs="宋体"/>
                <w:color w:val="auto"/>
                <w:spacing w:val="0"/>
                <w:sz w:val="24"/>
                <w:szCs w:val="24"/>
                <w:highlight w:val="none"/>
                <w:lang w:val="en-US" w:eastAsia="zh-CN"/>
              </w:rPr>
              <w:t>——收到基汞的含量，</w:t>
            </w:r>
            <w:r>
              <w:rPr>
                <w:rFonts w:hint="default" w:ascii="Times New Roman" w:hAnsi="Times New Roman" w:cs="Times New Roman"/>
                <w:color w:val="auto"/>
                <w:sz w:val="24"/>
                <w:szCs w:val="28"/>
                <w:highlight w:val="none"/>
              </w:rPr>
              <w:t>μg/</w:t>
            </w:r>
            <w:r>
              <w:rPr>
                <w:rFonts w:hint="eastAsia" w:ascii="Times New Roman" w:hAnsi="Times New Roman" w:cs="Times New Roman"/>
                <w:color w:val="auto"/>
                <w:sz w:val="24"/>
                <w:szCs w:val="28"/>
                <w:highlight w:val="none"/>
                <w:lang w:val="en-US" w:eastAsia="zh-CN"/>
              </w:rPr>
              <w:t>g</w:t>
            </w:r>
            <w:r>
              <w:rPr>
                <w:rFonts w:hint="eastAsia" w:ascii="宋体" w:hAnsi="宋体" w:cs="宋体"/>
                <w:color w:val="auto"/>
                <w:spacing w:val="0"/>
                <w:sz w:val="24"/>
                <w:szCs w:val="24"/>
                <w:highlight w:val="none"/>
                <w:lang w:val="en-US" w:eastAsia="zh-CN"/>
              </w:rPr>
              <w:t>，取0.015；</w:t>
            </w:r>
          </w:p>
          <w:p w14:paraId="566DF5BF">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1190" w:firstLineChars="500"/>
              <w:textAlignment w:val="auto"/>
              <w:rPr>
                <w:rFonts w:hint="eastAsia" w:ascii="宋体" w:hAnsi="宋体" w:cs="宋体"/>
                <w:color w:val="auto"/>
                <w:spacing w:val="0"/>
                <w:sz w:val="24"/>
                <w:szCs w:val="24"/>
                <w:highlight w:val="none"/>
                <w:lang w:val="en-US" w:eastAsia="zh-CN"/>
              </w:rPr>
            </w:pPr>
            <w:r>
              <w:rPr>
                <w:rFonts w:ascii="Times New Roman" w:hAnsi="Times New Roman" w:eastAsia="宋体" w:cs="宋体"/>
                <w:i/>
                <w:iCs/>
                <w:color w:val="auto"/>
                <w:spacing w:val="-1"/>
                <w:sz w:val="24"/>
                <w:szCs w:val="24"/>
                <w:highlight w:val="none"/>
              </w:rPr>
              <w:t>Ƞ</w:t>
            </w:r>
            <w:r>
              <w:rPr>
                <w:rFonts w:hint="eastAsia" w:ascii="宋体" w:hAnsi="宋体" w:cs="宋体"/>
                <w:i/>
                <w:iCs/>
                <w:color w:val="auto"/>
                <w:spacing w:val="0"/>
                <w:sz w:val="24"/>
                <w:szCs w:val="24"/>
                <w:highlight w:val="none"/>
                <w:vertAlign w:val="subscript"/>
                <w:lang w:val="en-US" w:eastAsia="zh-CN"/>
              </w:rPr>
              <w:t>Hg</w:t>
            </w:r>
            <w:r>
              <w:rPr>
                <w:rFonts w:hint="eastAsia" w:ascii="宋体" w:hAnsi="宋体" w:cs="宋体"/>
                <w:color w:val="auto"/>
                <w:spacing w:val="0"/>
                <w:sz w:val="24"/>
                <w:szCs w:val="24"/>
                <w:highlight w:val="none"/>
                <w:lang w:val="en-US" w:eastAsia="zh-CN"/>
              </w:rPr>
              <w:t>——汞的协同脱除效率，%，取20。</w:t>
            </w:r>
          </w:p>
          <w:p w14:paraId="01E4CD3F">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宋体" w:hAnsi="宋体" w:cs="宋体"/>
                <w:color w:val="auto"/>
                <w:spacing w:val="0"/>
                <w:sz w:val="24"/>
                <w:szCs w:val="24"/>
                <w:highlight w:val="none"/>
                <w:lang w:val="en-US" w:eastAsia="zh-CN"/>
              </w:rPr>
            </w:pPr>
            <w:r>
              <w:rPr>
                <w:rFonts w:hint="default" w:ascii="宋体" w:hAnsi="宋体" w:cs="宋体"/>
                <w:color w:val="auto"/>
                <w:spacing w:val="0"/>
                <w:sz w:val="24"/>
                <w:szCs w:val="24"/>
                <w:highlight w:val="none"/>
                <w:lang w:val="en-US" w:eastAsia="zh-CN"/>
              </w:rPr>
              <w:t>根据《直接法测定固体生物质燃料中汞的试验研究》汞含量平均值为0.015</w:t>
            </w:r>
            <w:r>
              <w:rPr>
                <w:rFonts w:hint="default" w:ascii="Times New Roman" w:hAnsi="Times New Roman" w:cs="Times New Roman"/>
                <w:color w:val="auto"/>
                <w:sz w:val="24"/>
                <w:szCs w:val="28"/>
                <w:highlight w:val="none"/>
              </w:rPr>
              <w:t>μg/</w:t>
            </w:r>
            <w:r>
              <w:rPr>
                <w:rFonts w:hint="eastAsia" w:ascii="Times New Roman" w:hAnsi="Times New Roman" w:cs="Times New Roman"/>
                <w:color w:val="auto"/>
                <w:sz w:val="24"/>
                <w:szCs w:val="28"/>
                <w:highlight w:val="none"/>
                <w:lang w:val="en-US" w:eastAsia="zh-CN"/>
              </w:rPr>
              <w:t>g</w:t>
            </w:r>
            <w:r>
              <w:rPr>
                <w:rFonts w:hint="eastAsia" w:ascii="宋体" w:hAnsi="宋体" w:cs="宋体"/>
                <w:color w:val="auto"/>
                <w:spacing w:val="0"/>
                <w:sz w:val="24"/>
                <w:szCs w:val="24"/>
                <w:highlight w:val="none"/>
                <w:lang w:val="en-US" w:eastAsia="zh-CN"/>
              </w:rPr>
              <w:t>；</w:t>
            </w:r>
            <w:r>
              <w:rPr>
                <w:rFonts w:hint="default" w:ascii="宋体" w:hAnsi="宋体" w:cs="宋体"/>
                <w:color w:val="auto"/>
                <w:spacing w:val="0"/>
                <w:sz w:val="24"/>
                <w:szCs w:val="24"/>
                <w:highlight w:val="none"/>
                <w:lang w:val="en-US" w:eastAsia="zh-CN"/>
              </w:rPr>
              <w:t>根据《</w:t>
            </w:r>
            <w:r>
              <w:rPr>
                <w:rFonts w:hint="eastAsia" w:ascii="宋体" w:hAnsi="宋体" w:cs="宋体"/>
                <w:color w:val="auto"/>
                <w:spacing w:val="0"/>
                <w:sz w:val="24"/>
                <w:szCs w:val="24"/>
                <w:highlight w:val="none"/>
                <w:lang w:val="en-US" w:eastAsia="zh-CN"/>
              </w:rPr>
              <w:t>布袋除尘器</w:t>
            </w:r>
            <w:r>
              <w:rPr>
                <w:rFonts w:hint="default" w:ascii="宋体" w:hAnsi="宋体" w:cs="宋体"/>
                <w:color w:val="auto"/>
                <w:spacing w:val="0"/>
                <w:sz w:val="24"/>
                <w:szCs w:val="24"/>
                <w:highlight w:val="none"/>
                <w:lang w:val="en-US" w:eastAsia="zh-CN"/>
              </w:rPr>
              <w:t>脱汞性能实验分析》汞的协同脱除效率取20%，经计算汞及其化合物的排放量为</w:t>
            </w:r>
            <w:r>
              <w:rPr>
                <w:rFonts w:hint="eastAsia" w:ascii="宋体" w:hAnsi="宋体" w:cs="宋体"/>
                <w:color w:val="auto"/>
                <w:spacing w:val="0"/>
                <w:sz w:val="24"/>
                <w:szCs w:val="24"/>
                <w:highlight w:val="none"/>
                <w:lang w:val="en-US" w:eastAsia="zh-CN"/>
              </w:rPr>
              <w:t>0.00001297kg/h，年排放量为0.0000374t/a。排放浓度为0.0016mg/m</w:t>
            </w:r>
            <w:r>
              <w:rPr>
                <w:rFonts w:hint="eastAsia" w:ascii="宋体" w:hAnsi="宋体" w:cs="宋体"/>
                <w:color w:val="auto"/>
                <w:spacing w:val="0"/>
                <w:sz w:val="24"/>
                <w:szCs w:val="24"/>
                <w:highlight w:val="none"/>
                <w:vertAlign w:val="superscript"/>
                <w:lang w:val="en-US" w:eastAsia="zh-CN"/>
              </w:rPr>
              <w:t>3</w:t>
            </w:r>
            <w:r>
              <w:rPr>
                <w:rFonts w:hint="eastAsia" w:ascii="宋体" w:hAnsi="宋体" w:cs="宋体"/>
                <w:color w:val="auto"/>
                <w:spacing w:val="0"/>
                <w:sz w:val="24"/>
                <w:szCs w:val="24"/>
                <w:highlight w:val="none"/>
                <w:lang w:val="en-US" w:eastAsia="zh-CN"/>
              </w:rPr>
              <w:t>，产生浓度0.002mg/m</w:t>
            </w:r>
            <w:r>
              <w:rPr>
                <w:rFonts w:hint="eastAsia" w:ascii="宋体" w:hAnsi="宋体" w:cs="宋体"/>
                <w:color w:val="auto"/>
                <w:spacing w:val="0"/>
                <w:sz w:val="24"/>
                <w:szCs w:val="24"/>
                <w:highlight w:val="none"/>
                <w:vertAlign w:val="superscript"/>
                <w:lang w:val="en-US" w:eastAsia="zh-CN"/>
              </w:rPr>
              <w:t>3</w:t>
            </w:r>
            <w:r>
              <w:rPr>
                <w:rFonts w:hint="eastAsia" w:ascii="宋体" w:hAnsi="宋体" w:cs="宋体"/>
                <w:color w:val="auto"/>
                <w:spacing w:val="0"/>
                <w:sz w:val="24"/>
                <w:szCs w:val="24"/>
                <w:highlight w:val="none"/>
                <w:lang w:val="en-US" w:eastAsia="zh-CN"/>
              </w:rPr>
              <w:t>。</w:t>
            </w:r>
          </w:p>
          <w:p w14:paraId="093967F7">
            <w:pPr>
              <w:pStyle w:val="13"/>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eastAsia"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（二）</w:t>
            </w:r>
            <w:r>
              <w:rPr>
                <w:rFonts w:ascii="Times New Roman" w:hAnsi="Times New Roman"/>
                <w:color w:val="auto"/>
                <w:sz w:val="24"/>
                <w:highlight w:val="none"/>
              </w:rPr>
              <w:t>灰渣储存过程中粉尘</w:t>
            </w:r>
          </w:p>
          <w:p w14:paraId="097B5D07">
            <w:pPr>
              <w:pStyle w:val="14"/>
              <w:rPr>
                <w:rFonts w:hint="eastAsia" w:ascii="Times New Roman" w:hAnsi="Times New Roman"/>
                <w:color w:val="auto"/>
                <w:sz w:val="24"/>
                <w:highlight w:val="none"/>
                <w:lang w:val="en-US" w:eastAsia="zh-CN"/>
              </w:rPr>
            </w:pPr>
            <w:r>
              <w:rPr>
                <w:rFonts w:ascii="Times New Roman" w:hAnsi="Times New Roman"/>
                <w:color w:val="auto"/>
                <w:sz w:val="24"/>
                <w:highlight w:val="none"/>
              </w:rPr>
              <w:t>本项目</w:t>
            </w:r>
            <w:r>
              <w:rPr>
                <w:rFonts w:hint="eastAsia" w:ascii="Times New Roman" w:hAnsi="Times New Roman"/>
                <w:color w:val="auto"/>
                <w:sz w:val="24"/>
                <w:highlight w:val="none"/>
                <w:lang w:val="en-US" w:eastAsia="zh-CN"/>
              </w:rPr>
              <w:t>产生的灰渣依托现有工程的灰渣库</w:t>
            </w:r>
            <w:r>
              <w:rPr>
                <w:rFonts w:ascii="Times New Roman" w:hAnsi="Times New Roman"/>
                <w:color w:val="auto"/>
                <w:sz w:val="24"/>
                <w:highlight w:val="none"/>
              </w:rPr>
              <w:t>，</w:t>
            </w:r>
            <w:r>
              <w:rPr>
                <w:rFonts w:hint="eastAsia" w:ascii="Times New Roman" w:hAnsi="Times New Roman"/>
                <w:color w:val="auto"/>
                <w:sz w:val="24"/>
                <w:highlight w:val="none"/>
                <w:lang w:val="en-US" w:eastAsia="zh-CN"/>
              </w:rPr>
              <w:t>灰渣库为密闭储存</w:t>
            </w:r>
            <w:r>
              <w:rPr>
                <w:rFonts w:ascii="Times New Roman" w:hAnsi="Times New Roman"/>
                <w:color w:val="auto"/>
                <w:sz w:val="24"/>
                <w:highlight w:val="none"/>
              </w:rPr>
              <w:t>，定期外运。灰渣间采用</w:t>
            </w:r>
            <w:r>
              <w:rPr>
                <w:rFonts w:hint="eastAsia" w:ascii="Times New Roman" w:hAnsi="Times New Roman"/>
                <w:color w:val="auto"/>
                <w:sz w:val="24"/>
                <w:highlight w:val="none"/>
                <w:lang w:val="en-US" w:eastAsia="zh-CN"/>
              </w:rPr>
              <w:t>密闭措施并配置布袋除尘器</w:t>
            </w:r>
            <w:r>
              <w:rPr>
                <w:rFonts w:ascii="Times New Roman" w:hAnsi="Times New Roman"/>
                <w:color w:val="auto"/>
                <w:sz w:val="24"/>
                <w:highlight w:val="none"/>
              </w:rPr>
              <w:t>，处理效率90%。参照《逸散性工业粉尘控制技术》电厂转运及运输过程中粉尘产生情况，即0</w:t>
            </w:r>
            <w:r>
              <w:rPr>
                <w:rFonts w:hint="eastAsia" w:ascii="宋体" w:hAnsi="宋体" w:eastAsia="宋体" w:cs="宋体"/>
                <w:color w:val="auto"/>
                <w:sz w:val="24"/>
                <w:highlight w:val="none"/>
              </w:rPr>
              <w:t>.</w:t>
            </w:r>
            <w:r>
              <w:rPr>
                <w:rFonts w:ascii="Times New Roman" w:hAnsi="Times New Roman"/>
                <w:color w:val="auto"/>
                <w:sz w:val="24"/>
                <w:highlight w:val="none"/>
              </w:rPr>
              <w:t>02kg/t转运量～0</w:t>
            </w:r>
            <w:r>
              <w:rPr>
                <w:rFonts w:hint="eastAsia" w:ascii="宋体" w:hAnsi="宋体" w:eastAsia="宋体" w:cs="宋体"/>
                <w:color w:val="auto"/>
                <w:sz w:val="24"/>
                <w:highlight w:val="none"/>
              </w:rPr>
              <w:t>.</w:t>
            </w:r>
            <w:r>
              <w:rPr>
                <w:rFonts w:ascii="Times New Roman" w:hAnsi="Times New Roman"/>
                <w:color w:val="auto"/>
                <w:sz w:val="24"/>
                <w:highlight w:val="none"/>
              </w:rPr>
              <w:t>5kg/t转运量，本项目以0</w:t>
            </w:r>
            <w:r>
              <w:rPr>
                <w:rFonts w:hint="eastAsia" w:ascii="宋体" w:hAnsi="宋体" w:eastAsia="宋体" w:cs="宋体"/>
                <w:color w:val="auto"/>
                <w:sz w:val="24"/>
                <w:highlight w:val="none"/>
              </w:rPr>
              <w:t>.</w:t>
            </w:r>
            <w:r>
              <w:rPr>
                <w:rFonts w:ascii="Times New Roman" w:hAnsi="Times New Roman"/>
                <w:color w:val="auto"/>
                <w:sz w:val="24"/>
                <w:highlight w:val="none"/>
              </w:rPr>
              <w:t>5kg/t转运量估算。本项目灰渣产生量为</w:t>
            </w:r>
            <w:r>
              <w:rPr>
                <w:rFonts w:hint="eastAsia" w:ascii="Times New Roman" w:hAnsi="Times New Roman"/>
                <w:color w:val="auto"/>
                <w:sz w:val="24"/>
                <w:highlight w:val="none"/>
                <w:lang w:val="en-US" w:eastAsia="zh-CN"/>
              </w:rPr>
              <w:t>543.805</w:t>
            </w:r>
            <w:r>
              <w:rPr>
                <w:rFonts w:ascii="Times New Roman" w:hAnsi="Times New Roman"/>
                <w:color w:val="auto"/>
                <w:kern w:val="0"/>
                <w:sz w:val="24"/>
                <w:highlight w:val="none"/>
              </w:rPr>
              <w:t>t/a</w:t>
            </w:r>
            <w:r>
              <w:rPr>
                <w:rFonts w:ascii="Times New Roman" w:hAnsi="Times New Roman"/>
                <w:color w:val="auto"/>
                <w:sz w:val="24"/>
                <w:highlight w:val="none"/>
              </w:rPr>
              <w:t>，灰渣储存过程中粉尘产生量为</w:t>
            </w:r>
            <w:r>
              <w:rPr>
                <w:rFonts w:hint="eastAsia" w:ascii="Times New Roman" w:hAnsi="Times New Roman"/>
                <w:color w:val="auto"/>
                <w:sz w:val="24"/>
                <w:highlight w:val="none"/>
                <w:lang w:val="en-US" w:eastAsia="zh-CN"/>
              </w:rPr>
              <w:t>0.2719</w:t>
            </w:r>
            <w:r>
              <w:rPr>
                <w:rFonts w:ascii="Times New Roman" w:hAnsi="Times New Roman"/>
                <w:color w:val="auto"/>
                <w:sz w:val="24"/>
                <w:highlight w:val="none"/>
              </w:rPr>
              <w:t>t/a，经</w:t>
            </w:r>
            <w:r>
              <w:rPr>
                <w:rFonts w:hint="eastAsia" w:ascii="Times New Roman" w:hAnsi="Times New Roman"/>
                <w:color w:val="auto"/>
                <w:sz w:val="24"/>
                <w:highlight w:val="none"/>
                <w:lang w:val="en-US" w:eastAsia="zh-CN"/>
              </w:rPr>
              <w:t>密闭措施+布袋除尘器措施</w:t>
            </w:r>
            <w:r>
              <w:rPr>
                <w:rFonts w:ascii="Times New Roman" w:hAnsi="Times New Roman"/>
                <w:color w:val="auto"/>
                <w:sz w:val="24"/>
                <w:highlight w:val="none"/>
              </w:rPr>
              <w:t>处理后粉尘排放量为</w:t>
            </w:r>
            <w:r>
              <w:rPr>
                <w:rFonts w:hint="eastAsia" w:ascii="Times New Roman" w:hAnsi="Times New Roman"/>
                <w:color w:val="auto"/>
                <w:sz w:val="24"/>
                <w:highlight w:val="none"/>
                <w:lang w:val="en-US" w:eastAsia="zh-CN"/>
              </w:rPr>
              <w:t>0.02719</w:t>
            </w:r>
            <w:r>
              <w:rPr>
                <w:rFonts w:ascii="Times New Roman" w:hAnsi="Times New Roman"/>
                <w:color w:val="auto"/>
                <w:sz w:val="24"/>
                <w:highlight w:val="none"/>
              </w:rPr>
              <w:t>t/a。</w:t>
            </w:r>
            <w:r>
              <w:rPr>
                <w:rFonts w:hint="eastAsia" w:ascii="Times New Roman" w:hAnsi="Times New Roman"/>
                <w:color w:val="auto"/>
                <w:sz w:val="24"/>
                <w:highlight w:val="none"/>
                <w:lang w:val="en-US" w:eastAsia="zh-CN"/>
              </w:rPr>
              <w:t>灰渣每日转运2次，每次0</w:t>
            </w:r>
            <w:r>
              <w:rPr>
                <w:rFonts w:hint="eastAsia" w:ascii="宋体" w:hAnsi="宋体" w:eastAsia="宋体" w:cs="宋体"/>
                <w:color w:val="auto"/>
                <w:sz w:val="24"/>
                <w:highlight w:val="none"/>
                <w:lang w:val="en-US" w:eastAsia="zh-CN"/>
              </w:rPr>
              <w:t>.</w:t>
            </w:r>
            <w:r>
              <w:rPr>
                <w:rFonts w:hint="eastAsia" w:ascii="Times New Roman" w:hAnsi="Times New Roman"/>
                <w:color w:val="auto"/>
                <w:sz w:val="24"/>
                <w:highlight w:val="none"/>
                <w:lang w:val="en-US" w:eastAsia="zh-CN"/>
              </w:rPr>
              <w:t>5h，则年转运120h。则粉尘产生速率为2.265kg/h，排放速率为0.2265kg/h。</w:t>
            </w:r>
          </w:p>
          <w:p w14:paraId="0B449087">
            <w:pPr>
              <w:pStyle w:val="15"/>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color w:val="auto"/>
                <w:sz w:val="24"/>
                <w:highlight w:val="none"/>
                <w:lang w:val="en-US" w:eastAsia="zh-CN"/>
              </w:rPr>
            </w:pPr>
            <w:r>
              <w:rPr>
                <w:rFonts w:hint="eastAsia" w:ascii="Times New Roman" w:hAnsi="Times New Roman"/>
                <w:color w:val="auto"/>
                <w:sz w:val="24"/>
                <w:highlight w:val="none"/>
                <w:lang w:val="en-US" w:eastAsia="zh-CN"/>
              </w:rPr>
              <w:t>（三）生物质燃料储存废气</w:t>
            </w:r>
          </w:p>
          <w:p w14:paraId="7839F88E">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eastAsia" w:ascii="Times New Roman" w:hAnsi="Times New Roman" w:eastAsia="宋体" w:cs="Times New Roman"/>
                <w:bCs/>
                <w:color w:val="auto"/>
                <w:kern w:val="2"/>
                <w:sz w:val="24"/>
                <w:szCs w:val="21"/>
                <w:highlight w:val="none"/>
                <w:lang w:val="en-US" w:eastAsia="zh-CN" w:bidi="ar-SA"/>
              </w:rPr>
            </w:pPr>
            <w:r>
              <w:rPr>
                <w:rFonts w:hint="eastAsia" w:ascii="Times New Roman" w:hAnsi="Times New Roman" w:eastAsia="宋体" w:cs="Times New Roman"/>
                <w:bCs/>
                <w:color w:val="auto"/>
                <w:kern w:val="2"/>
                <w:sz w:val="24"/>
                <w:szCs w:val="21"/>
                <w:highlight w:val="none"/>
                <w:lang w:val="en-US" w:eastAsia="zh-CN" w:bidi="ar-SA"/>
              </w:rPr>
              <w:t>本项目燃烧的燃料为生物质颗粒，储存于在建工程的201仓库内，最大储存量为500t。项目采用成型生物质颗粒，因燃料储存时间短，且燃料库为密闭储存，产生的无组织颗粒物排放量较小；同时，项目额外采取燃料库密闭强化措施，进一步减少无组织颗粒物外溢。因此，生物质燃料贮存期间无组织颗粒物产生量很小，本次评价对该环节产生的颗粒物仅进行定性分析，不再开展定量评价。</w:t>
            </w:r>
          </w:p>
          <w:p w14:paraId="33FCD377">
            <w:pPr>
              <w:rPr>
                <w:rFonts w:hint="eastAsia" w:ascii="宋体" w:hAnsi="宋体" w:eastAsia="宋体" w:cs="宋体"/>
                <w:color w:val="auto"/>
                <w:highlight w:val="none"/>
                <w:lang w:eastAsia="zh-CN"/>
              </w:rPr>
            </w:pPr>
            <w:r>
              <w:rPr>
                <w:rFonts w:hint="eastAsia" w:ascii="宋体" w:hAnsi="宋体" w:eastAsia="宋体" w:cs="宋体"/>
                <w:color w:val="auto"/>
                <w:spacing w:val="0"/>
                <w:sz w:val="24"/>
                <w:szCs w:val="24"/>
                <w:highlight w:val="none"/>
                <w:lang w:val="en-US" w:eastAsia="zh-CN"/>
              </w:rPr>
              <w:t>本项目废气污染源源强汇总见表4-1</w:t>
            </w:r>
          </w:p>
        </w:tc>
      </w:tr>
    </w:tbl>
    <w:p w14:paraId="4C9CCD7A">
      <w:pPr>
        <w:rPr>
          <w:rFonts w:hint="eastAsia" w:ascii="宋体" w:hAnsi="宋体" w:eastAsia="宋体" w:cs="宋体"/>
          <w:color w:val="auto"/>
          <w:spacing w:val="0"/>
          <w:highlight w:val="none"/>
        </w:rPr>
        <w:sectPr>
          <w:pgSz w:w="11907" w:h="16840"/>
          <w:pgMar w:top="1440" w:right="1803" w:bottom="1440" w:left="1803"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7"/>
        <w:tblW w:w="502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3635"/>
      </w:tblGrid>
      <w:tr w14:paraId="492B32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82" w:hRule="atLeast"/>
          <w:jc w:val="center"/>
        </w:trPr>
        <w:tc>
          <w:tcPr>
            <w:tcW w:w="537" w:type="dxa"/>
            <w:noWrap w:val="0"/>
            <w:tcMar>
              <w:left w:w="28" w:type="dxa"/>
              <w:right w:w="28" w:type="dxa"/>
            </w:tcMar>
            <w:vAlign w:val="center"/>
          </w:tcPr>
          <w:p w14:paraId="3F02F65C">
            <w:pPr>
              <w:spacing w:line="240" w:lineRule="auto"/>
              <w:ind w:firstLine="0" w:firstLineChars="0"/>
              <w:jc w:val="center"/>
              <w:rPr>
                <w:rFonts w:hint="eastAsia" w:ascii="宋体" w:hAnsi="宋体" w:eastAsia="宋体" w:cs="宋体"/>
                <w:color w:val="auto"/>
                <w:spacing w:val="0"/>
                <w:sz w:val="21"/>
                <w:szCs w:val="21"/>
                <w:highlight w:val="none"/>
              </w:rPr>
            </w:pPr>
          </w:p>
        </w:tc>
        <w:tc>
          <w:tcPr>
            <w:tcW w:w="13559" w:type="dxa"/>
            <w:tcBorders>
              <w:top w:val="single" w:color="auto" w:sz="4" w:space="0"/>
              <w:bottom w:val="single" w:color="auto" w:sz="4" w:space="0"/>
            </w:tcBorders>
            <w:noWrap w:val="0"/>
            <w:vAlign w:val="center"/>
          </w:tcPr>
          <w:p w14:paraId="01BD1B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val="0"/>
                <w:color w:val="auto"/>
                <w:spacing w:val="0"/>
                <w:sz w:val="21"/>
                <w:szCs w:val="21"/>
                <w:highlight w:val="none"/>
              </w:rPr>
            </w:pPr>
            <w:r>
              <w:rPr>
                <w:rFonts w:hint="eastAsia" w:ascii="宋体" w:hAnsi="宋体" w:eastAsia="宋体" w:cs="宋体"/>
                <w:b/>
                <w:bCs w:val="0"/>
                <w:color w:val="auto"/>
                <w:spacing w:val="0"/>
                <w:sz w:val="21"/>
                <w:szCs w:val="21"/>
                <w:highlight w:val="none"/>
              </w:rPr>
              <w:t>表4-</w:t>
            </w:r>
            <w:r>
              <w:rPr>
                <w:rFonts w:hint="eastAsia" w:ascii="宋体" w:hAnsi="宋体" w:eastAsia="宋体" w:cs="宋体"/>
                <w:b/>
                <w:bCs w:val="0"/>
                <w:color w:val="auto"/>
                <w:spacing w:val="0"/>
                <w:sz w:val="21"/>
                <w:szCs w:val="21"/>
                <w:highlight w:val="none"/>
                <w:lang w:val="en-US" w:eastAsia="zh-CN"/>
              </w:rPr>
              <w:t xml:space="preserve">1  </w:t>
            </w:r>
            <w:r>
              <w:rPr>
                <w:rFonts w:hint="eastAsia" w:ascii="宋体" w:hAnsi="宋体" w:eastAsia="宋体" w:cs="宋体"/>
                <w:b/>
                <w:bCs w:val="0"/>
                <w:color w:val="auto"/>
                <w:spacing w:val="0"/>
                <w:sz w:val="21"/>
                <w:szCs w:val="21"/>
                <w:highlight w:val="none"/>
                <w:lang w:eastAsia="zh-CN"/>
              </w:rPr>
              <w:t>本项目</w:t>
            </w:r>
            <w:r>
              <w:rPr>
                <w:rFonts w:hint="eastAsia" w:ascii="宋体" w:hAnsi="宋体" w:eastAsia="宋体" w:cs="宋体"/>
                <w:b/>
                <w:bCs w:val="0"/>
                <w:color w:val="auto"/>
                <w:spacing w:val="0"/>
                <w:sz w:val="21"/>
                <w:szCs w:val="21"/>
                <w:highlight w:val="none"/>
              </w:rPr>
              <w:t>废气污染物排放情况一览表</w:t>
            </w:r>
          </w:p>
          <w:tbl>
            <w:tblPr>
              <w:tblStyle w:val="37"/>
              <w:tblW w:w="5000"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6"/>
              <w:gridCol w:w="600"/>
              <w:gridCol w:w="735"/>
              <w:gridCol w:w="900"/>
              <w:gridCol w:w="1275"/>
              <w:gridCol w:w="975"/>
              <w:gridCol w:w="1035"/>
              <w:gridCol w:w="975"/>
              <w:gridCol w:w="1065"/>
              <w:gridCol w:w="1005"/>
              <w:gridCol w:w="808"/>
              <w:gridCol w:w="731"/>
              <w:gridCol w:w="658"/>
              <w:gridCol w:w="827"/>
              <w:gridCol w:w="766"/>
              <w:gridCol w:w="548"/>
            </w:tblGrid>
            <w:tr w14:paraId="6CE7EACF">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restart"/>
                  <w:tcBorders>
                    <w:tl2br w:val="nil"/>
                    <w:tr2bl w:val="nil"/>
                  </w:tcBorders>
                  <w:noWrap w:val="0"/>
                  <w:vAlign w:val="center"/>
                </w:tcPr>
                <w:p w14:paraId="413126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工序</w:t>
                  </w:r>
                </w:p>
              </w:tc>
              <w:tc>
                <w:tcPr>
                  <w:tcW w:w="223" w:type="pct"/>
                  <w:vMerge w:val="restart"/>
                  <w:tcBorders>
                    <w:tl2br w:val="nil"/>
                    <w:tr2bl w:val="nil"/>
                  </w:tcBorders>
                  <w:noWrap w:val="0"/>
                  <w:vAlign w:val="center"/>
                </w:tcPr>
                <w:p w14:paraId="7AD280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装置</w:t>
                  </w:r>
                </w:p>
              </w:tc>
              <w:tc>
                <w:tcPr>
                  <w:tcW w:w="273" w:type="pct"/>
                  <w:vMerge w:val="restart"/>
                  <w:tcBorders>
                    <w:tl2br w:val="nil"/>
                    <w:tr2bl w:val="nil"/>
                  </w:tcBorders>
                  <w:noWrap w:val="0"/>
                  <w:vAlign w:val="center"/>
                </w:tcPr>
                <w:p w14:paraId="2074B0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污染源</w:t>
                  </w:r>
                </w:p>
              </w:tc>
              <w:tc>
                <w:tcPr>
                  <w:tcW w:w="335" w:type="pct"/>
                  <w:vMerge w:val="restart"/>
                  <w:tcBorders>
                    <w:tl2br w:val="nil"/>
                    <w:tr2bl w:val="nil"/>
                  </w:tcBorders>
                  <w:noWrap w:val="0"/>
                  <w:vAlign w:val="center"/>
                </w:tcPr>
                <w:p w14:paraId="5BF298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污染物</w:t>
                  </w:r>
                </w:p>
              </w:tc>
              <w:tc>
                <w:tcPr>
                  <w:tcW w:w="1587" w:type="pct"/>
                  <w:gridSpan w:val="4"/>
                  <w:tcBorders>
                    <w:tl2br w:val="nil"/>
                    <w:tr2bl w:val="nil"/>
                  </w:tcBorders>
                  <w:noWrap w:val="0"/>
                  <w:vAlign w:val="center"/>
                </w:tcPr>
                <w:p w14:paraId="7BC3FE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污染物产生</w:t>
                  </w:r>
                </w:p>
              </w:tc>
              <w:tc>
                <w:tcPr>
                  <w:tcW w:w="771" w:type="pct"/>
                  <w:gridSpan w:val="2"/>
                  <w:tcBorders>
                    <w:tl2br w:val="nil"/>
                    <w:tr2bl w:val="nil"/>
                  </w:tcBorders>
                  <w:noWrap w:val="0"/>
                  <w:vAlign w:val="center"/>
                </w:tcPr>
                <w:p w14:paraId="656963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治理措施</w:t>
                  </w:r>
                </w:p>
              </w:tc>
              <w:tc>
                <w:tcPr>
                  <w:tcW w:w="301" w:type="pct"/>
                  <w:vMerge w:val="restart"/>
                  <w:tcBorders>
                    <w:tl2br w:val="nil"/>
                    <w:tr2bl w:val="nil"/>
                  </w:tcBorders>
                  <w:noWrap w:val="0"/>
                  <w:vAlign w:val="center"/>
                </w:tcPr>
                <w:p w14:paraId="4C367D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是否为可行性技术</w:t>
                  </w:r>
                </w:p>
              </w:tc>
              <w:tc>
                <w:tcPr>
                  <w:tcW w:w="1111" w:type="pct"/>
                  <w:gridSpan w:val="4"/>
                  <w:tcBorders>
                    <w:tl2br w:val="nil"/>
                    <w:tr2bl w:val="nil"/>
                  </w:tcBorders>
                  <w:noWrap w:val="0"/>
                  <w:vAlign w:val="center"/>
                </w:tcPr>
                <w:p w14:paraId="3809C4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污染物排放</w:t>
                  </w:r>
                </w:p>
              </w:tc>
              <w:tc>
                <w:tcPr>
                  <w:tcW w:w="204" w:type="pct"/>
                  <w:vMerge w:val="restart"/>
                  <w:tcBorders>
                    <w:tl2br w:val="nil"/>
                    <w:tr2bl w:val="nil"/>
                  </w:tcBorders>
                  <w:noWrap w:val="0"/>
                  <w:vAlign w:val="center"/>
                </w:tcPr>
                <w:p w14:paraId="643452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排放时间h</w:t>
                  </w:r>
                </w:p>
              </w:tc>
            </w:tr>
            <w:tr w14:paraId="6B15D195">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tcBorders>
                    <w:tl2br w:val="nil"/>
                    <w:tr2bl w:val="nil"/>
                  </w:tcBorders>
                  <w:noWrap w:val="0"/>
                  <w:vAlign w:val="center"/>
                </w:tcPr>
                <w:p w14:paraId="7B6715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23" w:type="pct"/>
                  <w:vMerge w:val="continue"/>
                  <w:tcBorders>
                    <w:tl2br w:val="nil"/>
                    <w:tr2bl w:val="nil"/>
                  </w:tcBorders>
                  <w:noWrap w:val="0"/>
                  <w:vAlign w:val="center"/>
                </w:tcPr>
                <w:p w14:paraId="336D64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73" w:type="pct"/>
                  <w:vMerge w:val="continue"/>
                  <w:tcBorders>
                    <w:tl2br w:val="nil"/>
                    <w:tr2bl w:val="nil"/>
                  </w:tcBorders>
                  <w:noWrap w:val="0"/>
                  <w:vAlign w:val="center"/>
                </w:tcPr>
                <w:p w14:paraId="48580C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35" w:type="pct"/>
                  <w:vMerge w:val="continue"/>
                  <w:tcBorders>
                    <w:tl2br w:val="nil"/>
                    <w:tr2bl w:val="nil"/>
                  </w:tcBorders>
                  <w:noWrap w:val="0"/>
                  <w:vAlign w:val="center"/>
                </w:tcPr>
                <w:p w14:paraId="64FFD0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475" w:type="pct"/>
                  <w:tcBorders>
                    <w:tl2br w:val="nil"/>
                    <w:tr2bl w:val="nil"/>
                  </w:tcBorders>
                  <w:noWrap w:val="0"/>
                  <w:vAlign w:val="center"/>
                </w:tcPr>
                <w:p w14:paraId="367BC4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核算</w:t>
                  </w:r>
                </w:p>
                <w:p w14:paraId="200148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方法</w:t>
                  </w:r>
                </w:p>
              </w:tc>
              <w:tc>
                <w:tcPr>
                  <w:tcW w:w="363" w:type="pct"/>
                  <w:tcBorders>
                    <w:tl2br w:val="nil"/>
                    <w:tr2bl w:val="nil"/>
                  </w:tcBorders>
                  <w:noWrap w:val="0"/>
                  <w:vAlign w:val="center"/>
                </w:tcPr>
                <w:p w14:paraId="02BD15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废气产生量</w:t>
                  </w:r>
                  <w:r>
                    <w:rPr>
                      <w:rFonts w:hint="default" w:ascii="Times New Roman" w:hAnsi="Times New Roman" w:eastAsia="宋体" w:cs="Times New Roman"/>
                      <w:color w:val="auto"/>
                      <w:spacing w:val="0"/>
                      <w:sz w:val="21"/>
                      <w:szCs w:val="21"/>
                      <w:highlight w:val="none"/>
                      <w:lang w:eastAsia="zh-CN"/>
                    </w:rPr>
                    <w:t>m</w:t>
                  </w:r>
                  <w:r>
                    <w:rPr>
                      <w:rFonts w:hint="default" w:ascii="Times New Roman" w:hAnsi="Times New Roman" w:eastAsia="宋体" w:cs="Times New Roman"/>
                      <w:caps w:val="0"/>
                      <w:smallCaps w:val="0"/>
                      <w:strike w:val="0"/>
                      <w:dstrike w:val="0"/>
                      <w:vanish w:val="0"/>
                      <w:color w:val="auto"/>
                      <w:spacing w:val="0"/>
                      <w:sz w:val="21"/>
                      <w:szCs w:val="21"/>
                      <w:highlight w:val="none"/>
                      <w:vertAlign w:val="superscript"/>
                      <w:lang w:eastAsia="zh-CN"/>
                    </w:rPr>
                    <w:t>3</w:t>
                  </w:r>
                  <w:r>
                    <w:rPr>
                      <w:rFonts w:hint="default" w:ascii="Times New Roman" w:hAnsi="Times New Roman" w:eastAsia="宋体" w:cs="Times New Roman"/>
                      <w:color w:val="auto"/>
                      <w:spacing w:val="0"/>
                      <w:sz w:val="21"/>
                      <w:szCs w:val="21"/>
                      <w:highlight w:val="none"/>
                    </w:rPr>
                    <w:t>/a</w:t>
                  </w:r>
                </w:p>
              </w:tc>
              <w:tc>
                <w:tcPr>
                  <w:tcW w:w="385" w:type="pct"/>
                  <w:tcBorders>
                    <w:tl2br w:val="nil"/>
                    <w:tr2bl w:val="nil"/>
                  </w:tcBorders>
                  <w:noWrap w:val="0"/>
                  <w:vAlign w:val="center"/>
                </w:tcPr>
                <w:p w14:paraId="3810D2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产生浓度mg/</w:t>
                  </w:r>
                  <w:r>
                    <w:rPr>
                      <w:rFonts w:hint="default" w:ascii="Times New Roman" w:hAnsi="Times New Roman" w:eastAsia="宋体" w:cs="Times New Roman"/>
                      <w:color w:val="auto"/>
                      <w:spacing w:val="0"/>
                      <w:sz w:val="21"/>
                      <w:szCs w:val="21"/>
                      <w:highlight w:val="none"/>
                      <w:lang w:eastAsia="zh-CN"/>
                    </w:rPr>
                    <w:t>m</w:t>
                  </w:r>
                  <w:r>
                    <w:rPr>
                      <w:rFonts w:hint="default" w:ascii="Times New Roman" w:hAnsi="Times New Roman" w:eastAsia="宋体" w:cs="Times New Roman"/>
                      <w:caps w:val="0"/>
                      <w:smallCaps w:val="0"/>
                      <w:strike w:val="0"/>
                      <w:dstrike w:val="0"/>
                      <w:vanish w:val="0"/>
                      <w:color w:val="auto"/>
                      <w:spacing w:val="0"/>
                      <w:sz w:val="21"/>
                      <w:szCs w:val="21"/>
                      <w:highlight w:val="none"/>
                      <w:vertAlign w:val="superscript"/>
                      <w:lang w:eastAsia="zh-CN"/>
                    </w:rPr>
                    <w:t>3</w:t>
                  </w:r>
                </w:p>
              </w:tc>
              <w:tc>
                <w:tcPr>
                  <w:tcW w:w="363" w:type="pct"/>
                  <w:tcBorders>
                    <w:tl2br w:val="nil"/>
                    <w:tr2bl w:val="nil"/>
                  </w:tcBorders>
                  <w:noWrap w:val="0"/>
                  <w:vAlign w:val="center"/>
                </w:tcPr>
                <w:p w14:paraId="2EF743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产生量</w:t>
                  </w:r>
                  <w:r>
                    <w:rPr>
                      <w:rFonts w:hint="default" w:ascii="Times New Roman" w:hAnsi="Times New Roman" w:cs="Times New Roman"/>
                      <w:color w:val="auto"/>
                      <w:spacing w:val="0"/>
                      <w:sz w:val="21"/>
                      <w:szCs w:val="21"/>
                      <w:highlight w:val="none"/>
                      <w:lang w:val="en-US" w:eastAsia="zh-CN"/>
                    </w:rPr>
                    <w:t>kg/h</w:t>
                  </w:r>
                </w:p>
              </w:tc>
              <w:tc>
                <w:tcPr>
                  <w:tcW w:w="396" w:type="pct"/>
                  <w:tcBorders>
                    <w:tl2br w:val="nil"/>
                    <w:tr2bl w:val="nil"/>
                  </w:tcBorders>
                  <w:noWrap w:val="0"/>
                  <w:vAlign w:val="center"/>
                </w:tcPr>
                <w:p w14:paraId="19BB17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工艺</w:t>
                  </w:r>
                </w:p>
              </w:tc>
              <w:tc>
                <w:tcPr>
                  <w:tcW w:w="374" w:type="pct"/>
                  <w:tcBorders>
                    <w:tl2br w:val="nil"/>
                    <w:tr2bl w:val="nil"/>
                  </w:tcBorders>
                  <w:noWrap w:val="0"/>
                  <w:vAlign w:val="center"/>
                </w:tcPr>
                <w:p w14:paraId="679DEA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效率%</w:t>
                  </w:r>
                </w:p>
              </w:tc>
              <w:tc>
                <w:tcPr>
                  <w:tcW w:w="301" w:type="pct"/>
                  <w:vMerge w:val="continue"/>
                  <w:tcBorders>
                    <w:tl2br w:val="nil"/>
                    <w:tr2bl w:val="nil"/>
                  </w:tcBorders>
                  <w:noWrap w:val="0"/>
                  <w:vAlign w:val="center"/>
                </w:tcPr>
                <w:p w14:paraId="5F7788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72" w:type="pct"/>
                  <w:tcBorders>
                    <w:tl2br w:val="nil"/>
                    <w:tr2bl w:val="nil"/>
                  </w:tcBorders>
                  <w:noWrap w:val="0"/>
                  <w:vAlign w:val="center"/>
                </w:tcPr>
                <w:p w14:paraId="4F9044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核算</w:t>
                  </w:r>
                </w:p>
                <w:p w14:paraId="35AFE1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方法</w:t>
                  </w:r>
                </w:p>
              </w:tc>
              <w:tc>
                <w:tcPr>
                  <w:tcW w:w="245" w:type="pct"/>
                  <w:tcBorders>
                    <w:tl2br w:val="nil"/>
                    <w:tr2bl w:val="nil"/>
                  </w:tcBorders>
                  <w:noWrap w:val="0"/>
                  <w:vAlign w:val="center"/>
                </w:tcPr>
                <w:p w14:paraId="4BB6BC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废气产生量</w:t>
                  </w:r>
                  <w:r>
                    <w:rPr>
                      <w:rFonts w:hint="default" w:ascii="Times New Roman" w:hAnsi="Times New Roman" w:eastAsia="宋体" w:cs="Times New Roman"/>
                      <w:color w:val="auto"/>
                      <w:spacing w:val="0"/>
                      <w:sz w:val="21"/>
                      <w:szCs w:val="21"/>
                      <w:highlight w:val="none"/>
                      <w:lang w:eastAsia="zh-CN"/>
                    </w:rPr>
                    <w:t>m</w:t>
                  </w:r>
                  <w:r>
                    <w:rPr>
                      <w:rFonts w:hint="default" w:ascii="Times New Roman" w:hAnsi="Times New Roman" w:eastAsia="宋体" w:cs="Times New Roman"/>
                      <w:caps w:val="0"/>
                      <w:smallCaps w:val="0"/>
                      <w:strike w:val="0"/>
                      <w:dstrike w:val="0"/>
                      <w:vanish w:val="0"/>
                      <w:color w:val="auto"/>
                      <w:spacing w:val="0"/>
                      <w:sz w:val="21"/>
                      <w:szCs w:val="21"/>
                      <w:highlight w:val="none"/>
                      <w:vertAlign w:val="superscript"/>
                      <w:lang w:eastAsia="zh-CN"/>
                    </w:rPr>
                    <w:t>3</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highlight w:val="none"/>
                      <w:lang w:val="en-US" w:eastAsia="zh-CN"/>
                    </w:rPr>
                    <w:t>a</w:t>
                  </w:r>
                </w:p>
              </w:tc>
              <w:tc>
                <w:tcPr>
                  <w:tcW w:w="308" w:type="pct"/>
                  <w:tcBorders>
                    <w:tl2br w:val="nil"/>
                    <w:tr2bl w:val="nil"/>
                  </w:tcBorders>
                  <w:noWrap w:val="0"/>
                  <w:vAlign w:val="center"/>
                </w:tcPr>
                <w:p w14:paraId="3045BA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排放浓度</w:t>
                  </w:r>
                </w:p>
                <w:p w14:paraId="71E97D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mg/</w:t>
                  </w:r>
                  <w:r>
                    <w:rPr>
                      <w:rFonts w:hint="default" w:ascii="Times New Roman" w:hAnsi="Times New Roman" w:eastAsia="宋体" w:cs="Times New Roman"/>
                      <w:color w:val="auto"/>
                      <w:spacing w:val="0"/>
                      <w:sz w:val="21"/>
                      <w:szCs w:val="21"/>
                      <w:highlight w:val="none"/>
                      <w:lang w:eastAsia="zh-CN"/>
                    </w:rPr>
                    <w:t>m</w:t>
                  </w:r>
                  <w:r>
                    <w:rPr>
                      <w:rFonts w:hint="default" w:ascii="Times New Roman" w:hAnsi="Times New Roman" w:eastAsia="宋体" w:cs="Times New Roman"/>
                      <w:caps w:val="0"/>
                      <w:smallCaps w:val="0"/>
                      <w:strike w:val="0"/>
                      <w:dstrike w:val="0"/>
                      <w:vanish w:val="0"/>
                      <w:color w:val="auto"/>
                      <w:spacing w:val="0"/>
                      <w:sz w:val="21"/>
                      <w:szCs w:val="21"/>
                      <w:highlight w:val="none"/>
                      <w:vertAlign w:val="superscript"/>
                      <w:lang w:eastAsia="zh-CN"/>
                    </w:rPr>
                    <w:t>3</w:t>
                  </w:r>
                </w:p>
              </w:tc>
              <w:tc>
                <w:tcPr>
                  <w:tcW w:w="285" w:type="pct"/>
                  <w:tcBorders>
                    <w:tl2br w:val="nil"/>
                    <w:tr2bl w:val="nil"/>
                  </w:tcBorders>
                  <w:noWrap w:val="0"/>
                  <w:vAlign w:val="center"/>
                </w:tcPr>
                <w:p w14:paraId="7F2B85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排放量</w:t>
                  </w:r>
                </w:p>
                <w:p w14:paraId="6D9415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t/a</w:t>
                  </w:r>
                </w:p>
              </w:tc>
              <w:tc>
                <w:tcPr>
                  <w:tcW w:w="204" w:type="pct"/>
                  <w:vMerge w:val="continue"/>
                  <w:tcBorders>
                    <w:tl2br w:val="nil"/>
                    <w:tr2bl w:val="nil"/>
                  </w:tcBorders>
                  <w:noWrap w:val="0"/>
                  <w:vAlign w:val="center"/>
                </w:tcPr>
                <w:p w14:paraId="7CA65F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r>
            <w:tr w14:paraId="7F6CEEEE">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restart"/>
                  <w:tcBorders>
                    <w:tl2br w:val="nil"/>
                    <w:tr2bl w:val="nil"/>
                  </w:tcBorders>
                  <w:noWrap w:val="0"/>
                  <w:vAlign w:val="center"/>
                </w:tcPr>
                <w:p w14:paraId="7E7F7B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锅炉房</w:t>
                  </w:r>
                </w:p>
              </w:tc>
              <w:tc>
                <w:tcPr>
                  <w:tcW w:w="223" w:type="pct"/>
                  <w:vMerge w:val="restart"/>
                  <w:tcBorders>
                    <w:tl2br w:val="nil"/>
                    <w:tr2bl w:val="nil"/>
                  </w:tcBorders>
                  <w:noWrap w:val="0"/>
                  <w:vAlign w:val="center"/>
                </w:tcPr>
                <w:p w14:paraId="7DB10F4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cs="Times New Roman"/>
                      <w:color w:val="auto"/>
                      <w:spacing w:val="0"/>
                      <w:sz w:val="21"/>
                      <w:szCs w:val="21"/>
                      <w:highlight w:val="none"/>
                      <w:lang w:val="en-US" w:eastAsia="zh-CN"/>
                    </w:rPr>
                    <w:t>6t/h</w:t>
                  </w:r>
                  <w:r>
                    <w:rPr>
                      <w:rFonts w:hint="default" w:ascii="Times New Roman" w:hAnsi="Times New Roman" w:eastAsia="宋体" w:cs="Times New Roman"/>
                      <w:color w:val="auto"/>
                      <w:spacing w:val="0"/>
                      <w:sz w:val="21"/>
                      <w:szCs w:val="21"/>
                      <w:highlight w:val="none"/>
                      <w:lang w:val="en-US" w:eastAsia="zh-CN"/>
                    </w:rPr>
                    <w:t>锅炉</w:t>
                  </w:r>
                </w:p>
              </w:tc>
              <w:tc>
                <w:tcPr>
                  <w:tcW w:w="273" w:type="pct"/>
                  <w:vMerge w:val="restart"/>
                  <w:tcBorders>
                    <w:tl2br w:val="nil"/>
                    <w:tr2bl w:val="nil"/>
                  </w:tcBorders>
                  <w:noWrap w:val="0"/>
                  <w:vAlign w:val="center"/>
                </w:tcPr>
                <w:p w14:paraId="3874A4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cs="Times New Roman"/>
                      <w:color w:val="auto"/>
                      <w:spacing w:val="0"/>
                      <w:sz w:val="21"/>
                      <w:szCs w:val="21"/>
                      <w:highlight w:val="none"/>
                      <w:lang w:val="en-US" w:eastAsia="zh-CN"/>
                    </w:rPr>
                    <w:t>35</w:t>
                  </w:r>
                  <w:r>
                    <w:rPr>
                      <w:rFonts w:hint="default" w:ascii="Times New Roman" w:hAnsi="Times New Roman" w:eastAsia="宋体" w:cs="Times New Roman"/>
                      <w:color w:val="auto"/>
                      <w:spacing w:val="0"/>
                      <w:sz w:val="21"/>
                      <w:szCs w:val="21"/>
                      <w:highlight w:val="none"/>
                    </w:rPr>
                    <w:t>米高烟囱</w:t>
                  </w:r>
                </w:p>
              </w:tc>
              <w:tc>
                <w:tcPr>
                  <w:tcW w:w="335" w:type="pct"/>
                  <w:tcBorders>
                    <w:tl2br w:val="nil"/>
                    <w:tr2bl w:val="nil"/>
                  </w:tcBorders>
                  <w:noWrap w:val="0"/>
                  <w:vAlign w:val="center"/>
                </w:tcPr>
                <w:p w14:paraId="11C9DF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21"/>
                      <w:sz w:val="21"/>
                      <w:szCs w:val="21"/>
                      <w:highlight w:val="none"/>
                    </w:rPr>
                    <w:t>颗粒物</w:t>
                  </w:r>
                </w:p>
              </w:tc>
              <w:tc>
                <w:tcPr>
                  <w:tcW w:w="475" w:type="pct"/>
                  <w:tcBorders>
                    <w:tl2br w:val="nil"/>
                    <w:tr2bl w:val="nil"/>
                  </w:tcBorders>
                  <w:noWrap w:val="0"/>
                  <w:vAlign w:val="center"/>
                </w:tcPr>
                <w:p w14:paraId="476F5E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物料衡算法</w:t>
                  </w:r>
                </w:p>
              </w:tc>
              <w:tc>
                <w:tcPr>
                  <w:tcW w:w="363" w:type="pct"/>
                  <w:vMerge w:val="restart"/>
                  <w:tcBorders>
                    <w:tl2br w:val="nil"/>
                    <w:tr2bl w:val="nil"/>
                  </w:tcBorders>
                  <w:noWrap w:val="0"/>
                  <w:vAlign w:val="center"/>
                </w:tcPr>
                <w:p w14:paraId="492711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cs="Times New Roman"/>
                      <w:color w:val="auto"/>
                      <w:spacing w:val="0"/>
                      <w:sz w:val="21"/>
                      <w:szCs w:val="21"/>
                      <w:highlight w:val="none"/>
                      <w:lang w:val="en-US" w:eastAsia="zh-CN"/>
                    </w:rPr>
                    <w:t>23247797.96448</w:t>
                  </w:r>
                </w:p>
              </w:tc>
              <w:tc>
                <w:tcPr>
                  <w:tcW w:w="385" w:type="pct"/>
                  <w:tcBorders>
                    <w:tl2br w:val="nil"/>
                    <w:tr2bl w:val="nil"/>
                  </w:tcBorders>
                  <w:noWrap w:val="0"/>
                  <w:vAlign w:val="center"/>
                </w:tcPr>
                <w:p w14:paraId="779689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1459.37</w:t>
                  </w:r>
                </w:p>
              </w:tc>
              <w:tc>
                <w:tcPr>
                  <w:tcW w:w="363" w:type="pct"/>
                  <w:tcBorders>
                    <w:tl2br w:val="nil"/>
                    <w:tr2bl w:val="nil"/>
                  </w:tcBorders>
                  <w:noWrap w:val="0"/>
                  <w:vAlign w:val="center"/>
                </w:tcPr>
                <w:p w14:paraId="0EF63F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11.78</w:t>
                  </w:r>
                </w:p>
              </w:tc>
              <w:tc>
                <w:tcPr>
                  <w:tcW w:w="396" w:type="pct"/>
                  <w:tcBorders>
                    <w:tl2br w:val="nil"/>
                    <w:tr2bl w:val="nil"/>
                  </w:tcBorders>
                  <w:noWrap w:val="0"/>
                  <w:vAlign w:val="center"/>
                </w:tcPr>
                <w:p w14:paraId="3372D0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旋风除尘+布袋除尘器</w:t>
                  </w:r>
                </w:p>
              </w:tc>
              <w:tc>
                <w:tcPr>
                  <w:tcW w:w="374" w:type="pct"/>
                  <w:tcBorders>
                    <w:tl2br w:val="nil"/>
                    <w:tr2bl w:val="nil"/>
                  </w:tcBorders>
                  <w:noWrap w:val="0"/>
                  <w:vAlign w:val="center"/>
                </w:tcPr>
                <w:p w14:paraId="07C2ED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kern w:val="21"/>
                      <w:sz w:val="21"/>
                      <w:szCs w:val="21"/>
                      <w:highlight w:val="none"/>
                      <w:lang w:val="en-US" w:eastAsia="zh-CN"/>
                    </w:rPr>
                    <w:t>99.7</w:t>
                  </w:r>
                </w:p>
              </w:tc>
              <w:tc>
                <w:tcPr>
                  <w:tcW w:w="301" w:type="pct"/>
                  <w:tcBorders>
                    <w:tl2br w:val="nil"/>
                    <w:tr2bl w:val="nil"/>
                  </w:tcBorders>
                  <w:noWrap w:val="0"/>
                  <w:vAlign w:val="center"/>
                </w:tcPr>
                <w:p w14:paraId="74A0E0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是</w:t>
                  </w:r>
                </w:p>
              </w:tc>
              <w:tc>
                <w:tcPr>
                  <w:tcW w:w="272" w:type="pct"/>
                  <w:tcBorders>
                    <w:tl2br w:val="nil"/>
                    <w:tr2bl w:val="nil"/>
                  </w:tcBorders>
                  <w:noWrap w:val="0"/>
                  <w:vAlign w:val="center"/>
                </w:tcPr>
                <w:p w14:paraId="6340A6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物料衡算法</w:t>
                  </w:r>
                </w:p>
              </w:tc>
              <w:tc>
                <w:tcPr>
                  <w:tcW w:w="245" w:type="pct"/>
                  <w:vMerge w:val="restart"/>
                  <w:tcBorders>
                    <w:tl2br w:val="nil"/>
                    <w:tr2bl w:val="nil"/>
                  </w:tcBorders>
                  <w:noWrap w:val="0"/>
                  <w:vAlign w:val="center"/>
                </w:tcPr>
                <w:p w14:paraId="677E01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rPr>
                  </w:pPr>
                  <w:r>
                    <w:rPr>
                      <w:rFonts w:hint="eastAsia" w:ascii="Times New Roman" w:hAnsi="Times New Roman" w:cs="Times New Roman"/>
                      <w:color w:val="auto"/>
                      <w:spacing w:val="0"/>
                      <w:sz w:val="21"/>
                      <w:szCs w:val="21"/>
                      <w:highlight w:val="none"/>
                      <w:lang w:val="en-US" w:eastAsia="zh-CN"/>
                    </w:rPr>
                    <w:t>23247797.96448</w:t>
                  </w:r>
                </w:p>
              </w:tc>
              <w:tc>
                <w:tcPr>
                  <w:tcW w:w="308" w:type="pct"/>
                  <w:tcBorders>
                    <w:tl2br w:val="nil"/>
                    <w:tr2bl w:val="nil"/>
                  </w:tcBorders>
                  <w:noWrap w:val="0"/>
                  <w:vAlign w:val="center"/>
                </w:tcPr>
                <w:p w14:paraId="50FB32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4.378</w:t>
                  </w:r>
                </w:p>
              </w:tc>
              <w:tc>
                <w:tcPr>
                  <w:tcW w:w="285" w:type="pct"/>
                  <w:tcBorders>
                    <w:tl2br w:val="nil"/>
                    <w:tr2bl w:val="nil"/>
                  </w:tcBorders>
                  <w:noWrap w:val="0"/>
                  <w:vAlign w:val="center"/>
                </w:tcPr>
                <w:p w14:paraId="11222A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0.102</w:t>
                  </w:r>
                </w:p>
              </w:tc>
              <w:tc>
                <w:tcPr>
                  <w:tcW w:w="204" w:type="pct"/>
                  <w:vMerge w:val="restart"/>
                  <w:tcBorders>
                    <w:tl2br w:val="nil"/>
                    <w:tr2bl w:val="nil"/>
                  </w:tcBorders>
                  <w:noWrap w:val="0"/>
                  <w:vAlign w:val="center"/>
                </w:tcPr>
                <w:p w14:paraId="7B5967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2880</w:t>
                  </w:r>
                </w:p>
              </w:tc>
            </w:tr>
            <w:tr w14:paraId="4135D15A">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tcBorders>
                    <w:tl2br w:val="nil"/>
                    <w:tr2bl w:val="nil"/>
                  </w:tcBorders>
                  <w:noWrap w:val="0"/>
                  <w:vAlign w:val="center"/>
                </w:tcPr>
                <w:p w14:paraId="2B46261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23" w:type="pct"/>
                  <w:vMerge w:val="continue"/>
                  <w:tcBorders>
                    <w:tl2br w:val="nil"/>
                    <w:tr2bl w:val="nil"/>
                  </w:tcBorders>
                  <w:noWrap w:val="0"/>
                  <w:vAlign w:val="center"/>
                </w:tcPr>
                <w:p w14:paraId="6CEDEC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73" w:type="pct"/>
                  <w:vMerge w:val="continue"/>
                  <w:tcBorders>
                    <w:tl2br w:val="nil"/>
                    <w:tr2bl w:val="nil"/>
                  </w:tcBorders>
                  <w:noWrap w:val="0"/>
                  <w:vAlign w:val="center"/>
                </w:tcPr>
                <w:p w14:paraId="09B67A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35" w:type="pct"/>
                  <w:tcBorders>
                    <w:tl2br w:val="nil"/>
                    <w:tr2bl w:val="nil"/>
                  </w:tcBorders>
                  <w:noWrap w:val="0"/>
                  <w:vAlign w:val="center"/>
                </w:tcPr>
                <w:p w14:paraId="3B02DB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21"/>
                      <w:sz w:val="21"/>
                      <w:szCs w:val="21"/>
                      <w:highlight w:val="none"/>
                    </w:rPr>
                    <w:t>SO</w:t>
                  </w:r>
                  <w:r>
                    <w:rPr>
                      <w:rFonts w:hint="default" w:ascii="Times New Roman" w:hAnsi="Times New Roman" w:eastAsia="宋体" w:cs="Times New Roman"/>
                      <w:color w:val="auto"/>
                      <w:spacing w:val="0"/>
                      <w:kern w:val="21"/>
                      <w:sz w:val="21"/>
                      <w:szCs w:val="21"/>
                      <w:highlight w:val="none"/>
                      <w:vertAlign w:val="subscript"/>
                    </w:rPr>
                    <w:t>2</w:t>
                  </w:r>
                </w:p>
              </w:tc>
              <w:tc>
                <w:tcPr>
                  <w:tcW w:w="475" w:type="pct"/>
                  <w:tcBorders>
                    <w:tl2br w:val="nil"/>
                    <w:tr2bl w:val="nil"/>
                  </w:tcBorders>
                  <w:noWrap w:val="0"/>
                  <w:vAlign w:val="center"/>
                </w:tcPr>
                <w:p w14:paraId="6B3F2C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物料衡算法</w:t>
                  </w:r>
                </w:p>
              </w:tc>
              <w:tc>
                <w:tcPr>
                  <w:tcW w:w="363" w:type="pct"/>
                  <w:vMerge w:val="continue"/>
                  <w:tcBorders>
                    <w:tl2br w:val="nil"/>
                    <w:tr2bl w:val="nil"/>
                  </w:tcBorders>
                  <w:noWrap w:val="0"/>
                  <w:vAlign w:val="center"/>
                </w:tcPr>
                <w:p w14:paraId="72376B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85" w:type="pct"/>
                  <w:tcBorders>
                    <w:tl2br w:val="nil"/>
                    <w:tr2bl w:val="nil"/>
                  </w:tcBorders>
                  <w:noWrap w:val="0"/>
                  <w:vAlign w:val="center"/>
                </w:tcPr>
                <w:p w14:paraId="74419F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84.37</w:t>
                  </w:r>
                </w:p>
              </w:tc>
              <w:tc>
                <w:tcPr>
                  <w:tcW w:w="363" w:type="pct"/>
                  <w:tcBorders>
                    <w:tl2br w:val="nil"/>
                    <w:tr2bl w:val="nil"/>
                  </w:tcBorders>
                  <w:noWrap w:val="0"/>
                  <w:vAlign w:val="center"/>
                </w:tcPr>
                <w:p w14:paraId="6B2AEA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0.681</w:t>
                  </w:r>
                </w:p>
              </w:tc>
              <w:tc>
                <w:tcPr>
                  <w:tcW w:w="396" w:type="pct"/>
                  <w:tcBorders>
                    <w:tl2br w:val="nil"/>
                    <w:tr2bl w:val="nil"/>
                  </w:tcBorders>
                  <w:noWrap w:val="0"/>
                  <w:vAlign w:val="center"/>
                </w:tcPr>
                <w:p w14:paraId="1544CC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374" w:type="pct"/>
                  <w:tcBorders>
                    <w:tl2br w:val="nil"/>
                    <w:tr2bl w:val="nil"/>
                  </w:tcBorders>
                  <w:noWrap w:val="0"/>
                  <w:vAlign w:val="center"/>
                </w:tcPr>
                <w:p w14:paraId="2B7D11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21"/>
                      <w:sz w:val="21"/>
                      <w:szCs w:val="21"/>
                      <w:highlight w:val="none"/>
                    </w:rPr>
                    <w:t>/</w:t>
                  </w:r>
                </w:p>
              </w:tc>
              <w:tc>
                <w:tcPr>
                  <w:tcW w:w="301" w:type="pct"/>
                  <w:tcBorders>
                    <w:tl2br w:val="nil"/>
                    <w:tr2bl w:val="nil"/>
                  </w:tcBorders>
                  <w:noWrap w:val="0"/>
                  <w:vAlign w:val="center"/>
                </w:tcPr>
                <w:p w14:paraId="669AFE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272" w:type="pct"/>
                  <w:tcBorders>
                    <w:tl2br w:val="nil"/>
                    <w:tr2bl w:val="nil"/>
                  </w:tcBorders>
                  <w:noWrap w:val="0"/>
                  <w:vAlign w:val="center"/>
                </w:tcPr>
                <w:p w14:paraId="1EBF42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物料衡算法</w:t>
                  </w:r>
                </w:p>
              </w:tc>
              <w:tc>
                <w:tcPr>
                  <w:tcW w:w="245" w:type="pct"/>
                  <w:vMerge w:val="continue"/>
                  <w:tcBorders>
                    <w:tl2br w:val="nil"/>
                    <w:tr2bl w:val="nil"/>
                  </w:tcBorders>
                  <w:noWrap w:val="0"/>
                  <w:vAlign w:val="center"/>
                </w:tcPr>
                <w:p w14:paraId="3223E4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827" w:type="dxa"/>
                  <w:tcBorders>
                    <w:tl2br w:val="nil"/>
                    <w:tr2bl w:val="nil"/>
                  </w:tcBorders>
                  <w:noWrap w:val="0"/>
                  <w:vAlign w:val="center"/>
                </w:tcPr>
                <w:p w14:paraId="282A1C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84.37</w:t>
                  </w:r>
                </w:p>
              </w:tc>
              <w:tc>
                <w:tcPr>
                  <w:tcW w:w="766" w:type="dxa"/>
                  <w:tcBorders>
                    <w:tl2br w:val="nil"/>
                    <w:tr2bl w:val="nil"/>
                  </w:tcBorders>
                  <w:noWrap w:val="0"/>
                  <w:vAlign w:val="center"/>
                </w:tcPr>
                <w:p w14:paraId="7B6AA9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1.962</w:t>
                  </w:r>
                </w:p>
              </w:tc>
              <w:tc>
                <w:tcPr>
                  <w:tcW w:w="204" w:type="pct"/>
                  <w:vMerge w:val="continue"/>
                  <w:tcBorders>
                    <w:tl2br w:val="nil"/>
                    <w:tr2bl w:val="nil"/>
                  </w:tcBorders>
                  <w:noWrap w:val="0"/>
                  <w:vAlign w:val="center"/>
                </w:tcPr>
                <w:p w14:paraId="2DF5FD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r>
            <w:tr w14:paraId="7FFCA2E8">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tcBorders>
                    <w:tl2br w:val="nil"/>
                    <w:tr2bl w:val="nil"/>
                  </w:tcBorders>
                  <w:noWrap w:val="0"/>
                  <w:vAlign w:val="center"/>
                </w:tcPr>
                <w:p w14:paraId="7D613E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23" w:type="pct"/>
                  <w:vMerge w:val="continue"/>
                  <w:tcBorders>
                    <w:tl2br w:val="nil"/>
                    <w:tr2bl w:val="nil"/>
                  </w:tcBorders>
                  <w:noWrap w:val="0"/>
                  <w:vAlign w:val="center"/>
                </w:tcPr>
                <w:p w14:paraId="77EB6F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73" w:type="pct"/>
                  <w:vMerge w:val="continue"/>
                  <w:tcBorders>
                    <w:tl2br w:val="nil"/>
                    <w:tr2bl w:val="nil"/>
                  </w:tcBorders>
                  <w:noWrap w:val="0"/>
                  <w:vAlign w:val="center"/>
                </w:tcPr>
                <w:p w14:paraId="2E3749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35" w:type="pct"/>
                  <w:tcBorders>
                    <w:tl2br w:val="nil"/>
                    <w:tr2bl w:val="nil"/>
                  </w:tcBorders>
                  <w:noWrap w:val="0"/>
                  <w:vAlign w:val="center"/>
                </w:tcPr>
                <w:p w14:paraId="663296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kern w:val="21"/>
                      <w:sz w:val="21"/>
                      <w:szCs w:val="21"/>
                      <w:highlight w:val="none"/>
                    </w:rPr>
                    <w:t>NO</w:t>
                  </w:r>
                  <w:r>
                    <w:rPr>
                      <w:rFonts w:hint="default" w:ascii="Times New Roman" w:hAnsi="Times New Roman" w:eastAsia="宋体" w:cs="Times New Roman"/>
                      <w:color w:val="auto"/>
                      <w:spacing w:val="0"/>
                      <w:kern w:val="21"/>
                      <w:sz w:val="21"/>
                      <w:szCs w:val="21"/>
                      <w:highlight w:val="none"/>
                      <w:vertAlign w:val="subscript"/>
                    </w:rPr>
                    <w:t>X</w:t>
                  </w:r>
                </w:p>
              </w:tc>
              <w:tc>
                <w:tcPr>
                  <w:tcW w:w="475" w:type="pct"/>
                  <w:tcBorders>
                    <w:tl2br w:val="nil"/>
                    <w:tr2bl w:val="nil"/>
                  </w:tcBorders>
                  <w:noWrap w:val="0"/>
                  <w:vAlign w:val="center"/>
                </w:tcPr>
                <w:p w14:paraId="0EAE71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物料衡算法</w:t>
                  </w:r>
                </w:p>
              </w:tc>
              <w:tc>
                <w:tcPr>
                  <w:tcW w:w="363" w:type="pct"/>
                  <w:vMerge w:val="continue"/>
                  <w:tcBorders>
                    <w:tl2br w:val="nil"/>
                    <w:tr2bl w:val="nil"/>
                  </w:tcBorders>
                  <w:noWrap w:val="0"/>
                  <w:vAlign w:val="center"/>
                </w:tcPr>
                <w:p w14:paraId="4ADB1E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85" w:type="pct"/>
                  <w:tcBorders>
                    <w:tl2br w:val="nil"/>
                    <w:tr2bl w:val="nil"/>
                  </w:tcBorders>
                  <w:noWrap w:val="0"/>
                  <w:vAlign w:val="center"/>
                </w:tcPr>
                <w:p w14:paraId="2412DB4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210</w:t>
                  </w:r>
                </w:p>
              </w:tc>
              <w:tc>
                <w:tcPr>
                  <w:tcW w:w="363" w:type="pct"/>
                  <w:tcBorders>
                    <w:tl2br w:val="nil"/>
                    <w:tr2bl w:val="nil"/>
                  </w:tcBorders>
                  <w:noWrap w:val="0"/>
                  <w:vAlign w:val="center"/>
                </w:tcPr>
                <w:p w14:paraId="609B24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2.18</w:t>
                  </w:r>
                </w:p>
              </w:tc>
              <w:tc>
                <w:tcPr>
                  <w:tcW w:w="396" w:type="pct"/>
                  <w:tcBorders>
                    <w:tl2br w:val="nil"/>
                    <w:tr2bl w:val="nil"/>
                  </w:tcBorders>
                  <w:noWrap w:val="0"/>
                  <w:vAlign w:val="center"/>
                </w:tcPr>
                <w:p w14:paraId="7D7D4BA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eastAsia="zh-CN"/>
                    </w:rPr>
                    <w:t>低氮燃烧</w:t>
                  </w:r>
                </w:p>
              </w:tc>
              <w:tc>
                <w:tcPr>
                  <w:tcW w:w="374" w:type="pct"/>
                  <w:tcBorders>
                    <w:tl2br w:val="nil"/>
                    <w:tr2bl w:val="nil"/>
                  </w:tcBorders>
                  <w:noWrap w:val="0"/>
                  <w:vAlign w:val="center"/>
                </w:tcPr>
                <w:p w14:paraId="6A7D37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kern w:val="21"/>
                      <w:sz w:val="21"/>
                      <w:szCs w:val="21"/>
                      <w:highlight w:val="none"/>
                      <w:lang w:val="en-US" w:eastAsia="zh-CN"/>
                    </w:rPr>
                    <w:t>/</w:t>
                  </w:r>
                </w:p>
              </w:tc>
              <w:tc>
                <w:tcPr>
                  <w:tcW w:w="301" w:type="pct"/>
                  <w:tcBorders>
                    <w:tl2br w:val="nil"/>
                    <w:tr2bl w:val="nil"/>
                  </w:tcBorders>
                  <w:noWrap w:val="0"/>
                  <w:vAlign w:val="center"/>
                </w:tcPr>
                <w:p w14:paraId="445F31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是</w:t>
                  </w:r>
                </w:p>
              </w:tc>
              <w:tc>
                <w:tcPr>
                  <w:tcW w:w="272" w:type="pct"/>
                  <w:tcBorders>
                    <w:tl2br w:val="nil"/>
                    <w:tr2bl w:val="nil"/>
                  </w:tcBorders>
                  <w:noWrap w:val="0"/>
                  <w:vAlign w:val="center"/>
                </w:tcPr>
                <w:p w14:paraId="7DA042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lang w:val="en-US" w:eastAsia="zh-CN"/>
                    </w:rPr>
                    <w:t>物料衡算法</w:t>
                  </w:r>
                </w:p>
              </w:tc>
              <w:tc>
                <w:tcPr>
                  <w:tcW w:w="245" w:type="pct"/>
                  <w:vMerge w:val="continue"/>
                  <w:tcBorders>
                    <w:tl2br w:val="nil"/>
                    <w:tr2bl w:val="nil"/>
                  </w:tcBorders>
                  <w:noWrap w:val="0"/>
                  <w:vAlign w:val="center"/>
                </w:tcPr>
                <w:p w14:paraId="4E57CD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827" w:type="dxa"/>
                  <w:tcBorders>
                    <w:tl2br w:val="nil"/>
                    <w:tr2bl w:val="nil"/>
                  </w:tcBorders>
                  <w:noWrap w:val="0"/>
                  <w:vAlign w:val="center"/>
                </w:tcPr>
                <w:p w14:paraId="5CEEC4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210</w:t>
                  </w:r>
                </w:p>
              </w:tc>
              <w:tc>
                <w:tcPr>
                  <w:tcW w:w="766" w:type="dxa"/>
                  <w:tcBorders>
                    <w:tl2br w:val="nil"/>
                    <w:tr2bl w:val="nil"/>
                  </w:tcBorders>
                  <w:noWrap w:val="0"/>
                  <w:vAlign w:val="center"/>
                </w:tcPr>
                <w:p w14:paraId="544FDD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6.28</w:t>
                  </w:r>
                </w:p>
              </w:tc>
              <w:tc>
                <w:tcPr>
                  <w:tcW w:w="204" w:type="pct"/>
                  <w:vMerge w:val="continue"/>
                  <w:tcBorders>
                    <w:tl2br w:val="nil"/>
                    <w:tr2bl w:val="nil"/>
                  </w:tcBorders>
                  <w:noWrap w:val="0"/>
                  <w:vAlign w:val="center"/>
                </w:tcPr>
                <w:p w14:paraId="6AE7F3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r>
            <w:tr w14:paraId="481BA49E">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tcBorders>
                    <w:tl2br w:val="nil"/>
                    <w:tr2bl w:val="nil"/>
                  </w:tcBorders>
                  <w:noWrap w:val="0"/>
                  <w:vAlign w:val="center"/>
                </w:tcPr>
                <w:p w14:paraId="2A7BD3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23" w:type="pct"/>
                  <w:vMerge w:val="continue"/>
                  <w:tcBorders>
                    <w:tl2br w:val="nil"/>
                    <w:tr2bl w:val="nil"/>
                  </w:tcBorders>
                  <w:noWrap w:val="0"/>
                  <w:vAlign w:val="center"/>
                </w:tcPr>
                <w:p w14:paraId="1C703E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73" w:type="pct"/>
                  <w:vMerge w:val="continue"/>
                  <w:tcBorders>
                    <w:tl2br w:val="nil"/>
                    <w:tr2bl w:val="nil"/>
                  </w:tcBorders>
                  <w:noWrap w:val="0"/>
                  <w:vAlign w:val="center"/>
                </w:tcPr>
                <w:p w14:paraId="5A9A7B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35" w:type="pct"/>
                  <w:tcBorders>
                    <w:tl2br w:val="nil"/>
                    <w:tr2bl w:val="nil"/>
                  </w:tcBorders>
                  <w:noWrap w:val="0"/>
                  <w:vAlign w:val="center"/>
                </w:tcPr>
                <w:p w14:paraId="1D8238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pacing w:val="0"/>
                      <w:kern w:val="21"/>
                      <w:sz w:val="21"/>
                      <w:szCs w:val="21"/>
                      <w:highlight w:val="none"/>
                      <w:lang w:val="en-US" w:eastAsia="zh-CN"/>
                    </w:rPr>
                  </w:pPr>
                  <w:r>
                    <w:rPr>
                      <w:rFonts w:hint="eastAsia" w:ascii="Times New Roman" w:hAnsi="Times New Roman" w:cs="Times New Roman"/>
                      <w:color w:val="auto"/>
                      <w:spacing w:val="0"/>
                      <w:kern w:val="21"/>
                      <w:sz w:val="21"/>
                      <w:szCs w:val="21"/>
                      <w:highlight w:val="none"/>
                      <w:lang w:val="en-US" w:eastAsia="zh-CN"/>
                    </w:rPr>
                    <w:t>汞及其化合物</w:t>
                  </w:r>
                </w:p>
              </w:tc>
              <w:tc>
                <w:tcPr>
                  <w:tcW w:w="475" w:type="pct"/>
                  <w:tcBorders>
                    <w:tl2br w:val="nil"/>
                    <w:tr2bl w:val="nil"/>
                  </w:tcBorders>
                  <w:noWrap w:val="0"/>
                  <w:vAlign w:val="center"/>
                </w:tcPr>
                <w:p w14:paraId="6223FD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物料衡算法</w:t>
                  </w:r>
                </w:p>
              </w:tc>
              <w:tc>
                <w:tcPr>
                  <w:tcW w:w="363" w:type="pct"/>
                  <w:vMerge w:val="continue"/>
                  <w:tcBorders>
                    <w:tl2br w:val="nil"/>
                    <w:tr2bl w:val="nil"/>
                  </w:tcBorders>
                  <w:noWrap w:val="0"/>
                  <w:vAlign w:val="center"/>
                </w:tcPr>
                <w:p w14:paraId="22F1B7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85" w:type="pct"/>
                  <w:tcBorders>
                    <w:tl2br w:val="nil"/>
                    <w:tr2bl w:val="nil"/>
                  </w:tcBorders>
                  <w:noWrap w:val="0"/>
                  <w:vAlign w:val="center"/>
                </w:tcPr>
                <w:p w14:paraId="2110E6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0.002</w:t>
                  </w:r>
                </w:p>
              </w:tc>
              <w:tc>
                <w:tcPr>
                  <w:tcW w:w="363" w:type="pct"/>
                  <w:tcBorders>
                    <w:tl2br w:val="nil"/>
                    <w:tr2bl w:val="nil"/>
                  </w:tcBorders>
                  <w:noWrap w:val="0"/>
                  <w:vAlign w:val="center"/>
                </w:tcPr>
                <w:p w14:paraId="57FABC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0.00001297</w:t>
                  </w:r>
                </w:p>
              </w:tc>
              <w:tc>
                <w:tcPr>
                  <w:tcW w:w="396" w:type="pct"/>
                  <w:tcBorders>
                    <w:tl2br w:val="nil"/>
                    <w:tr2bl w:val="nil"/>
                  </w:tcBorders>
                  <w:noWrap w:val="0"/>
                  <w:vAlign w:val="center"/>
                </w:tcPr>
                <w:p w14:paraId="7396C5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eastAsia="zh-CN"/>
                    </w:rPr>
                  </w:pPr>
                  <w:r>
                    <w:rPr>
                      <w:rFonts w:hint="eastAsia" w:ascii="Times New Roman" w:hAnsi="Times New Roman" w:cs="Times New Roman"/>
                      <w:color w:val="auto"/>
                      <w:spacing w:val="0"/>
                      <w:sz w:val="21"/>
                      <w:szCs w:val="21"/>
                      <w:highlight w:val="none"/>
                      <w:lang w:val="en-US" w:eastAsia="zh-CN"/>
                    </w:rPr>
                    <w:t>布袋除尘器</w:t>
                  </w:r>
                </w:p>
              </w:tc>
              <w:tc>
                <w:tcPr>
                  <w:tcW w:w="374" w:type="pct"/>
                  <w:tcBorders>
                    <w:tl2br w:val="nil"/>
                    <w:tr2bl w:val="nil"/>
                  </w:tcBorders>
                  <w:noWrap w:val="0"/>
                  <w:vAlign w:val="center"/>
                </w:tcPr>
                <w:p w14:paraId="4E2C78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kern w:val="21"/>
                      <w:sz w:val="21"/>
                      <w:szCs w:val="21"/>
                      <w:highlight w:val="none"/>
                      <w:lang w:val="en-US" w:eastAsia="zh-CN"/>
                    </w:rPr>
                  </w:pPr>
                  <w:r>
                    <w:rPr>
                      <w:rFonts w:hint="eastAsia" w:ascii="Times New Roman" w:hAnsi="Times New Roman" w:cs="Times New Roman"/>
                      <w:color w:val="auto"/>
                      <w:spacing w:val="0"/>
                      <w:kern w:val="21"/>
                      <w:sz w:val="21"/>
                      <w:szCs w:val="21"/>
                      <w:highlight w:val="none"/>
                      <w:lang w:val="en-US" w:eastAsia="zh-CN"/>
                    </w:rPr>
                    <w:t>20</w:t>
                  </w:r>
                </w:p>
              </w:tc>
              <w:tc>
                <w:tcPr>
                  <w:tcW w:w="301" w:type="pct"/>
                  <w:tcBorders>
                    <w:tl2br w:val="nil"/>
                    <w:tr2bl w:val="nil"/>
                  </w:tcBorders>
                  <w:noWrap w:val="0"/>
                  <w:vAlign w:val="center"/>
                </w:tcPr>
                <w:p w14:paraId="4823C1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是</w:t>
                  </w:r>
                </w:p>
              </w:tc>
              <w:tc>
                <w:tcPr>
                  <w:tcW w:w="272" w:type="pct"/>
                  <w:tcBorders>
                    <w:tl2br w:val="nil"/>
                    <w:tr2bl w:val="nil"/>
                  </w:tcBorders>
                  <w:noWrap w:val="0"/>
                  <w:vAlign w:val="center"/>
                </w:tcPr>
                <w:p w14:paraId="28FEA2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物料衡算法</w:t>
                  </w:r>
                </w:p>
              </w:tc>
              <w:tc>
                <w:tcPr>
                  <w:tcW w:w="245" w:type="pct"/>
                  <w:vMerge w:val="continue"/>
                  <w:tcBorders>
                    <w:tl2br w:val="nil"/>
                    <w:tr2bl w:val="nil"/>
                  </w:tcBorders>
                  <w:noWrap w:val="0"/>
                  <w:vAlign w:val="center"/>
                </w:tcPr>
                <w:p w14:paraId="7C93E7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827" w:type="dxa"/>
                  <w:tcBorders>
                    <w:tl2br w:val="nil"/>
                    <w:tr2bl w:val="nil"/>
                  </w:tcBorders>
                  <w:noWrap w:val="0"/>
                  <w:vAlign w:val="center"/>
                </w:tcPr>
                <w:p w14:paraId="4C7FCF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0.0016</w:t>
                  </w:r>
                </w:p>
              </w:tc>
              <w:tc>
                <w:tcPr>
                  <w:tcW w:w="766" w:type="dxa"/>
                  <w:tcBorders>
                    <w:tl2br w:val="nil"/>
                    <w:tr2bl w:val="nil"/>
                  </w:tcBorders>
                  <w:noWrap w:val="0"/>
                  <w:vAlign w:val="center"/>
                </w:tcPr>
                <w:p w14:paraId="754968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0.0000374</w:t>
                  </w:r>
                </w:p>
              </w:tc>
              <w:tc>
                <w:tcPr>
                  <w:tcW w:w="204" w:type="pct"/>
                  <w:vMerge w:val="continue"/>
                  <w:tcBorders>
                    <w:tl2br w:val="nil"/>
                    <w:tr2bl w:val="nil"/>
                  </w:tcBorders>
                  <w:noWrap w:val="0"/>
                  <w:vAlign w:val="center"/>
                </w:tcPr>
                <w:p w14:paraId="028CDA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r>
            <w:tr w14:paraId="29842F51">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vMerge w:val="continue"/>
                  <w:tcBorders>
                    <w:tl2br w:val="nil"/>
                    <w:tr2bl w:val="nil"/>
                  </w:tcBorders>
                  <w:noWrap w:val="0"/>
                  <w:vAlign w:val="center"/>
                </w:tcPr>
                <w:p w14:paraId="1CAE2A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23" w:type="pct"/>
                  <w:vMerge w:val="continue"/>
                  <w:tcBorders>
                    <w:tl2br w:val="nil"/>
                    <w:tr2bl w:val="nil"/>
                  </w:tcBorders>
                  <w:noWrap w:val="0"/>
                  <w:vAlign w:val="center"/>
                </w:tcPr>
                <w:p w14:paraId="183275C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273" w:type="pct"/>
                  <w:vMerge w:val="continue"/>
                  <w:tcBorders>
                    <w:tl2br w:val="nil"/>
                    <w:tr2bl w:val="nil"/>
                  </w:tcBorders>
                  <w:noWrap w:val="0"/>
                  <w:vAlign w:val="center"/>
                </w:tcPr>
                <w:p w14:paraId="4E872A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335" w:type="pct"/>
                  <w:tcBorders>
                    <w:tl2br w:val="nil"/>
                    <w:tr2bl w:val="nil"/>
                  </w:tcBorders>
                  <w:noWrap w:val="0"/>
                  <w:vAlign w:val="center"/>
                </w:tcPr>
                <w:p w14:paraId="598E16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21"/>
                      <w:sz w:val="21"/>
                      <w:szCs w:val="21"/>
                      <w:highlight w:val="none"/>
                      <w:lang w:val="en-US" w:eastAsia="zh-CN"/>
                    </w:rPr>
                  </w:pPr>
                  <w:r>
                    <w:rPr>
                      <w:rFonts w:hint="default" w:ascii="Times New Roman" w:hAnsi="Times New Roman" w:cs="Times New Roman"/>
                      <w:color w:val="auto"/>
                      <w:spacing w:val="0"/>
                      <w:kern w:val="21"/>
                      <w:sz w:val="21"/>
                      <w:szCs w:val="21"/>
                      <w:highlight w:val="none"/>
                      <w:lang w:val="en-US" w:eastAsia="zh-CN"/>
                    </w:rPr>
                    <w:t>烟气黑度</w:t>
                  </w:r>
                </w:p>
              </w:tc>
              <w:tc>
                <w:tcPr>
                  <w:tcW w:w="475" w:type="pct"/>
                  <w:tcBorders>
                    <w:tl2br w:val="nil"/>
                    <w:tr2bl w:val="nil"/>
                  </w:tcBorders>
                  <w:noWrap w:val="0"/>
                  <w:vAlign w:val="center"/>
                </w:tcPr>
                <w:p w14:paraId="7EFB09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363" w:type="pct"/>
                  <w:vMerge w:val="continue"/>
                  <w:tcBorders>
                    <w:tl2br w:val="nil"/>
                    <w:tr2bl w:val="nil"/>
                  </w:tcBorders>
                  <w:noWrap w:val="0"/>
                  <w:vAlign w:val="center"/>
                </w:tcPr>
                <w:p w14:paraId="7EF3A9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748" w:type="pct"/>
                  <w:gridSpan w:val="2"/>
                  <w:tcBorders>
                    <w:tl2br w:val="nil"/>
                    <w:tr2bl w:val="nil"/>
                  </w:tcBorders>
                  <w:noWrap w:val="0"/>
                  <w:vAlign w:val="center"/>
                </w:tcPr>
                <w:p w14:paraId="132FDF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＜1（林格曼等级）</w:t>
                  </w:r>
                </w:p>
              </w:tc>
              <w:tc>
                <w:tcPr>
                  <w:tcW w:w="396" w:type="pct"/>
                  <w:tcBorders>
                    <w:tl2br w:val="nil"/>
                    <w:tr2bl w:val="nil"/>
                  </w:tcBorders>
                  <w:noWrap w:val="0"/>
                  <w:vAlign w:val="center"/>
                </w:tcPr>
                <w:p w14:paraId="30120B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374" w:type="pct"/>
                  <w:tcBorders>
                    <w:tl2br w:val="nil"/>
                    <w:tr2bl w:val="nil"/>
                  </w:tcBorders>
                  <w:noWrap w:val="0"/>
                  <w:vAlign w:val="center"/>
                </w:tcPr>
                <w:p w14:paraId="59AFD3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kern w:val="21"/>
                      <w:sz w:val="21"/>
                      <w:szCs w:val="21"/>
                      <w:highlight w:val="none"/>
                      <w:lang w:val="en-US" w:eastAsia="zh-CN"/>
                    </w:rPr>
                  </w:pPr>
                  <w:r>
                    <w:rPr>
                      <w:rFonts w:hint="default" w:ascii="Times New Roman" w:hAnsi="Times New Roman" w:cs="Times New Roman"/>
                      <w:color w:val="auto"/>
                      <w:spacing w:val="0"/>
                      <w:kern w:val="21"/>
                      <w:sz w:val="21"/>
                      <w:szCs w:val="21"/>
                      <w:highlight w:val="none"/>
                      <w:lang w:val="en-US" w:eastAsia="zh-CN"/>
                    </w:rPr>
                    <w:t>/</w:t>
                  </w:r>
                </w:p>
              </w:tc>
              <w:tc>
                <w:tcPr>
                  <w:tcW w:w="301" w:type="pct"/>
                  <w:tcBorders>
                    <w:tl2br w:val="nil"/>
                    <w:tr2bl w:val="nil"/>
                  </w:tcBorders>
                  <w:noWrap w:val="0"/>
                  <w:vAlign w:val="center"/>
                </w:tcPr>
                <w:p w14:paraId="1D483A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272" w:type="pct"/>
                  <w:tcBorders>
                    <w:tl2br w:val="nil"/>
                    <w:tr2bl w:val="nil"/>
                  </w:tcBorders>
                  <w:noWrap w:val="0"/>
                  <w:vAlign w:val="center"/>
                </w:tcPr>
                <w:p w14:paraId="340874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245" w:type="pct"/>
                  <w:vMerge w:val="continue"/>
                  <w:tcBorders>
                    <w:tl2br w:val="nil"/>
                    <w:tr2bl w:val="nil"/>
                  </w:tcBorders>
                  <w:noWrap w:val="0"/>
                  <w:vAlign w:val="center"/>
                </w:tcPr>
                <w:p w14:paraId="4DC5AD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593" w:type="pct"/>
                  <w:gridSpan w:val="2"/>
                  <w:tcBorders>
                    <w:tl2br w:val="nil"/>
                    <w:tr2bl w:val="nil"/>
                  </w:tcBorders>
                  <w:noWrap w:val="0"/>
                  <w:vAlign w:val="center"/>
                </w:tcPr>
                <w:p w14:paraId="05F7FA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＜1（林格曼等级）</w:t>
                  </w:r>
                </w:p>
              </w:tc>
              <w:tc>
                <w:tcPr>
                  <w:tcW w:w="204" w:type="pct"/>
                  <w:vMerge w:val="continue"/>
                  <w:tcBorders>
                    <w:tl2br w:val="nil"/>
                    <w:tr2bl w:val="nil"/>
                  </w:tcBorders>
                  <w:noWrap w:val="0"/>
                  <w:vAlign w:val="center"/>
                </w:tcPr>
                <w:p w14:paraId="75B387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r>
            <w:tr w14:paraId="20A4B871">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92" w:type="pct"/>
                  <w:tcBorders>
                    <w:tl2br w:val="nil"/>
                    <w:tr2bl w:val="nil"/>
                  </w:tcBorders>
                  <w:noWrap w:val="0"/>
                  <w:vAlign w:val="center"/>
                </w:tcPr>
                <w:p w14:paraId="09EB9F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灰渣转运</w:t>
                  </w:r>
                </w:p>
              </w:tc>
              <w:tc>
                <w:tcPr>
                  <w:tcW w:w="223" w:type="pct"/>
                  <w:tcBorders>
                    <w:tl2br w:val="nil"/>
                    <w:tr2bl w:val="nil"/>
                  </w:tcBorders>
                  <w:noWrap w:val="0"/>
                  <w:vAlign w:val="center"/>
                </w:tcPr>
                <w:p w14:paraId="7D5B90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灰渣库</w:t>
                  </w:r>
                </w:p>
              </w:tc>
              <w:tc>
                <w:tcPr>
                  <w:tcW w:w="273" w:type="pct"/>
                  <w:tcBorders>
                    <w:tl2br w:val="nil"/>
                    <w:tr2bl w:val="nil"/>
                  </w:tcBorders>
                  <w:noWrap w:val="0"/>
                  <w:vAlign w:val="center"/>
                </w:tcPr>
                <w:p w14:paraId="20088F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cs="Times New Roman"/>
                      <w:color w:val="auto"/>
                      <w:spacing w:val="0"/>
                      <w:sz w:val="21"/>
                      <w:szCs w:val="21"/>
                      <w:highlight w:val="none"/>
                      <w:lang w:val="en-US" w:eastAsia="zh-CN"/>
                    </w:rPr>
                    <w:t>灰渣库</w:t>
                  </w:r>
                </w:p>
              </w:tc>
              <w:tc>
                <w:tcPr>
                  <w:tcW w:w="335" w:type="pct"/>
                  <w:tcBorders>
                    <w:tl2br w:val="nil"/>
                    <w:tr2bl w:val="nil"/>
                  </w:tcBorders>
                  <w:noWrap w:val="0"/>
                  <w:vAlign w:val="center"/>
                </w:tcPr>
                <w:p w14:paraId="2E4626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kern w:val="21"/>
                      <w:sz w:val="21"/>
                      <w:szCs w:val="21"/>
                      <w:highlight w:val="none"/>
                      <w:lang w:val="en-US" w:eastAsia="zh-CN"/>
                    </w:rPr>
                  </w:pPr>
                  <w:r>
                    <w:rPr>
                      <w:rFonts w:hint="default" w:ascii="Times New Roman" w:hAnsi="Times New Roman" w:cs="Times New Roman"/>
                      <w:color w:val="auto"/>
                      <w:spacing w:val="0"/>
                      <w:kern w:val="21"/>
                      <w:sz w:val="21"/>
                      <w:szCs w:val="21"/>
                      <w:highlight w:val="none"/>
                      <w:lang w:val="en-US" w:eastAsia="zh-CN"/>
                    </w:rPr>
                    <w:t>颗粒物</w:t>
                  </w:r>
                </w:p>
              </w:tc>
              <w:tc>
                <w:tcPr>
                  <w:tcW w:w="475" w:type="pct"/>
                  <w:tcBorders>
                    <w:tl2br w:val="nil"/>
                    <w:tr2bl w:val="nil"/>
                  </w:tcBorders>
                  <w:noWrap w:val="0"/>
                  <w:vAlign w:val="center"/>
                </w:tcPr>
                <w:p w14:paraId="722F1E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bCs/>
                      <w:color w:val="auto"/>
                      <w:sz w:val="21"/>
                      <w:szCs w:val="21"/>
                      <w:highlight w:val="none"/>
                    </w:rPr>
                    <w:t>产排污系数法</w:t>
                  </w:r>
                </w:p>
              </w:tc>
              <w:tc>
                <w:tcPr>
                  <w:tcW w:w="363" w:type="pct"/>
                  <w:tcBorders>
                    <w:tl2br w:val="nil"/>
                    <w:tr2bl w:val="nil"/>
                  </w:tcBorders>
                  <w:noWrap w:val="0"/>
                  <w:vAlign w:val="center"/>
                </w:tcPr>
                <w:p w14:paraId="466B54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385" w:type="pct"/>
                  <w:tcBorders>
                    <w:tl2br w:val="nil"/>
                    <w:tr2bl w:val="nil"/>
                  </w:tcBorders>
                  <w:noWrap w:val="0"/>
                  <w:vAlign w:val="center"/>
                </w:tcPr>
                <w:p w14:paraId="030A42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363" w:type="pct"/>
                  <w:tcBorders>
                    <w:tl2br w:val="nil"/>
                    <w:tr2bl w:val="nil"/>
                  </w:tcBorders>
                  <w:noWrap w:val="0"/>
                  <w:vAlign w:val="center"/>
                </w:tcPr>
                <w:p w14:paraId="665330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2.265</w:t>
                  </w:r>
                </w:p>
              </w:tc>
              <w:tc>
                <w:tcPr>
                  <w:tcW w:w="396" w:type="pct"/>
                  <w:tcBorders>
                    <w:tl2br w:val="nil"/>
                    <w:tr2bl w:val="nil"/>
                  </w:tcBorders>
                  <w:noWrap w:val="0"/>
                  <w:vAlign w:val="center"/>
                </w:tcPr>
                <w:p w14:paraId="26B1D8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密闭+布袋除尘措施</w:t>
                  </w:r>
                </w:p>
              </w:tc>
              <w:tc>
                <w:tcPr>
                  <w:tcW w:w="374" w:type="pct"/>
                  <w:tcBorders>
                    <w:tl2br w:val="nil"/>
                    <w:tr2bl w:val="nil"/>
                  </w:tcBorders>
                  <w:noWrap w:val="0"/>
                  <w:vAlign w:val="center"/>
                </w:tcPr>
                <w:p w14:paraId="1A2BA0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kern w:val="21"/>
                      <w:sz w:val="21"/>
                      <w:szCs w:val="21"/>
                      <w:highlight w:val="none"/>
                      <w:lang w:val="en-US" w:eastAsia="zh-CN"/>
                    </w:rPr>
                  </w:pPr>
                  <w:r>
                    <w:rPr>
                      <w:rFonts w:hint="default" w:ascii="Times New Roman" w:hAnsi="Times New Roman" w:cs="Times New Roman"/>
                      <w:color w:val="auto"/>
                      <w:spacing w:val="0"/>
                      <w:kern w:val="21"/>
                      <w:sz w:val="21"/>
                      <w:szCs w:val="21"/>
                      <w:highlight w:val="none"/>
                      <w:lang w:val="en-US" w:eastAsia="zh-CN"/>
                    </w:rPr>
                    <w:t>90</w:t>
                  </w:r>
                </w:p>
              </w:tc>
              <w:tc>
                <w:tcPr>
                  <w:tcW w:w="301" w:type="pct"/>
                  <w:tcBorders>
                    <w:tl2br w:val="nil"/>
                    <w:tr2bl w:val="nil"/>
                  </w:tcBorders>
                  <w:noWrap w:val="0"/>
                  <w:vAlign w:val="center"/>
                </w:tcPr>
                <w:p w14:paraId="3228EFB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是</w:t>
                  </w:r>
                </w:p>
              </w:tc>
              <w:tc>
                <w:tcPr>
                  <w:tcW w:w="272" w:type="pct"/>
                  <w:tcBorders>
                    <w:tl2br w:val="nil"/>
                    <w:tr2bl w:val="nil"/>
                  </w:tcBorders>
                  <w:noWrap w:val="0"/>
                  <w:vAlign w:val="center"/>
                </w:tcPr>
                <w:p w14:paraId="67D491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bCs/>
                      <w:color w:val="auto"/>
                      <w:sz w:val="21"/>
                      <w:szCs w:val="21"/>
                      <w:highlight w:val="none"/>
                    </w:rPr>
                    <w:t>产排污系数法</w:t>
                  </w:r>
                </w:p>
              </w:tc>
              <w:tc>
                <w:tcPr>
                  <w:tcW w:w="245" w:type="pct"/>
                  <w:tcBorders>
                    <w:tl2br w:val="nil"/>
                    <w:tr2bl w:val="nil"/>
                  </w:tcBorders>
                  <w:noWrap w:val="0"/>
                  <w:vAlign w:val="center"/>
                </w:tcPr>
                <w:p w14:paraId="4257A1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308" w:type="pct"/>
                  <w:tcBorders>
                    <w:tl2br w:val="nil"/>
                    <w:tr2bl w:val="nil"/>
                  </w:tcBorders>
                  <w:noWrap w:val="0"/>
                  <w:vAlign w:val="center"/>
                </w:tcPr>
                <w:p w14:paraId="01C606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w:t>
                  </w:r>
                </w:p>
              </w:tc>
              <w:tc>
                <w:tcPr>
                  <w:tcW w:w="285" w:type="pct"/>
                  <w:tcBorders>
                    <w:tl2br w:val="nil"/>
                    <w:tr2bl w:val="nil"/>
                  </w:tcBorders>
                  <w:noWrap w:val="0"/>
                  <w:vAlign w:val="center"/>
                </w:tcPr>
                <w:p w14:paraId="2A6751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0.02719</w:t>
                  </w:r>
                </w:p>
              </w:tc>
              <w:tc>
                <w:tcPr>
                  <w:tcW w:w="204" w:type="pct"/>
                  <w:tcBorders>
                    <w:tl2br w:val="nil"/>
                    <w:tr2bl w:val="nil"/>
                  </w:tcBorders>
                  <w:noWrap w:val="0"/>
                  <w:vAlign w:val="center"/>
                </w:tcPr>
                <w:p w14:paraId="5DF76F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120</w:t>
                  </w:r>
                </w:p>
              </w:tc>
            </w:tr>
          </w:tbl>
          <w:p w14:paraId="19E470EB">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color w:val="auto"/>
                <w:spacing w:val="0"/>
                <w:sz w:val="24"/>
                <w:szCs w:val="24"/>
                <w:highlight w:val="none"/>
              </w:rPr>
            </w:pPr>
          </w:p>
        </w:tc>
      </w:tr>
    </w:tbl>
    <w:p w14:paraId="2198F0D1">
      <w:pPr>
        <w:rPr>
          <w:rFonts w:hint="eastAsia" w:ascii="宋体" w:hAnsi="宋体" w:eastAsia="宋体" w:cs="宋体"/>
          <w:color w:val="auto"/>
          <w:spacing w:val="0"/>
          <w:highlight w:val="none"/>
        </w:rPr>
        <w:sectPr>
          <w:pgSz w:w="16840" w:h="11907" w:orient="landscape"/>
          <w:pgMar w:top="1803" w:right="1440" w:bottom="1803"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7"/>
        <w:tblW w:w="509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0"/>
        <w:gridCol w:w="8187"/>
      </w:tblGrid>
      <w:tr w14:paraId="3D29F9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6" w:type="dxa"/>
            <w:noWrap w:val="0"/>
            <w:tcMar>
              <w:left w:w="28" w:type="dxa"/>
              <w:right w:w="28" w:type="dxa"/>
            </w:tcMar>
            <w:vAlign w:val="center"/>
          </w:tcPr>
          <w:p w14:paraId="7FC89899">
            <w:pPr>
              <w:spacing w:line="240" w:lineRule="auto"/>
              <w:ind w:firstLine="0" w:firstLineChars="0"/>
              <w:jc w:val="center"/>
              <w:rPr>
                <w:rFonts w:hint="eastAsia" w:ascii="宋体" w:hAnsi="宋体" w:eastAsia="宋体" w:cs="宋体"/>
                <w:color w:val="auto"/>
                <w:spacing w:val="0"/>
                <w:sz w:val="21"/>
                <w:szCs w:val="21"/>
                <w:highlight w:val="none"/>
              </w:rPr>
            </w:pPr>
          </w:p>
        </w:tc>
        <w:tc>
          <w:tcPr>
            <w:tcW w:w="8110" w:type="dxa"/>
            <w:tcBorders>
              <w:top w:val="single" w:color="auto" w:sz="4" w:space="0"/>
              <w:bottom w:val="single" w:color="auto" w:sz="4" w:space="0"/>
            </w:tcBorders>
            <w:noWrap w:val="0"/>
            <w:vAlign w:val="center"/>
          </w:tcPr>
          <w:p w14:paraId="21463B9B">
            <w:pPr>
              <w:pStyle w:val="112"/>
              <w:rPr>
                <w:rFonts w:hint="eastAsia" w:ascii="宋体" w:hAnsi="宋体" w:eastAsia="宋体" w:cs="宋体"/>
                <w:color w:val="auto"/>
                <w:spacing w:val="0"/>
                <w:highlight w:val="none"/>
                <w:lang w:val="en-US" w:eastAsia="zh-CN"/>
              </w:rPr>
            </w:pPr>
            <w:r>
              <w:rPr>
                <w:rFonts w:hint="eastAsia" w:ascii="宋体" w:hAnsi="宋体" w:eastAsia="宋体" w:cs="宋体"/>
                <w:color w:val="auto"/>
                <w:spacing w:val="0"/>
                <w:highlight w:val="none"/>
                <w:lang w:val="en-US" w:eastAsia="zh-CN"/>
              </w:rPr>
              <w:t>大气排放口参数情况如下：</w:t>
            </w:r>
          </w:p>
          <w:p w14:paraId="66836C89">
            <w:pPr>
              <w:pStyle w:val="11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auto"/>
                <w:spacing w:val="0"/>
                <w:sz w:val="21"/>
                <w:szCs w:val="21"/>
                <w:highlight w:val="none"/>
                <w:lang w:val="en-US" w:eastAsia="zh-CN"/>
              </w:rPr>
            </w:pPr>
            <w:r>
              <w:rPr>
                <w:rFonts w:hint="eastAsia" w:ascii="宋体" w:hAnsi="宋体" w:eastAsia="宋体" w:cs="宋体"/>
                <w:b/>
                <w:bCs/>
                <w:color w:val="auto"/>
                <w:spacing w:val="0"/>
                <w:sz w:val="21"/>
                <w:szCs w:val="21"/>
                <w:highlight w:val="none"/>
                <w:lang w:val="en-US" w:eastAsia="zh-CN"/>
              </w:rPr>
              <w:t>表</w:t>
            </w:r>
            <w:r>
              <w:rPr>
                <w:rFonts w:hint="default" w:ascii="Times New Roman" w:hAnsi="Times New Roman" w:eastAsia="宋体" w:cs="Times New Roman"/>
                <w:b/>
                <w:bCs/>
                <w:color w:val="auto"/>
                <w:spacing w:val="0"/>
                <w:sz w:val="21"/>
                <w:szCs w:val="21"/>
                <w:highlight w:val="none"/>
                <w:lang w:val="en-US" w:eastAsia="zh-CN"/>
              </w:rPr>
              <w:t>4</w:t>
            </w:r>
            <w:r>
              <w:rPr>
                <w:rFonts w:hint="eastAsia" w:ascii="宋体" w:hAnsi="宋体" w:eastAsia="宋体" w:cs="宋体"/>
                <w:b/>
                <w:bCs/>
                <w:color w:val="auto"/>
                <w:spacing w:val="0"/>
                <w:sz w:val="21"/>
                <w:szCs w:val="21"/>
                <w:highlight w:val="none"/>
                <w:lang w:val="en-US" w:eastAsia="zh-CN"/>
              </w:rPr>
              <w:t>-</w:t>
            </w:r>
            <w:r>
              <w:rPr>
                <w:rFonts w:hint="default" w:ascii="Times New Roman" w:hAnsi="Times New Roman" w:cs="Times New Roman"/>
                <w:b/>
                <w:bCs/>
                <w:color w:val="auto"/>
                <w:spacing w:val="0"/>
                <w:sz w:val="21"/>
                <w:szCs w:val="21"/>
                <w:highlight w:val="none"/>
                <w:lang w:val="en-US" w:eastAsia="zh-CN"/>
              </w:rPr>
              <w:t>2</w:t>
            </w:r>
            <w:r>
              <w:rPr>
                <w:rFonts w:hint="eastAsia" w:ascii="宋体" w:hAnsi="宋体" w:eastAsia="宋体" w:cs="宋体"/>
                <w:b/>
                <w:bCs/>
                <w:color w:val="auto"/>
                <w:spacing w:val="0"/>
                <w:sz w:val="21"/>
                <w:szCs w:val="21"/>
                <w:highlight w:val="none"/>
                <w:lang w:val="en-US" w:eastAsia="zh-CN"/>
              </w:rPr>
              <w:t xml:space="preserve"> 大气排放口基本情况一览表</w:t>
            </w:r>
          </w:p>
          <w:tbl>
            <w:tblPr>
              <w:tblStyle w:val="37"/>
              <w:tblW w:w="4998"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7"/>
              <w:gridCol w:w="865"/>
              <w:gridCol w:w="1433"/>
              <w:gridCol w:w="923"/>
              <w:gridCol w:w="976"/>
              <w:gridCol w:w="903"/>
              <w:gridCol w:w="1089"/>
              <w:gridCol w:w="973"/>
            </w:tblGrid>
            <w:tr w14:paraId="09C8ABB8">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6" w:type="pct"/>
                  <w:vMerge w:val="restart"/>
                  <w:tcBorders>
                    <w:tl2br w:val="nil"/>
                    <w:tr2bl w:val="nil"/>
                  </w:tcBorders>
                  <w:noWrap w:val="0"/>
                  <w:vAlign w:val="center"/>
                </w:tcPr>
                <w:p w14:paraId="7E803E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排放口编号</w:t>
                  </w:r>
                </w:p>
              </w:tc>
              <w:tc>
                <w:tcPr>
                  <w:tcW w:w="542" w:type="pct"/>
                  <w:vMerge w:val="restart"/>
                  <w:tcBorders>
                    <w:tl2br w:val="nil"/>
                    <w:tr2bl w:val="nil"/>
                  </w:tcBorders>
                  <w:noWrap w:val="0"/>
                  <w:vAlign w:val="center"/>
                </w:tcPr>
                <w:p w14:paraId="7935EF6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排放口名称</w:t>
                  </w:r>
                </w:p>
              </w:tc>
              <w:tc>
                <w:tcPr>
                  <w:tcW w:w="899" w:type="pct"/>
                  <w:vMerge w:val="restart"/>
                  <w:tcBorders>
                    <w:tl2br w:val="nil"/>
                    <w:tr2bl w:val="nil"/>
                  </w:tcBorders>
                  <w:noWrap w:val="0"/>
                  <w:vAlign w:val="center"/>
                </w:tcPr>
                <w:p w14:paraId="4DAE56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污染物种类</w:t>
                  </w:r>
                </w:p>
              </w:tc>
              <w:tc>
                <w:tcPr>
                  <w:tcW w:w="1191" w:type="pct"/>
                  <w:gridSpan w:val="2"/>
                  <w:tcBorders>
                    <w:tl2br w:val="nil"/>
                    <w:tr2bl w:val="nil"/>
                  </w:tcBorders>
                  <w:noWrap w:val="0"/>
                  <w:vAlign w:val="center"/>
                </w:tcPr>
                <w:p w14:paraId="2C91ED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排放口地理坐标/°</w:t>
                  </w:r>
                </w:p>
              </w:tc>
              <w:tc>
                <w:tcPr>
                  <w:tcW w:w="566" w:type="pct"/>
                  <w:vMerge w:val="restart"/>
                  <w:tcBorders>
                    <w:tl2br w:val="nil"/>
                    <w:tr2bl w:val="nil"/>
                  </w:tcBorders>
                  <w:noWrap w:val="0"/>
                  <w:vAlign w:val="center"/>
                </w:tcPr>
                <w:p w14:paraId="1F647D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排气筒高度</w:t>
                  </w:r>
                </w:p>
                <w:p w14:paraId="55C671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m</w:t>
                  </w:r>
                </w:p>
              </w:tc>
              <w:tc>
                <w:tcPr>
                  <w:tcW w:w="683" w:type="pct"/>
                  <w:vMerge w:val="restart"/>
                  <w:tcBorders>
                    <w:tl2br w:val="nil"/>
                    <w:tr2bl w:val="nil"/>
                  </w:tcBorders>
                  <w:noWrap w:val="0"/>
                  <w:vAlign w:val="center"/>
                </w:tcPr>
                <w:p w14:paraId="1F69BB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排气筒出口内径</w:t>
                  </w:r>
                </w:p>
              </w:tc>
              <w:tc>
                <w:tcPr>
                  <w:tcW w:w="610" w:type="pct"/>
                  <w:vMerge w:val="restart"/>
                  <w:tcBorders>
                    <w:tl2br w:val="nil"/>
                    <w:tr2bl w:val="nil"/>
                  </w:tcBorders>
                  <w:noWrap w:val="0"/>
                  <w:vAlign w:val="center"/>
                </w:tcPr>
                <w:p w14:paraId="476D7C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排气筒温度°C</w:t>
                  </w:r>
                </w:p>
              </w:tc>
            </w:tr>
            <w:tr w14:paraId="3513C57F">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06" w:type="pct"/>
                  <w:vMerge w:val="continue"/>
                  <w:tcBorders>
                    <w:tl2br w:val="nil"/>
                    <w:tr2bl w:val="nil"/>
                  </w:tcBorders>
                  <w:noWrap w:val="0"/>
                  <w:vAlign w:val="center"/>
                </w:tcPr>
                <w:p w14:paraId="764FCE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p>
              </w:tc>
              <w:tc>
                <w:tcPr>
                  <w:tcW w:w="542" w:type="pct"/>
                  <w:vMerge w:val="continue"/>
                  <w:tcBorders>
                    <w:tl2br w:val="nil"/>
                    <w:tr2bl w:val="nil"/>
                  </w:tcBorders>
                  <w:noWrap w:val="0"/>
                  <w:vAlign w:val="center"/>
                </w:tcPr>
                <w:p w14:paraId="4B260E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p>
              </w:tc>
              <w:tc>
                <w:tcPr>
                  <w:tcW w:w="899" w:type="pct"/>
                  <w:vMerge w:val="continue"/>
                  <w:tcBorders>
                    <w:tl2br w:val="nil"/>
                    <w:tr2bl w:val="nil"/>
                  </w:tcBorders>
                  <w:noWrap w:val="0"/>
                  <w:vAlign w:val="center"/>
                </w:tcPr>
                <w:p w14:paraId="5F3F41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p>
              </w:tc>
              <w:tc>
                <w:tcPr>
                  <w:tcW w:w="579" w:type="pct"/>
                  <w:tcBorders>
                    <w:tl2br w:val="nil"/>
                    <w:tr2bl w:val="nil"/>
                  </w:tcBorders>
                  <w:noWrap w:val="0"/>
                  <w:vAlign w:val="center"/>
                </w:tcPr>
                <w:p w14:paraId="78A47A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经度</w:t>
                  </w:r>
                </w:p>
              </w:tc>
              <w:tc>
                <w:tcPr>
                  <w:tcW w:w="612" w:type="pct"/>
                  <w:tcBorders>
                    <w:tl2br w:val="nil"/>
                    <w:tr2bl w:val="nil"/>
                  </w:tcBorders>
                  <w:noWrap w:val="0"/>
                  <w:vAlign w:val="center"/>
                </w:tcPr>
                <w:p w14:paraId="57FDF1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r>
                    <w:rPr>
                      <w:rFonts w:hint="default" w:ascii="Times New Roman" w:hAnsi="Times New Roman" w:eastAsia="宋体" w:cs="Times New Roman"/>
                      <w:b/>
                      <w:color w:val="auto"/>
                      <w:spacing w:val="0"/>
                      <w:sz w:val="21"/>
                      <w:szCs w:val="21"/>
                      <w:highlight w:val="none"/>
                      <w:lang w:bidi="ar"/>
                    </w:rPr>
                    <w:t>纬度</w:t>
                  </w:r>
                </w:p>
              </w:tc>
              <w:tc>
                <w:tcPr>
                  <w:tcW w:w="566" w:type="pct"/>
                  <w:vMerge w:val="continue"/>
                  <w:tcBorders>
                    <w:tl2br w:val="nil"/>
                    <w:tr2bl w:val="nil"/>
                  </w:tcBorders>
                  <w:noWrap w:val="0"/>
                  <w:vAlign w:val="center"/>
                </w:tcPr>
                <w:p w14:paraId="4470F8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p>
              </w:tc>
              <w:tc>
                <w:tcPr>
                  <w:tcW w:w="683" w:type="pct"/>
                  <w:vMerge w:val="continue"/>
                  <w:tcBorders>
                    <w:tl2br w:val="nil"/>
                    <w:tr2bl w:val="nil"/>
                  </w:tcBorders>
                  <w:noWrap w:val="0"/>
                  <w:vAlign w:val="center"/>
                </w:tcPr>
                <w:p w14:paraId="21B560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p>
              </w:tc>
              <w:tc>
                <w:tcPr>
                  <w:tcW w:w="610" w:type="pct"/>
                  <w:vMerge w:val="continue"/>
                  <w:tcBorders>
                    <w:tl2br w:val="nil"/>
                    <w:tr2bl w:val="nil"/>
                  </w:tcBorders>
                  <w:noWrap w:val="0"/>
                  <w:vAlign w:val="center"/>
                </w:tcPr>
                <w:p w14:paraId="508F43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pacing w:val="0"/>
                      <w:sz w:val="21"/>
                      <w:szCs w:val="21"/>
                      <w:highlight w:val="none"/>
                      <w:lang w:bidi="ar"/>
                    </w:rPr>
                  </w:pPr>
                </w:p>
              </w:tc>
            </w:tr>
            <w:tr w14:paraId="165E4FE6">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6" w:type="pct"/>
                  <w:vMerge w:val="restart"/>
                  <w:tcBorders>
                    <w:tl2br w:val="nil"/>
                    <w:tr2bl w:val="nil"/>
                  </w:tcBorders>
                  <w:noWrap w:val="0"/>
                  <w:vAlign w:val="center"/>
                </w:tcPr>
                <w:p w14:paraId="460557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eastAsia="宋体" w:cs="Times New Roman"/>
                      <w:bCs/>
                      <w:color w:val="auto"/>
                      <w:spacing w:val="0"/>
                      <w:sz w:val="21"/>
                      <w:szCs w:val="21"/>
                      <w:highlight w:val="none"/>
                      <w:lang w:val="en-US" w:eastAsia="zh-CN" w:bidi="ar"/>
                    </w:rPr>
                    <w:t>DA</w:t>
                  </w:r>
                </w:p>
                <w:p w14:paraId="2AEFA7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eastAsia="宋体" w:cs="Times New Roman"/>
                      <w:bCs/>
                      <w:color w:val="auto"/>
                      <w:spacing w:val="0"/>
                      <w:sz w:val="21"/>
                      <w:szCs w:val="21"/>
                      <w:highlight w:val="none"/>
                      <w:lang w:val="en-US" w:eastAsia="zh-CN" w:bidi="ar"/>
                    </w:rPr>
                    <w:t>0</w:t>
                  </w:r>
                  <w:r>
                    <w:rPr>
                      <w:rFonts w:hint="default" w:ascii="Times New Roman" w:hAnsi="Times New Roman" w:cs="Times New Roman"/>
                      <w:bCs/>
                      <w:color w:val="auto"/>
                      <w:spacing w:val="0"/>
                      <w:sz w:val="21"/>
                      <w:szCs w:val="21"/>
                      <w:highlight w:val="none"/>
                      <w:lang w:val="en-US" w:eastAsia="zh-CN" w:bidi="ar"/>
                    </w:rPr>
                    <w:t>10</w:t>
                  </w:r>
                </w:p>
              </w:tc>
              <w:tc>
                <w:tcPr>
                  <w:tcW w:w="542" w:type="pct"/>
                  <w:vMerge w:val="restart"/>
                  <w:tcBorders>
                    <w:tl2br w:val="nil"/>
                    <w:tr2bl w:val="nil"/>
                  </w:tcBorders>
                  <w:noWrap w:val="0"/>
                  <w:vAlign w:val="center"/>
                </w:tcPr>
                <w:p w14:paraId="655CBF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eastAsia="宋体" w:cs="Times New Roman"/>
                      <w:bCs/>
                      <w:color w:val="auto"/>
                      <w:spacing w:val="0"/>
                      <w:sz w:val="21"/>
                      <w:szCs w:val="21"/>
                      <w:highlight w:val="none"/>
                      <w:lang w:val="en-US" w:eastAsia="zh-CN" w:bidi="ar"/>
                    </w:rPr>
                    <w:t>锅炉烟囱</w:t>
                  </w:r>
                </w:p>
              </w:tc>
              <w:tc>
                <w:tcPr>
                  <w:tcW w:w="899" w:type="pct"/>
                  <w:vMerge w:val="restart"/>
                  <w:tcBorders>
                    <w:tl2br w:val="nil"/>
                    <w:tr2bl w:val="nil"/>
                  </w:tcBorders>
                  <w:noWrap w:val="0"/>
                  <w:vAlign w:val="center"/>
                </w:tcPr>
                <w:p w14:paraId="2C9E80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eastAsia="宋体" w:cs="Times New Roman"/>
                      <w:bCs/>
                      <w:color w:val="auto"/>
                      <w:spacing w:val="0"/>
                      <w:sz w:val="21"/>
                      <w:szCs w:val="21"/>
                      <w:highlight w:val="none"/>
                      <w:lang w:val="en-US" w:eastAsia="zh-CN" w:bidi="ar"/>
                    </w:rPr>
                    <w:t>颗粒物、二氧化硫、氮氧化物</w:t>
                  </w:r>
                  <w:r>
                    <w:rPr>
                      <w:rFonts w:hint="default" w:ascii="Times New Roman" w:hAnsi="Times New Roman" w:cs="Times New Roman"/>
                      <w:bCs/>
                      <w:color w:val="auto"/>
                      <w:spacing w:val="0"/>
                      <w:sz w:val="21"/>
                      <w:szCs w:val="21"/>
                      <w:highlight w:val="none"/>
                      <w:lang w:val="en-US" w:eastAsia="zh-CN" w:bidi="ar"/>
                    </w:rPr>
                    <w:t>、烟气黑度</w:t>
                  </w:r>
                  <w:r>
                    <w:rPr>
                      <w:rFonts w:hint="eastAsia" w:ascii="Times New Roman" w:hAnsi="Times New Roman" w:cs="Times New Roman"/>
                      <w:bCs/>
                      <w:color w:val="auto"/>
                      <w:spacing w:val="0"/>
                      <w:sz w:val="21"/>
                      <w:szCs w:val="21"/>
                      <w:highlight w:val="none"/>
                      <w:lang w:val="en-US" w:eastAsia="zh-CN" w:bidi="ar"/>
                    </w:rPr>
                    <w:t>、汞及其化合物</w:t>
                  </w:r>
                </w:p>
              </w:tc>
              <w:tc>
                <w:tcPr>
                  <w:tcW w:w="579" w:type="pct"/>
                  <w:vMerge w:val="restart"/>
                  <w:tcBorders>
                    <w:tl2br w:val="nil"/>
                    <w:tr2bl w:val="nil"/>
                  </w:tcBorders>
                  <w:noWrap w:val="0"/>
                  <w:vAlign w:val="center"/>
                </w:tcPr>
                <w:p w14:paraId="7208E9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eastAsia="宋体" w:cs="Times New Roman"/>
                      <w:bCs/>
                      <w:color w:val="auto"/>
                      <w:spacing w:val="0"/>
                      <w:sz w:val="21"/>
                      <w:szCs w:val="21"/>
                      <w:highlight w:val="none"/>
                      <w:lang w:val="en-US" w:eastAsia="zh-CN" w:bidi="ar"/>
                    </w:rPr>
                    <w:t>130.587696</w:t>
                  </w:r>
                </w:p>
              </w:tc>
              <w:tc>
                <w:tcPr>
                  <w:tcW w:w="612" w:type="pct"/>
                  <w:vMerge w:val="restart"/>
                  <w:tcBorders>
                    <w:tl2br w:val="nil"/>
                    <w:tr2bl w:val="nil"/>
                  </w:tcBorders>
                  <w:noWrap w:val="0"/>
                  <w:vAlign w:val="center"/>
                </w:tcPr>
                <w:p w14:paraId="63D4A6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eastAsia="宋体" w:cs="Times New Roman"/>
                      <w:bCs/>
                      <w:color w:val="auto"/>
                      <w:spacing w:val="0"/>
                      <w:sz w:val="21"/>
                      <w:szCs w:val="21"/>
                      <w:highlight w:val="none"/>
                      <w:lang w:val="en-US" w:eastAsia="zh-CN" w:bidi="ar"/>
                    </w:rPr>
                    <w:t>45.087159</w:t>
                  </w:r>
                </w:p>
              </w:tc>
              <w:tc>
                <w:tcPr>
                  <w:tcW w:w="566" w:type="pct"/>
                  <w:vMerge w:val="restart"/>
                  <w:tcBorders>
                    <w:tl2br w:val="nil"/>
                    <w:tr2bl w:val="nil"/>
                  </w:tcBorders>
                  <w:noWrap w:val="0"/>
                  <w:vAlign w:val="center"/>
                </w:tcPr>
                <w:p w14:paraId="2B8295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cs="Times New Roman"/>
                      <w:bCs/>
                      <w:color w:val="auto"/>
                      <w:spacing w:val="0"/>
                      <w:sz w:val="21"/>
                      <w:szCs w:val="21"/>
                      <w:highlight w:val="none"/>
                      <w:lang w:val="en-US" w:eastAsia="zh-CN" w:bidi="ar"/>
                    </w:rPr>
                    <w:t>35</w:t>
                  </w:r>
                </w:p>
              </w:tc>
              <w:tc>
                <w:tcPr>
                  <w:tcW w:w="683" w:type="pct"/>
                  <w:vMerge w:val="restart"/>
                  <w:tcBorders>
                    <w:tl2br w:val="nil"/>
                    <w:tr2bl w:val="nil"/>
                  </w:tcBorders>
                  <w:noWrap w:val="0"/>
                  <w:vAlign w:val="center"/>
                </w:tcPr>
                <w:p w14:paraId="392870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bidi="ar"/>
                    </w:rPr>
                  </w:pPr>
                  <w:r>
                    <w:rPr>
                      <w:rFonts w:hint="default" w:ascii="Times New Roman" w:hAnsi="Times New Roman" w:eastAsia="宋体" w:cs="Times New Roman"/>
                      <w:bCs/>
                      <w:color w:val="auto"/>
                      <w:spacing w:val="0"/>
                      <w:sz w:val="21"/>
                      <w:szCs w:val="21"/>
                      <w:highlight w:val="none"/>
                      <w:lang w:bidi="ar"/>
                    </w:rPr>
                    <w:t>0.</w:t>
                  </w:r>
                  <w:r>
                    <w:rPr>
                      <w:rFonts w:hint="default" w:ascii="Times New Roman" w:hAnsi="Times New Roman" w:cs="Times New Roman"/>
                      <w:bCs/>
                      <w:color w:val="auto"/>
                      <w:spacing w:val="0"/>
                      <w:sz w:val="21"/>
                      <w:szCs w:val="21"/>
                      <w:highlight w:val="none"/>
                      <w:lang w:val="en-US" w:eastAsia="zh-CN" w:bidi="ar"/>
                    </w:rPr>
                    <w:t>5</w:t>
                  </w:r>
                </w:p>
              </w:tc>
              <w:tc>
                <w:tcPr>
                  <w:tcW w:w="610" w:type="pct"/>
                  <w:vMerge w:val="restart"/>
                  <w:tcBorders>
                    <w:tl2br w:val="nil"/>
                    <w:tr2bl w:val="nil"/>
                  </w:tcBorders>
                  <w:noWrap w:val="0"/>
                  <w:vAlign w:val="center"/>
                </w:tcPr>
                <w:p w14:paraId="56BD61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r>
                    <w:rPr>
                      <w:rFonts w:hint="default" w:ascii="Times New Roman" w:hAnsi="Times New Roman" w:eastAsia="宋体" w:cs="Times New Roman"/>
                      <w:bCs/>
                      <w:color w:val="auto"/>
                      <w:spacing w:val="0"/>
                      <w:sz w:val="21"/>
                      <w:szCs w:val="21"/>
                      <w:highlight w:val="none"/>
                      <w:lang w:val="en-US" w:eastAsia="zh-CN" w:bidi="ar"/>
                    </w:rPr>
                    <w:t>80</w:t>
                  </w:r>
                </w:p>
              </w:tc>
            </w:tr>
            <w:tr w14:paraId="2C72D554">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6" w:type="pct"/>
                  <w:vMerge w:val="continue"/>
                  <w:tcBorders>
                    <w:tl2br w:val="nil"/>
                    <w:tr2bl w:val="nil"/>
                  </w:tcBorders>
                  <w:noWrap w:val="0"/>
                  <w:vAlign w:val="center"/>
                </w:tcPr>
                <w:p w14:paraId="597B94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542" w:type="pct"/>
                  <w:vMerge w:val="continue"/>
                  <w:tcBorders>
                    <w:tl2br w:val="nil"/>
                    <w:tr2bl w:val="nil"/>
                  </w:tcBorders>
                  <w:noWrap w:val="0"/>
                  <w:vAlign w:val="center"/>
                </w:tcPr>
                <w:p w14:paraId="140AAA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899" w:type="pct"/>
                  <w:vMerge w:val="continue"/>
                  <w:tcBorders>
                    <w:tl2br w:val="nil"/>
                    <w:tr2bl w:val="nil"/>
                  </w:tcBorders>
                  <w:noWrap w:val="0"/>
                  <w:vAlign w:val="center"/>
                </w:tcPr>
                <w:p w14:paraId="7B6581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579" w:type="pct"/>
                  <w:vMerge w:val="continue"/>
                  <w:tcBorders>
                    <w:tl2br w:val="nil"/>
                    <w:tr2bl w:val="nil"/>
                  </w:tcBorders>
                  <w:noWrap w:val="0"/>
                  <w:vAlign w:val="center"/>
                </w:tcPr>
                <w:p w14:paraId="723E9A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612" w:type="pct"/>
                  <w:vMerge w:val="continue"/>
                  <w:tcBorders>
                    <w:tl2br w:val="nil"/>
                    <w:tr2bl w:val="nil"/>
                  </w:tcBorders>
                  <w:noWrap w:val="0"/>
                  <w:vAlign w:val="center"/>
                </w:tcPr>
                <w:p w14:paraId="780749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566" w:type="pct"/>
                  <w:vMerge w:val="continue"/>
                  <w:tcBorders>
                    <w:tl2br w:val="nil"/>
                    <w:tr2bl w:val="nil"/>
                  </w:tcBorders>
                  <w:noWrap w:val="0"/>
                  <w:vAlign w:val="center"/>
                </w:tcPr>
                <w:p w14:paraId="2D88A8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683" w:type="pct"/>
                  <w:vMerge w:val="continue"/>
                  <w:tcBorders>
                    <w:tl2br w:val="nil"/>
                    <w:tr2bl w:val="nil"/>
                  </w:tcBorders>
                  <w:noWrap w:val="0"/>
                  <w:vAlign w:val="center"/>
                </w:tcPr>
                <w:p w14:paraId="5049F5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c>
                <w:tcPr>
                  <w:tcW w:w="610" w:type="pct"/>
                  <w:vMerge w:val="continue"/>
                  <w:tcBorders>
                    <w:tl2br w:val="nil"/>
                    <w:tr2bl w:val="nil"/>
                  </w:tcBorders>
                  <w:noWrap w:val="0"/>
                  <w:vAlign w:val="center"/>
                </w:tcPr>
                <w:p w14:paraId="6AE1DA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rPr>
                  </w:pPr>
                </w:p>
              </w:tc>
            </w:tr>
            <w:tr w14:paraId="39B1A35A">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6" w:type="pct"/>
                  <w:vMerge w:val="continue"/>
                  <w:tcBorders>
                    <w:tl2br w:val="nil"/>
                    <w:tr2bl w:val="nil"/>
                  </w:tcBorders>
                  <w:noWrap w:val="0"/>
                  <w:vAlign w:val="center"/>
                </w:tcPr>
                <w:p w14:paraId="20F42F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542" w:type="pct"/>
                  <w:vMerge w:val="continue"/>
                  <w:tcBorders>
                    <w:tl2br w:val="nil"/>
                    <w:tr2bl w:val="nil"/>
                  </w:tcBorders>
                  <w:noWrap w:val="0"/>
                  <w:vAlign w:val="center"/>
                </w:tcPr>
                <w:p w14:paraId="7B30EA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899" w:type="pct"/>
                  <w:vMerge w:val="continue"/>
                  <w:tcBorders>
                    <w:tl2br w:val="nil"/>
                    <w:tr2bl w:val="nil"/>
                  </w:tcBorders>
                  <w:noWrap w:val="0"/>
                  <w:vAlign w:val="center"/>
                </w:tcPr>
                <w:p w14:paraId="53C614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579" w:type="pct"/>
                  <w:vMerge w:val="continue"/>
                  <w:tcBorders>
                    <w:tl2br w:val="nil"/>
                    <w:tr2bl w:val="nil"/>
                  </w:tcBorders>
                  <w:noWrap w:val="0"/>
                  <w:vAlign w:val="center"/>
                </w:tcPr>
                <w:p w14:paraId="5B92DB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612" w:type="pct"/>
                  <w:vMerge w:val="continue"/>
                  <w:tcBorders>
                    <w:tl2br w:val="nil"/>
                    <w:tr2bl w:val="nil"/>
                  </w:tcBorders>
                  <w:noWrap w:val="0"/>
                  <w:vAlign w:val="center"/>
                </w:tcPr>
                <w:p w14:paraId="52EDB2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566" w:type="pct"/>
                  <w:vMerge w:val="continue"/>
                  <w:tcBorders>
                    <w:tl2br w:val="nil"/>
                    <w:tr2bl w:val="nil"/>
                  </w:tcBorders>
                  <w:noWrap w:val="0"/>
                  <w:vAlign w:val="center"/>
                </w:tcPr>
                <w:p w14:paraId="444FE95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683" w:type="pct"/>
                  <w:vMerge w:val="continue"/>
                  <w:tcBorders>
                    <w:tl2br w:val="nil"/>
                    <w:tr2bl w:val="nil"/>
                  </w:tcBorders>
                  <w:noWrap w:val="0"/>
                  <w:vAlign w:val="center"/>
                </w:tcPr>
                <w:p w14:paraId="09D058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610" w:type="pct"/>
                  <w:vMerge w:val="continue"/>
                  <w:tcBorders>
                    <w:tl2br w:val="nil"/>
                    <w:tr2bl w:val="nil"/>
                  </w:tcBorders>
                  <w:noWrap w:val="0"/>
                  <w:vAlign w:val="center"/>
                </w:tcPr>
                <w:p w14:paraId="1226A8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r>
            <w:tr w14:paraId="637A0CAC">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6" w:type="pct"/>
                  <w:vMerge w:val="continue"/>
                  <w:tcBorders>
                    <w:tl2br w:val="nil"/>
                    <w:tr2bl w:val="nil"/>
                  </w:tcBorders>
                  <w:noWrap w:val="0"/>
                  <w:vAlign w:val="center"/>
                </w:tcPr>
                <w:p w14:paraId="20FCB2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542" w:type="pct"/>
                  <w:vMerge w:val="continue"/>
                  <w:tcBorders>
                    <w:tl2br w:val="nil"/>
                    <w:tr2bl w:val="nil"/>
                  </w:tcBorders>
                  <w:noWrap w:val="0"/>
                  <w:vAlign w:val="center"/>
                </w:tcPr>
                <w:p w14:paraId="7DAB47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899" w:type="pct"/>
                  <w:vMerge w:val="continue"/>
                  <w:tcBorders>
                    <w:tl2br w:val="nil"/>
                    <w:tr2bl w:val="nil"/>
                  </w:tcBorders>
                  <w:noWrap w:val="0"/>
                  <w:vAlign w:val="center"/>
                </w:tcPr>
                <w:p w14:paraId="226953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579" w:type="pct"/>
                  <w:vMerge w:val="continue"/>
                  <w:tcBorders>
                    <w:tl2br w:val="nil"/>
                    <w:tr2bl w:val="nil"/>
                  </w:tcBorders>
                  <w:noWrap w:val="0"/>
                  <w:vAlign w:val="center"/>
                </w:tcPr>
                <w:p w14:paraId="06F02C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612" w:type="pct"/>
                  <w:vMerge w:val="continue"/>
                  <w:tcBorders>
                    <w:tl2br w:val="nil"/>
                    <w:tr2bl w:val="nil"/>
                  </w:tcBorders>
                  <w:noWrap w:val="0"/>
                  <w:vAlign w:val="center"/>
                </w:tcPr>
                <w:p w14:paraId="23710D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566" w:type="pct"/>
                  <w:vMerge w:val="continue"/>
                  <w:tcBorders>
                    <w:tl2br w:val="nil"/>
                    <w:tr2bl w:val="nil"/>
                  </w:tcBorders>
                  <w:noWrap w:val="0"/>
                  <w:vAlign w:val="center"/>
                </w:tcPr>
                <w:p w14:paraId="3B87FA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683" w:type="pct"/>
                  <w:vMerge w:val="continue"/>
                  <w:tcBorders>
                    <w:tl2br w:val="nil"/>
                    <w:tr2bl w:val="nil"/>
                  </w:tcBorders>
                  <w:noWrap w:val="0"/>
                  <w:vAlign w:val="center"/>
                </w:tcPr>
                <w:p w14:paraId="5B465F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c>
                <w:tcPr>
                  <w:tcW w:w="610" w:type="pct"/>
                  <w:vMerge w:val="continue"/>
                  <w:tcBorders>
                    <w:tl2br w:val="nil"/>
                    <w:tr2bl w:val="nil"/>
                  </w:tcBorders>
                  <w:noWrap w:val="0"/>
                  <w:vAlign w:val="center"/>
                </w:tcPr>
                <w:p w14:paraId="644241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0"/>
                      <w:sz w:val="21"/>
                      <w:szCs w:val="21"/>
                      <w:highlight w:val="none"/>
                      <w:lang w:val="en-US" w:eastAsia="zh-CN" w:bidi="ar"/>
                    </w:rPr>
                  </w:pPr>
                </w:p>
              </w:tc>
            </w:tr>
          </w:tbl>
          <w:p w14:paraId="7EB589D7">
            <w:pPr>
              <w:pStyle w:val="14"/>
              <w:ind w:left="0" w:leftChars="0" w:firstLine="0" w:firstLineChars="0"/>
              <w:rPr>
                <w:rFonts w:hint="default" w:ascii="宋体" w:hAnsi="宋体" w:eastAsia="宋体" w:cs="宋体"/>
                <w:b w:val="0"/>
                <w:bCs/>
                <w:color w:val="auto"/>
                <w:spacing w:val="0"/>
                <w:sz w:val="21"/>
                <w:szCs w:val="18"/>
                <w:highlight w:val="none"/>
                <w:lang w:val="en-US" w:eastAsia="zh-CN"/>
              </w:rPr>
            </w:pPr>
            <w:r>
              <w:rPr>
                <w:rFonts w:hint="eastAsia" w:cs="宋体"/>
                <w:b w:val="0"/>
                <w:bCs/>
                <w:color w:val="auto"/>
                <w:spacing w:val="0"/>
                <w:sz w:val="21"/>
                <w:szCs w:val="18"/>
                <w:highlight w:val="none"/>
                <w:lang w:val="en-US" w:eastAsia="zh-CN"/>
              </w:rPr>
              <w:t>注：排放口编号根据在建工程环境影响评价建设内容中排气筒编号顺延。</w:t>
            </w:r>
          </w:p>
          <w:p w14:paraId="07AC2D20">
            <w:pPr>
              <w:pStyle w:val="14"/>
              <w:rPr>
                <w:rFonts w:hint="eastAsia" w:ascii="宋体" w:hAnsi="宋体" w:eastAsia="宋体" w:cs="宋体"/>
                <w:b/>
                <w:bCs w:val="0"/>
                <w:color w:val="auto"/>
                <w:spacing w:val="0"/>
                <w:highlight w:val="none"/>
                <w:lang w:val="en-US" w:eastAsia="zh-CN"/>
              </w:rPr>
            </w:pPr>
            <w:r>
              <w:rPr>
                <w:rFonts w:hint="eastAsia" w:ascii="宋体" w:hAnsi="宋体" w:eastAsia="宋体" w:cs="宋体"/>
                <w:b/>
                <w:bCs w:val="0"/>
                <w:color w:val="auto"/>
                <w:spacing w:val="0"/>
                <w:highlight w:val="none"/>
                <w:lang w:val="en-US" w:eastAsia="zh-CN"/>
              </w:rPr>
              <w:t>（2）废气收集措施</w:t>
            </w:r>
          </w:p>
          <w:p w14:paraId="678C4DA7">
            <w:pPr>
              <w:pStyle w:val="14"/>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val="0"/>
                <w:color w:val="auto"/>
                <w:spacing w:val="0"/>
                <w:sz w:val="21"/>
                <w:szCs w:val="21"/>
                <w:highlight w:val="none"/>
                <w:lang w:val="en-US" w:eastAsia="zh-CN"/>
              </w:rPr>
            </w:pPr>
            <w:r>
              <w:rPr>
                <w:rFonts w:hint="eastAsia" w:ascii="宋体" w:hAnsi="宋体" w:eastAsia="宋体" w:cs="宋体"/>
                <w:b/>
                <w:bCs w:val="0"/>
                <w:color w:val="auto"/>
                <w:spacing w:val="0"/>
                <w:sz w:val="21"/>
                <w:szCs w:val="21"/>
                <w:highlight w:val="none"/>
                <w:lang w:val="en-US" w:eastAsia="zh-CN"/>
              </w:rPr>
              <w:t>表</w:t>
            </w:r>
            <w:r>
              <w:rPr>
                <w:rFonts w:hint="default" w:ascii="Times New Roman" w:hAnsi="Times New Roman" w:eastAsia="宋体" w:cs="Times New Roman"/>
                <w:b/>
                <w:bCs w:val="0"/>
                <w:color w:val="auto"/>
                <w:spacing w:val="0"/>
                <w:sz w:val="21"/>
                <w:szCs w:val="21"/>
                <w:highlight w:val="none"/>
                <w:lang w:val="en-US" w:eastAsia="zh-CN"/>
              </w:rPr>
              <w:t>4</w:t>
            </w:r>
            <w:r>
              <w:rPr>
                <w:rFonts w:hint="eastAsia" w:ascii="宋体" w:hAnsi="宋体" w:eastAsia="宋体" w:cs="宋体"/>
                <w:b/>
                <w:bCs w:val="0"/>
                <w:color w:val="auto"/>
                <w:spacing w:val="0"/>
                <w:sz w:val="21"/>
                <w:szCs w:val="21"/>
                <w:highlight w:val="none"/>
                <w:lang w:val="en-US" w:eastAsia="zh-CN"/>
              </w:rPr>
              <w:t>-</w:t>
            </w:r>
            <w:r>
              <w:rPr>
                <w:rFonts w:hint="default" w:ascii="Times New Roman" w:hAnsi="Times New Roman" w:cs="Times New Roman"/>
                <w:b/>
                <w:bCs w:val="0"/>
                <w:color w:val="auto"/>
                <w:spacing w:val="0"/>
                <w:sz w:val="21"/>
                <w:szCs w:val="21"/>
                <w:highlight w:val="none"/>
                <w:lang w:val="en-US" w:eastAsia="zh-CN"/>
              </w:rPr>
              <w:t>3</w:t>
            </w:r>
            <w:r>
              <w:rPr>
                <w:rFonts w:hint="eastAsia" w:ascii="宋体" w:hAnsi="宋体" w:eastAsia="宋体" w:cs="宋体"/>
                <w:b/>
                <w:bCs w:val="0"/>
                <w:color w:val="auto"/>
                <w:spacing w:val="0"/>
                <w:sz w:val="21"/>
                <w:szCs w:val="21"/>
                <w:highlight w:val="none"/>
                <w:lang w:val="en-US" w:eastAsia="zh-CN"/>
              </w:rPr>
              <w:t xml:space="preserve"> 排气筒设置情况</w:t>
            </w:r>
          </w:p>
          <w:tbl>
            <w:tblPr>
              <w:tblStyle w:val="37"/>
              <w:tblW w:w="7974" w:type="dxa"/>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6"/>
              <w:gridCol w:w="709"/>
              <w:gridCol w:w="1800"/>
              <w:gridCol w:w="927"/>
              <w:gridCol w:w="839"/>
              <w:gridCol w:w="790"/>
              <w:gridCol w:w="794"/>
              <w:gridCol w:w="602"/>
              <w:gridCol w:w="677"/>
            </w:tblGrid>
            <w:tr w14:paraId="0A938D90">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836" w:type="dxa"/>
                  <w:tcBorders>
                    <w:tl2br w:val="nil"/>
                    <w:tr2bl w:val="nil"/>
                  </w:tcBorders>
                  <w:noWrap w:val="0"/>
                  <w:vAlign w:val="center"/>
                </w:tcPr>
                <w:p w14:paraId="0413C9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排气筒编号</w:t>
                  </w:r>
                </w:p>
              </w:tc>
              <w:tc>
                <w:tcPr>
                  <w:tcW w:w="709" w:type="dxa"/>
                  <w:tcBorders>
                    <w:tl2br w:val="nil"/>
                    <w:tr2bl w:val="nil"/>
                  </w:tcBorders>
                  <w:noWrap w:val="0"/>
                  <w:vAlign w:val="center"/>
                </w:tcPr>
                <w:p w14:paraId="37083B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废气来源</w:t>
                  </w:r>
                </w:p>
              </w:tc>
              <w:tc>
                <w:tcPr>
                  <w:tcW w:w="1800" w:type="dxa"/>
                  <w:tcBorders>
                    <w:tl2br w:val="nil"/>
                    <w:tr2bl w:val="nil"/>
                  </w:tcBorders>
                  <w:noWrap w:val="0"/>
                  <w:vAlign w:val="center"/>
                </w:tcPr>
                <w:p w14:paraId="517069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污染物种类</w:t>
                  </w:r>
                </w:p>
              </w:tc>
              <w:tc>
                <w:tcPr>
                  <w:tcW w:w="927" w:type="dxa"/>
                  <w:tcBorders>
                    <w:tl2br w:val="nil"/>
                    <w:tr2bl w:val="nil"/>
                  </w:tcBorders>
                  <w:noWrap w:val="0"/>
                  <w:vAlign w:val="center"/>
                </w:tcPr>
                <w:p w14:paraId="7D3CFB0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生产设备</w:t>
                  </w:r>
                </w:p>
              </w:tc>
              <w:tc>
                <w:tcPr>
                  <w:tcW w:w="839" w:type="dxa"/>
                  <w:tcBorders>
                    <w:tl2br w:val="nil"/>
                    <w:tr2bl w:val="nil"/>
                  </w:tcBorders>
                  <w:noWrap w:val="0"/>
                  <w:vAlign w:val="center"/>
                </w:tcPr>
                <w:p w14:paraId="05C7A0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环保设备</w:t>
                  </w:r>
                </w:p>
              </w:tc>
              <w:tc>
                <w:tcPr>
                  <w:tcW w:w="790" w:type="dxa"/>
                  <w:tcBorders>
                    <w:tl2br w:val="nil"/>
                    <w:tr2bl w:val="nil"/>
                  </w:tcBorders>
                  <w:noWrap w:val="0"/>
                  <w:vAlign w:val="center"/>
                </w:tcPr>
                <w:p w14:paraId="3CD891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高度</w:t>
                  </w:r>
                  <w:r>
                    <w:rPr>
                      <w:rFonts w:hint="default" w:ascii="Times New Roman" w:hAnsi="Times New Roman" w:eastAsia="宋体" w:cs="Times New Roman"/>
                      <w:b/>
                      <w:bCs/>
                      <w:color w:val="auto"/>
                      <w:spacing w:val="0"/>
                      <w:sz w:val="21"/>
                      <w:szCs w:val="21"/>
                      <w:highlight w:val="none"/>
                    </w:rPr>
                    <w:t>m</w:t>
                  </w:r>
                </w:p>
              </w:tc>
              <w:tc>
                <w:tcPr>
                  <w:tcW w:w="794" w:type="dxa"/>
                  <w:tcBorders>
                    <w:tl2br w:val="nil"/>
                    <w:tr2bl w:val="nil"/>
                  </w:tcBorders>
                  <w:noWrap w:val="0"/>
                  <w:vAlign w:val="center"/>
                </w:tcPr>
                <w:p w14:paraId="25313B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内径</w:t>
                  </w:r>
                  <w:r>
                    <w:rPr>
                      <w:rFonts w:hint="default" w:ascii="Times New Roman" w:hAnsi="Times New Roman" w:eastAsia="宋体" w:cs="Times New Roman"/>
                      <w:b/>
                      <w:bCs/>
                      <w:color w:val="auto"/>
                      <w:spacing w:val="0"/>
                      <w:sz w:val="21"/>
                      <w:szCs w:val="21"/>
                      <w:highlight w:val="none"/>
                    </w:rPr>
                    <w:t>m</w:t>
                  </w:r>
                </w:p>
              </w:tc>
              <w:tc>
                <w:tcPr>
                  <w:tcW w:w="602" w:type="dxa"/>
                  <w:tcBorders>
                    <w:tl2br w:val="nil"/>
                    <w:tr2bl w:val="nil"/>
                  </w:tcBorders>
                  <w:noWrap w:val="0"/>
                  <w:vAlign w:val="center"/>
                </w:tcPr>
                <w:p w14:paraId="6338D5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温度</w:t>
                  </w:r>
                  <w:r>
                    <w:rPr>
                      <w:rFonts w:hint="eastAsia" w:ascii="宋体" w:hAnsi="宋体" w:eastAsia="宋体" w:cs="宋体"/>
                      <w:b/>
                      <w:bCs/>
                      <w:color w:val="auto"/>
                      <w:spacing w:val="0"/>
                      <w:sz w:val="21"/>
                      <w:szCs w:val="21"/>
                      <w:highlight w:val="none"/>
                      <w:lang w:bidi="ar"/>
                    </w:rPr>
                    <w:t>°C</w:t>
                  </w:r>
                </w:p>
              </w:tc>
              <w:tc>
                <w:tcPr>
                  <w:tcW w:w="677" w:type="dxa"/>
                  <w:tcBorders>
                    <w:tl2br w:val="nil"/>
                    <w:tr2bl w:val="nil"/>
                  </w:tcBorders>
                  <w:noWrap w:val="0"/>
                  <w:vAlign w:val="center"/>
                </w:tcPr>
                <w:p w14:paraId="3E6366E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设计风量</w:t>
                  </w:r>
                  <w:r>
                    <w:rPr>
                      <w:rFonts w:hint="eastAsia" w:ascii="宋体" w:hAnsi="宋体" w:eastAsia="宋体" w:cs="宋体"/>
                      <w:b/>
                      <w:bCs/>
                      <w:color w:val="auto"/>
                      <w:spacing w:val="0"/>
                      <w:sz w:val="21"/>
                      <w:szCs w:val="21"/>
                      <w:highlight w:val="none"/>
                      <w:lang w:eastAsia="zh-CN"/>
                    </w:rPr>
                    <w:t>m</w:t>
                  </w:r>
                  <w:r>
                    <w:rPr>
                      <w:rFonts w:hint="eastAsia" w:ascii="宋体" w:hAnsi="宋体" w:eastAsia="宋体" w:cs="宋体"/>
                      <w:b/>
                      <w:bCs/>
                      <w:caps w:val="0"/>
                      <w:smallCaps w:val="0"/>
                      <w:strike w:val="0"/>
                      <w:dstrike w:val="0"/>
                      <w:vanish w:val="0"/>
                      <w:color w:val="auto"/>
                      <w:spacing w:val="0"/>
                      <w:sz w:val="21"/>
                      <w:szCs w:val="21"/>
                      <w:highlight w:val="none"/>
                      <w:vertAlign w:val="superscript"/>
                      <w:lang w:eastAsia="zh-CN"/>
                    </w:rPr>
                    <w:t>3</w:t>
                  </w:r>
                  <w:r>
                    <w:rPr>
                      <w:rFonts w:hint="eastAsia" w:ascii="宋体" w:hAnsi="宋体" w:eastAsia="宋体" w:cs="宋体"/>
                      <w:b/>
                      <w:bCs/>
                      <w:color w:val="auto"/>
                      <w:spacing w:val="0"/>
                      <w:sz w:val="21"/>
                      <w:szCs w:val="21"/>
                      <w:highlight w:val="none"/>
                    </w:rPr>
                    <w:t>/h</w:t>
                  </w:r>
                </w:p>
              </w:tc>
            </w:tr>
            <w:tr w14:paraId="2CE65ECF">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836" w:type="dxa"/>
                  <w:tcBorders>
                    <w:tl2br w:val="nil"/>
                    <w:tr2bl w:val="nil"/>
                  </w:tcBorders>
                  <w:noWrap w:val="0"/>
                  <w:vAlign w:val="center"/>
                </w:tcPr>
                <w:p w14:paraId="37B289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DA010</w:t>
                  </w:r>
                </w:p>
              </w:tc>
              <w:tc>
                <w:tcPr>
                  <w:tcW w:w="709" w:type="dxa"/>
                  <w:tcBorders>
                    <w:tl2br w:val="nil"/>
                    <w:tr2bl w:val="nil"/>
                  </w:tcBorders>
                  <w:noWrap w:val="0"/>
                  <w:vAlign w:val="center"/>
                </w:tcPr>
                <w:p w14:paraId="3474D6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锅炉废气</w:t>
                  </w:r>
                </w:p>
              </w:tc>
              <w:tc>
                <w:tcPr>
                  <w:tcW w:w="1800" w:type="dxa"/>
                  <w:tcBorders>
                    <w:tl2br w:val="nil"/>
                    <w:tr2bl w:val="nil"/>
                  </w:tcBorders>
                  <w:noWrap w:val="0"/>
                  <w:vAlign w:val="center"/>
                </w:tcPr>
                <w:p w14:paraId="692A2C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color w:val="auto"/>
                      <w:spacing w:val="0"/>
                      <w:kern w:val="2"/>
                      <w:sz w:val="21"/>
                      <w:szCs w:val="21"/>
                      <w:highlight w:val="none"/>
                      <w:lang w:val="en-US" w:eastAsia="zh-CN" w:bidi="ar-SA"/>
                    </w:rPr>
                  </w:pPr>
                  <w:r>
                    <w:rPr>
                      <w:rFonts w:hint="eastAsia" w:ascii="宋体" w:hAnsi="宋体" w:eastAsia="宋体" w:cs="宋体"/>
                      <w:color w:val="auto"/>
                      <w:spacing w:val="0"/>
                      <w:sz w:val="21"/>
                      <w:szCs w:val="21"/>
                      <w:highlight w:val="none"/>
                      <w:lang w:val="en-US" w:eastAsia="zh-CN"/>
                    </w:rPr>
                    <w:t>二氧化硫、氮氧化物、</w:t>
                  </w:r>
                  <w:r>
                    <w:rPr>
                      <w:rFonts w:hint="eastAsia" w:ascii="宋体" w:hAnsi="宋体" w:eastAsia="宋体" w:cs="宋体"/>
                      <w:color w:val="auto"/>
                      <w:spacing w:val="0"/>
                      <w:sz w:val="21"/>
                      <w:szCs w:val="21"/>
                      <w:highlight w:val="none"/>
                    </w:rPr>
                    <w:t>颗粒物</w:t>
                  </w:r>
                  <w:r>
                    <w:rPr>
                      <w:rFonts w:hint="eastAsia" w:cs="宋体"/>
                      <w:color w:val="auto"/>
                      <w:spacing w:val="0"/>
                      <w:sz w:val="21"/>
                      <w:szCs w:val="21"/>
                      <w:highlight w:val="none"/>
                      <w:lang w:eastAsia="zh-CN"/>
                    </w:rPr>
                    <w:t>、</w:t>
                  </w:r>
                  <w:r>
                    <w:rPr>
                      <w:rFonts w:hint="eastAsia" w:cs="宋体"/>
                      <w:bCs/>
                      <w:color w:val="auto"/>
                      <w:spacing w:val="0"/>
                      <w:sz w:val="21"/>
                      <w:szCs w:val="21"/>
                      <w:highlight w:val="none"/>
                      <w:lang w:val="en-US" w:eastAsia="zh-CN" w:bidi="ar"/>
                    </w:rPr>
                    <w:t>烟气黑度</w:t>
                  </w:r>
                  <w:r>
                    <w:rPr>
                      <w:rFonts w:hint="eastAsia" w:ascii="Times New Roman" w:hAnsi="Times New Roman" w:cs="Times New Roman"/>
                      <w:bCs/>
                      <w:color w:val="auto"/>
                      <w:spacing w:val="0"/>
                      <w:sz w:val="21"/>
                      <w:szCs w:val="21"/>
                      <w:highlight w:val="none"/>
                      <w:lang w:val="en-US" w:eastAsia="zh-CN" w:bidi="ar"/>
                    </w:rPr>
                    <w:t>、汞及其化合物</w:t>
                  </w:r>
                </w:p>
              </w:tc>
              <w:tc>
                <w:tcPr>
                  <w:tcW w:w="927" w:type="dxa"/>
                  <w:tcBorders>
                    <w:tl2br w:val="nil"/>
                    <w:tr2bl w:val="nil"/>
                  </w:tcBorders>
                  <w:noWrap w:val="0"/>
                  <w:vAlign w:val="center"/>
                </w:tcPr>
                <w:p w14:paraId="0853E5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6t/h</w:t>
                  </w:r>
                  <w:r>
                    <w:rPr>
                      <w:rFonts w:hint="eastAsia" w:cs="宋体"/>
                      <w:color w:val="auto"/>
                      <w:spacing w:val="0"/>
                      <w:sz w:val="21"/>
                      <w:szCs w:val="21"/>
                      <w:highlight w:val="none"/>
                      <w:lang w:val="en-US" w:eastAsia="zh-CN"/>
                    </w:rPr>
                    <w:t>生物质锅炉</w:t>
                  </w:r>
                </w:p>
              </w:tc>
              <w:tc>
                <w:tcPr>
                  <w:tcW w:w="839" w:type="dxa"/>
                  <w:tcBorders>
                    <w:tl2br w:val="nil"/>
                    <w:tr2bl w:val="nil"/>
                  </w:tcBorders>
                  <w:noWrap w:val="0"/>
                  <w:vAlign w:val="center"/>
                </w:tcPr>
                <w:p w14:paraId="425860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低氮燃烧+旋风除尘器+布袋除尘器</w:t>
                  </w:r>
                </w:p>
              </w:tc>
              <w:tc>
                <w:tcPr>
                  <w:tcW w:w="790" w:type="dxa"/>
                  <w:tcBorders>
                    <w:tl2br w:val="nil"/>
                    <w:tr2bl w:val="nil"/>
                  </w:tcBorders>
                  <w:noWrap w:val="0"/>
                  <w:vAlign w:val="center"/>
                </w:tcPr>
                <w:p w14:paraId="272113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35</w:t>
                  </w:r>
                </w:p>
              </w:tc>
              <w:tc>
                <w:tcPr>
                  <w:tcW w:w="794" w:type="dxa"/>
                  <w:tcBorders>
                    <w:tl2br w:val="nil"/>
                    <w:tr2bl w:val="nil"/>
                  </w:tcBorders>
                  <w:noWrap w:val="0"/>
                  <w:vAlign w:val="center"/>
                </w:tcPr>
                <w:p w14:paraId="314665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default" w:ascii="Times New Roman" w:hAnsi="Times New Roman" w:eastAsia="宋体" w:cs="Times New Roman"/>
                      <w:color w:val="auto"/>
                      <w:spacing w:val="0"/>
                      <w:sz w:val="21"/>
                      <w:szCs w:val="21"/>
                      <w:highlight w:val="none"/>
                    </w:rPr>
                    <w:t>0</w:t>
                  </w:r>
                  <w:r>
                    <w:rPr>
                      <w:rFonts w:hint="eastAsia" w:ascii="宋体" w:hAnsi="宋体" w:eastAsia="宋体" w:cs="宋体"/>
                      <w:color w:val="auto"/>
                      <w:spacing w:val="0"/>
                      <w:sz w:val="21"/>
                      <w:szCs w:val="21"/>
                      <w:highlight w:val="none"/>
                    </w:rPr>
                    <w:t>.</w:t>
                  </w:r>
                  <w:r>
                    <w:rPr>
                      <w:rFonts w:hint="default" w:ascii="Times New Roman" w:hAnsi="Times New Roman" w:cs="Times New Roman"/>
                      <w:color w:val="auto"/>
                      <w:spacing w:val="0"/>
                      <w:sz w:val="21"/>
                      <w:szCs w:val="21"/>
                      <w:highlight w:val="none"/>
                      <w:lang w:val="en-US" w:eastAsia="zh-CN"/>
                    </w:rPr>
                    <w:t>5</w:t>
                  </w:r>
                </w:p>
              </w:tc>
              <w:tc>
                <w:tcPr>
                  <w:tcW w:w="602" w:type="dxa"/>
                  <w:tcBorders>
                    <w:tl2br w:val="nil"/>
                    <w:tr2bl w:val="nil"/>
                  </w:tcBorders>
                  <w:noWrap w:val="0"/>
                  <w:vAlign w:val="center"/>
                </w:tcPr>
                <w:p w14:paraId="461AF13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80</w:t>
                  </w:r>
                </w:p>
              </w:tc>
              <w:tc>
                <w:tcPr>
                  <w:tcW w:w="677" w:type="dxa"/>
                  <w:tcBorders>
                    <w:tl2br w:val="nil"/>
                    <w:tr2bl w:val="nil"/>
                  </w:tcBorders>
                  <w:noWrap w:val="0"/>
                  <w:vAlign w:val="center"/>
                </w:tcPr>
                <w:p w14:paraId="0AFCA2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w:t>
                  </w:r>
                </w:p>
              </w:tc>
            </w:tr>
          </w:tbl>
          <w:p w14:paraId="2330FDD4">
            <w:pPr>
              <w:pStyle w:val="14"/>
              <w:rPr>
                <w:rFonts w:hint="eastAsia" w:ascii="宋体" w:hAnsi="宋体" w:eastAsia="宋体" w:cs="宋体"/>
                <w:b/>
                <w:bCs w:val="0"/>
                <w:color w:val="auto"/>
                <w:spacing w:val="0"/>
                <w:highlight w:val="none"/>
                <w:lang w:val="en-US" w:eastAsia="zh-CN"/>
              </w:rPr>
            </w:pPr>
            <w:r>
              <w:rPr>
                <w:rFonts w:hint="eastAsia" w:ascii="宋体" w:hAnsi="宋体" w:eastAsia="宋体" w:cs="宋体"/>
                <w:b/>
                <w:bCs w:val="0"/>
                <w:color w:val="auto"/>
                <w:spacing w:val="0"/>
                <w:highlight w:val="none"/>
                <w:lang w:val="en-US" w:eastAsia="zh-CN"/>
              </w:rPr>
              <w:t>1.2</w:t>
            </w:r>
            <w:r>
              <w:rPr>
                <w:rFonts w:hint="eastAsia" w:cs="宋体"/>
                <w:b/>
                <w:bCs w:val="0"/>
                <w:color w:val="auto"/>
                <w:spacing w:val="0"/>
                <w:highlight w:val="none"/>
                <w:lang w:val="en-US" w:eastAsia="zh-CN"/>
              </w:rPr>
              <w:t>烟囱</w:t>
            </w:r>
            <w:r>
              <w:rPr>
                <w:rFonts w:hint="eastAsia" w:ascii="宋体" w:hAnsi="宋体" w:eastAsia="宋体" w:cs="宋体"/>
                <w:b/>
                <w:bCs w:val="0"/>
                <w:color w:val="auto"/>
                <w:spacing w:val="0"/>
                <w:highlight w:val="none"/>
                <w:lang w:val="en-US" w:eastAsia="zh-CN"/>
              </w:rPr>
              <w:t>高度</w:t>
            </w:r>
            <w:r>
              <w:rPr>
                <w:rFonts w:hint="eastAsia" w:cs="宋体"/>
                <w:b/>
                <w:bCs w:val="0"/>
                <w:color w:val="auto"/>
                <w:spacing w:val="0"/>
                <w:highlight w:val="none"/>
                <w:lang w:val="en-US" w:eastAsia="zh-CN"/>
              </w:rPr>
              <w:t>设置</w:t>
            </w:r>
            <w:r>
              <w:rPr>
                <w:rFonts w:hint="eastAsia" w:ascii="宋体" w:hAnsi="宋体" w:eastAsia="宋体" w:cs="宋体"/>
                <w:b/>
                <w:bCs w:val="0"/>
                <w:color w:val="auto"/>
                <w:spacing w:val="0"/>
                <w:highlight w:val="none"/>
                <w:lang w:val="en-US" w:eastAsia="zh-CN"/>
              </w:rPr>
              <w:t>合理性分析</w:t>
            </w:r>
          </w:p>
          <w:p w14:paraId="67D2A9A3">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b w:val="0"/>
                <w:bCs w:val="0"/>
                <w:color w:val="auto"/>
                <w:spacing w:val="0"/>
                <w:kern w:val="0"/>
                <w:sz w:val="24"/>
                <w:szCs w:val="24"/>
                <w:highlight w:val="none"/>
                <w:lang w:val="en-US" w:eastAsia="zh-CN" w:bidi="ar-SA"/>
              </w:rPr>
            </w:pPr>
            <w:r>
              <w:rPr>
                <w:rFonts w:hint="eastAsia" w:ascii="宋体" w:hAnsi="宋体" w:eastAsia="宋体" w:cs="宋体"/>
                <w:b w:val="0"/>
                <w:bCs/>
                <w:color w:val="auto"/>
                <w:spacing w:val="0"/>
                <w:sz w:val="24"/>
                <w:highlight w:val="none"/>
                <w:lang w:val="en-US" w:eastAsia="zh-CN"/>
              </w:rPr>
              <w:t>本项目</w:t>
            </w:r>
            <w:r>
              <w:rPr>
                <w:rFonts w:hint="eastAsia" w:cs="宋体"/>
                <w:b w:val="0"/>
                <w:bCs w:val="0"/>
                <w:color w:val="auto"/>
                <w:spacing w:val="0"/>
                <w:kern w:val="0"/>
                <w:sz w:val="24"/>
                <w:szCs w:val="24"/>
                <w:highlight w:val="none"/>
                <w:lang w:val="en-US" w:eastAsia="zh-CN" w:bidi="ar-SA"/>
              </w:rPr>
              <w:t>锅炉房</w:t>
            </w:r>
            <w:r>
              <w:rPr>
                <w:rFonts w:hint="default" w:ascii="Times New Roman" w:hAnsi="Times New Roman" w:cs="Times New Roman"/>
                <w:b w:val="0"/>
                <w:bCs/>
                <w:color w:val="auto"/>
                <w:spacing w:val="0"/>
                <w:sz w:val="24"/>
                <w:highlight w:val="none"/>
                <w:lang w:val="en-US" w:eastAsia="zh-CN"/>
              </w:rPr>
              <w:t>DA010</w:t>
            </w:r>
            <w:r>
              <w:rPr>
                <w:rFonts w:hint="eastAsia" w:ascii="宋体" w:hAnsi="宋体" w:eastAsia="宋体" w:cs="宋体"/>
                <w:b w:val="0"/>
                <w:bCs/>
                <w:color w:val="auto"/>
                <w:spacing w:val="0"/>
                <w:sz w:val="24"/>
                <w:highlight w:val="none"/>
                <w:lang w:val="en-US" w:eastAsia="zh-CN"/>
              </w:rPr>
              <w:t>烟囱建设高度</w:t>
            </w:r>
            <w:r>
              <w:rPr>
                <w:rFonts w:hint="default" w:ascii="Times New Roman" w:hAnsi="Times New Roman" w:cs="Times New Roman"/>
                <w:b w:val="0"/>
                <w:bCs/>
                <w:color w:val="auto"/>
                <w:spacing w:val="0"/>
                <w:sz w:val="24"/>
                <w:highlight w:val="none"/>
                <w:lang w:val="en-US" w:eastAsia="zh-CN"/>
              </w:rPr>
              <w:t>35</w:t>
            </w:r>
            <w:r>
              <w:rPr>
                <w:rFonts w:hint="eastAsia" w:ascii="宋体" w:hAnsi="宋体" w:eastAsia="宋体" w:cs="宋体"/>
                <w:b w:val="0"/>
                <w:bCs/>
                <w:color w:val="auto"/>
                <w:spacing w:val="0"/>
                <w:sz w:val="24"/>
                <w:highlight w:val="none"/>
                <w:lang w:val="en-US" w:eastAsia="zh-CN"/>
              </w:rPr>
              <w:t>米，满足</w:t>
            </w:r>
            <w:r>
              <w:rPr>
                <w:rFonts w:hint="eastAsia" w:ascii="宋体" w:hAnsi="宋体" w:eastAsia="宋体" w:cs="宋体"/>
                <w:color w:val="auto"/>
                <w:spacing w:val="0"/>
                <w:sz w:val="24"/>
                <w:highlight w:val="none"/>
              </w:rPr>
              <w:t>《</w:t>
            </w:r>
            <w:r>
              <w:rPr>
                <w:rFonts w:hint="eastAsia" w:ascii="宋体" w:hAnsi="宋体" w:eastAsia="宋体" w:cs="宋体"/>
                <w:color w:val="auto"/>
                <w:spacing w:val="0"/>
                <w:sz w:val="24"/>
                <w:highlight w:val="none"/>
                <w:lang w:val="en-US" w:eastAsia="zh-CN"/>
              </w:rPr>
              <w:t>锅炉大气污染物排放标准</w:t>
            </w:r>
            <w:r>
              <w:rPr>
                <w:rFonts w:hint="eastAsia" w:ascii="宋体" w:hAnsi="宋体" w:eastAsia="宋体" w:cs="宋体"/>
                <w:color w:val="auto"/>
                <w:spacing w:val="0"/>
                <w:sz w:val="24"/>
                <w:highlight w:val="none"/>
              </w:rPr>
              <w:t>》（</w:t>
            </w:r>
            <w:r>
              <w:rPr>
                <w:rFonts w:hint="default" w:ascii="Times New Roman" w:hAnsi="Times New Roman" w:eastAsia="宋体" w:cs="Times New Roman"/>
                <w:color w:val="auto"/>
                <w:spacing w:val="0"/>
                <w:sz w:val="24"/>
                <w:highlight w:val="none"/>
              </w:rPr>
              <w:t>GB</w:t>
            </w:r>
            <w:r>
              <w:rPr>
                <w:rFonts w:hint="default" w:ascii="Times New Roman" w:hAnsi="Times New Roman" w:eastAsia="宋体" w:cs="Times New Roman"/>
                <w:color w:val="auto"/>
                <w:spacing w:val="0"/>
                <w:sz w:val="24"/>
                <w:highlight w:val="none"/>
                <w:lang w:val="en-US" w:eastAsia="zh-CN"/>
              </w:rPr>
              <w:t>13271</w:t>
            </w:r>
            <w:r>
              <w:rPr>
                <w:rFonts w:hint="eastAsia" w:ascii="宋体" w:hAnsi="宋体" w:eastAsia="宋体" w:cs="宋体"/>
                <w:color w:val="auto"/>
                <w:spacing w:val="0"/>
                <w:sz w:val="24"/>
                <w:highlight w:val="none"/>
              </w:rPr>
              <w:t>-</w:t>
            </w:r>
            <w:r>
              <w:rPr>
                <w:rFonts w:hint="default" w:ascii="Times New Roman" w:hAnsi="Times New Roman" w:eastAsia="宋体" w:cs="Times New Roman"/>
                <w:color w:val="auto"/>
                <w:spacing w:val="0"/>
                <w:sz w:val="24"/>
                <w:highlight w:val="none"/>
                <w:lang w:val="en-US" w:eastAsia="zh-CN"/>
              </w:rPr>
              <w:t>2014</w:t>
            </w:r>
            <w:r>
              <w:rPr>
                <w:rFonts w:hint="eastAsia" w:ascii="宋体" w:hAnsi="宋体" w:eastAsia="宋体" w:cs="宋体"/>
                <w:color w:val="auto"/>
                <w:spacing w:val="0"/>
                <w:sz w:val="24"/>
                <w:highlight w:val="none"/>
              </w:rPr>
              <w:t>）</w:t>
            </w:r>
            <w:r>
              <w:rPr>
                <w:rFonts w:hint="eastAsia" w:cs="宋体"/>
                <w:b w:val="0"/>
                <w:bCs w:val="0"/>
                <w:color w:val="auto"/>
                <w:spacing w:val="0"/>
                <w:kern w:val="0"/>
                <w:sz w:val="24"/>
                <w:szCs w:val="24"/>
                <w:highlight w:val="none"/>
                <w:lang w:val="en-US" w:eastAsia="zh-CN" w:bidi="ar-SA"/>
              </w:rPr>
              <w:t>燃煤锅炉房烟囱最低允许高度</w:t>
            </w:r>
            <w:r>
              <w:rPr>
                <w:rFonts w:hint="eastAsia" w:ascii="宋体" w:hAnsi="宋体" w:eastAsia="宋体" w:cs="宋体"/>
                <w:b w:val="0"/>
                <w:bCs w:val="0"/>
                <w:color w:val="auto"/>
                <w:spacing w:val="0"/>
                <w:kern w:val="0"/>
                <w:sz w:val="24"/>
                <w:szCs w:val="24"/>
                <w:highlight w:val="none"/>
                <w:lang w:val="en-US" w:eastAsia="zh-CN" w:bidi="ar-SA"/>
              </w:rPr>
              <w:t>。本项目</w:t>
            </w:r>
            <w:r>
              <w:rPr>
                <w:rFonts w:hint="eastAsia" w:cs="宋体"/>
                <w:b w:val="0"/>
                <w:bCs w:val="0"/>
                <w:color w:val="auto"/>
                <w:spacing w:val="0"/>
                <w:kern w:val="0"/>
                <w:sz w:val="24"/>
                <w:szCs w:val="24"/>
                <w:highlight w:val="none"/>
                <w:lang w:val="en-US" w:eastAsia="zh-CN" w:bidi="ar-SA"/>
              </w:rPr>
              <w:t>锅炉房烟囱周围半径</w:t>
            </w:r>
            <w:r>
              <w:rPr>
                <w:rFonts w:hint="default" w:ascii="Times New Roman" w:hAnsi="Times New Roman" w:eastAsia="宋体" w:cs="Times New Roman"/>
                <w:b w:val="0"/>
                <w:bCs w:val="0"/>
                <w:color w:val="auto"/>
                <w:spacing w:val="0"/>
                <w:kern w:val="0"/>
                <w:sz w:val="24"/>
                <w:szCs w:val="24"/>
                <w:highlight w:val="none"/>
                <w:lang w:val="en-US" w:eastAsia="zh-CN" w:bidi="ar-SA"/>
              </w:rPr>
              <w:t>200</w:t>
            </w:r>
            <w:r>
              <w:rPr>
                <w:rFonts w:hint="eastAsia" w:ascii="宋体" w:hAnsi="宋体" w:eastAsia="宋体" w:cs="宋体"/>
                <w:b w:val="0"/>
                <w:bCs w:val="0"/>
                <w:color w:val="auto"/>
                <w:spacing w:val="0"/>
                <w:kern w:val="0"/>
                <w:sz w:val="24"/>
                <w:szCs w:val="24"/>
                <w:highlight w:val="none"/>
                <w:lang w:val="en-US" w:eastAsia="zh-CN" w:bidi="ar-SA"/>
              </w:rPr>
              <w:t>米范围内最高建筑为</w:t>
            </w:r>
            <w:r>
              <w:rPr>
                <w:rFonts w:hint="eastAsia" w:cs="宋体"/>
                <w:b w:val="0"/>
                <w:bCs w:val="0"/>
                <w:color w:val="auto"/>
                <w:spacing w:val="0"/>
                <w:kern w:val="0"/>
                <w:sz w:val="24"/>
                <w:szCs w:val="24"/>
                <w:highlight w:val="none"/>
                <w:lang w:val="en-US" w:eastAsia="zh-CN" w:bidi="ar-SA"/>
              </w:rPr>
              <w:t>本</w:t>
            </w:r>
            <w:r>
              <w:rPr>
                <w:rFonts w:hint="eastAsia" w:ascii="宋体" w:hAnsi="宋体" w:eastAsia="宋体" w:cs="宋体"/>
                <w:b w:val="0"/>
                <w:bCs w:val="0"/>
                <w:color w:val="auto"/>
                <w:spacing w:val="0"/>
                <w:kern w:val="0"/>
                <w:sz w:val="24"/>
                <w:szCs w:val="24"/>
                <w:highlight w:val="none"/>
                <w:lang w:val="en-US" w:eastAsia="zh-CN" w:bidi="ar-SA"/>
              </w:rPr>
              <w:t>项目</w:t>
            </w:r>
            <w:r>
              <w:rPr>
                <w:rFonts w:hint="eastAsia" w:cs="宋体"/>
                <w:b w:val="0"/>
                <w:bCs w:val="0"/>
                <w:color w:val="auto"/>
                <w:spacing w:val="0"/>
                <w:kern w:val="0"/>
                <w:sz w:val="24"/>
                <w:szCs w:val="24"/>
                <w:highlight w:val="none"/>
                <w:lang w:val="en-US" w:eastAsia="zh-CN" w:bidi="ar-SA"/>
              </w:rPr>
              <w:t>生产车间，</w:t>
            </w:r>
            <w:r>
              <w:rPr>
                <w:rFonts w:hint="eastAsia" w:ascii="宋体" w:hAnsi="宋体" w:eastAsia="宋体" w:cs="宋体"/>
                <w:b w:val="0"/>
                <w:bCs w:val="0"/>
                <w:color w:val="auto"/>
                <w:spacing w:val="0"/>
                <w:kern w:val="0"/>
                <w:sz w:val="24"/>
                <w:szCs w:val="24"/>
                <w:highlight w:val="none"/>
                <w:lang w:val="en-US" w:eastAsia="zh-CN" w:bidi="ar-SA"/>
              </w:rPr>
              <w:t>高度</w:t>
            </w:r>
            <w:r>
              <w:rPr>
                <w:rFonts w:hint="default" w:ascii="Times New Roman" w:hAnsi="Times New Roman" w:cs="Times New Roman"/>
                <w:b w:val="0"/>
                <w:bCs w:val="0"/>
                <w:color w:val="auto"/>
                <w:spacing w:val="0"/>
                <w:kern w:val="0"/>
                <w:sz w:val="24"/>
                <w:szCs w:val="24"/>
                <w:highlight w:val="none"/>
                <w:lang w:val="en-US" w:eastAsia="zh-CN" w:bidi="ar-SA"/>
              </w:rPr>
              <w:t>20</w:t>
            </w:r>
            <w:r>
              <w:rPr>
                <w:rFonts w:hint="eastAsia" w:cs="宋体"/>
                <w:b w:val="0"/>
                <w:bCs w:val="0"/>
                <w:color w:val="auto"/>
                <w:spacing w:val="0"/>
                <w:kern w:val="0"/>
                <w:sz w:val="24"/>
                <w:szCs w:val="24"/>
                <w:highlight w:val="none"/>
                <w:lang w:val="en-US" w:eastAsia="zh-CN" w:bidi="ar-SA"/>
              </w:rPr>
              <w:t>.</w:t>
            </w:r>
            <w:r>
              <w:rPr>
                <w:rFonts w:hint="default" w:ascii="Times New Roman" w:hAnsi="Times New Roman" w:cs="Times New Roman"/>
                <w:b w:val="0"/>
                <w:bCs w:val="0"/>
                <w:color w:val="auto"/>
                <w:spacing w:val="0"/>
                <w:kern w:val="0"/>
                <w:sz w:val="24"/>
                <w:szCs w:val="24"/>
                <w:highlight w:val="none"/>
                <w:lang w:val="en-US" w:eastAsia="zh-CN" w:bidi="ar-SA"/>
              </w:rPr>
              <w:t>5</w:t>
            </w:r>
            <w:r>
              <w:rPr>
                <w:rFonts w:hint="default" w:ascii="Times New Roman" w:hAnsi="Times New Roman" w:eastAsia="宋体" w:cs="Times New Roman"/>
                <w:b w:val="0"/>
                <w:bCs w:val="0"/>
                <w:color w:val="auto"/>
                <w:spacing w:val="0"/>
                <w:kern w:val="0"/>
                <w:sz w:val="24"/>
                <w:szCs w:val="24"/>
                <w:highlight w:val="none"/>
                <w:lang w:val="en-US" w:eastAsia="zh-CN" w:bidi="ar-SA"/>
              </w:rPr>
              <w:t>m</w:t>
            </w:r>
            <w:r>
              <w:rPr>
                <w:rFonts w:hint="eastAsia" w:ascii="宋体" w:hAnsi="宋体" w:eastAsia="宋体" w:cs="宋体"/>
                <w:b w:val="0"/>
                <w:bCs w:val="0"/>
                <w:color w:val="auto"/>
                <w:spacing w:val="0"/>
                <w:kern w:val="0"/>
                <w:sz w:val="24"/>
                <w:szCs w:val="24"/>
                <w:highlight w:val="none"/>
                <w:lang w:val="en-US" w:eastAsia="zh-CN" w:bidi="ar-SA"/>
              </w:rPr>
              <w:t>，满足高出最高建筑物</w:t>
            </w:r>
            <w:r>
              <w:rPr>
                <w:rFonts w:hint="default" w:ascii="Times New Roman" w:hAnsi="Times New Roman" w:eastAsia="宋体" w:cs="Times New Roman"/>
                <w:b w:val="0"/>
                <w:bCs w:val="0"/>
                <w:color w:val="auto"/>
                <w:spacing w:val="0"/>
                <w:kern w:val="0"/>
                <w:sz w:val="24"/>
                <w:szCs w:val="24"/>
                <w:highlight w:val="none"/>
                <w:lang w:val="en-US" w:eastAsia="zh-CN" w:bidi="ar-SA"/>
              </w:rPr>
              <w:t>3m</w:t>
            </w:r>
            <w:r>
              <w:rPr>
                <w:rFonts w:hint="eastAsia" w:ascii="宋体" w:hAnsi="宋体" w:eastAsia="宋体" w:cs="宋体"/>
                <w:b w:val="0"/>
                <w:bCs w:val="0"/>
                <w:color w:val="auto"/>
                <w:spacing w:val="0"/>
                <w:kern w:val="0"/>
                <w:sz w:val="24"/>
                <w:szCs w:val="24"/>
                <w:highlight w:val="none"/>
                <w:lang w:val="en-US" w:eastAsia="zh-CN" w:bidi="ar-SA"/>
              </w:rPr>
              <w:t>以上要求。</w:t>
            </w:r>
          </w:p>
          <w:p w14:paraId="14BC81AB">
            <w:pPr>
              <w:rPr>
                <w:rFonts w:hint="eastAsia"/>
                <w:b/>
                <w:bCs w:val="0"/>
                <w:color w:val="auto"/>
                <w:highlight w:val="none"/>
                <w:lang w:val="en-US" w:eastAsia="zh-CN"/>
              </w:rPr>
            </w:pPr>
            <w:r>
              <w:rPr>
                <w:rFonts w:hint="eastAsia"/>
                <w:b/>
                <w:bCs w:val="0"/>
                <w:color w:val="auto"/>
                <w:highlight w:val="none"/>
                <w:lang w:val="en-US" w:eastAsia="zh-CN"/>
              </w:rPr>
              <w:t>1.3污染防治技术可行性分析</w:t>
            </w:r>
          </w:p>
          <w:p w14:paraId="7EFB36F0">
            <w:pPr>
              <w:rPr>
                <w:rFonts w:hint="default"/>
                <w:color w:val="auto"/>
                <w:highlight w:val="none"/>
                <w:lang w:val="en-US" w:eastAsia="zh-CN"/>
              </w:rPr>
            </w:pPr>
            <w:r>
              <w:rPr>
                <w:rFonts w:hint="eastAsia" w:ascii="宋体" w:hAnsi="宋体" w:eastAsia="宋体" w:cs="宋体"/>
                <w:color w:val="auto"/>
                <w:sz w:val="24"/>
                <w:szCs w:val="24"/>
                <w:highlight w:val="none"/>
                <w:lang w:val="en-US" w:eastAsia="zh-CN"/>
              </w:rPr>
              <w:t>根据</w:t>
            </w:r>
            <w:r>
              <w:rPr>
                <w:rFonts w:hint="eastAsia" w:ascii="宋体" w:hAnsi="宋体" w:eastAsia="宋体" w:cs="宋体"/>
                <w:color w:val="auto"/>
                <w:spacing w:val="0"/>
                <w:sz w:val="24"/>
                <w:highlight w:val="none"/>
                <w:lang w:val="en-US" w:eastAsia="zh-CN"/>
              </w:rPr>
              <w:t>《排污许可证申请与核发技术规范 锅炉》</w:t>
            </w:r>
            <w:r>
              <w:rPr>
                <w:rFonts w:hint="eastAsia" w:cs="宋体"/>
                <w:color w:val="auto"/>
                <w:spacing w:val="0"/>
                <w:sz w:val="24"/>
                <w:highlight w:val="none"/>
                <w:lang w:val="en-US" w:eastAsia="zh-CN"/>
              </w:rPr>
              <w:t>（</w:t>
            </w:r>
            <w:r>
              <w:rPr>
                <w:rFonts w:hint="eastAsia" w:ascii="宋体" w:hAnsi="宋体" w:eastAsia="宋体" w:cs="宋体"/>
                <w:color w:val="auto"/>
                <w:spacing w:val="0"/>
                <w:sz w:val="24"/>
                <w:highlight w:val="none"/>
                <w:lang w:val="en-US" w:eastAsia="zh-CN"/>
              </w:rPr>
              <w:t>HJ953—2018</w:t>
            </w:r>
            <w:r>
              <w:rPr>
                <w:rFonts w:hint="eastAsia" w:cs="宋体"/>
                <w:color w:val="auto"/>
                <w:spacing w:val="0"/>
                <w:sz w:val="24"/>
                <w:highlight w:val="none"/>
                <w:lang w:val="en-US" w:eastAsia="zh-CN"/>
              </w:rPr>
              <w:t>），本项目废气采取环保措施可行性分析如下表：</w:t>
            </w:r>
          </w:p>
          <w:p w14:paraId="6D2990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bCs/>
                <w:color w:val="auto"/>
                <w:spacing w:val="0"/>
                <w:kern w:val="0"/>
                <w:sz w:val="21"/>
                <w:szCs w:val="21"/>
                <w:highlight w:val="none"/>
                <w:lang w:val="en-US" w:eastAsia="zh-CN"/>
              </w:rPr>
            </w:pPr>
            <w:r>
              <w:rPr>
                <w:rFonts w:hint="eastAsia" w:cs="宋体"/>
                <w:b/>
                <w:bCs/>
                <w:color w:val="auto"/>
                <w:spacing w:val="0"/>
                <w:kern w:val="0"/>
                <w:sz w:val="21"/>
                <w:szCs w:val="21"/>
                <w:highlight w:val="none"/>
                <w:lang w:val="en-US" w:eastAsia="zh-CN"/>
              </w:rPr>
              <w:t>表4-4 可行性技术汇总表</w:t>
            </w:r>
          </w:p>
          <w:tbl>
            <w:tblPr>
              <w:tblStyle w:val="38"/>
              <w:tblW w:w="7971" w:type="dxa"/>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3"/>
              <w:gridCol w:w="3661"/>
              <w:gridCol w:w="2657"/>
            </w:tblGrid>
            <w:tr w14:paraId="7F80C8E7">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3" w:type="dxa"/>
                  <w:tcBorders>
                    <w:tl2br w:val="nil"/>
                    <w:tr2bl w:val="nil"/>
                  </w:tcBorders>
                  <w:vAlign w:val="center"/>
                </w:tcPr>
                <w:p w14:paraId="593B6B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污染物</w:t>
                  </w:r>
                </w:p>
              </w:tc>
              <w:tc>
                <w:tcPr>
                  <w:tcW w:w="3661" w:type="dxa"/>
                  <w:tcBorders>
                    <w:tl2br w:val="nil"/>
                    <w:tr2bl w:val="nil"/>
                  </w:tcBorders>
                  <w:vAlign w:val="center"/>
                </w:tcPr>
                <w:p w14:paraId="5550E2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治理措施</w:t>
                  </w:r>
                </w:p>
              </w:tc>
              <w:tc>
                <w:tcPr>
                  <w:tcW w:w="2657" w:type="dxa"/>
                  <w:tcBorders>
                    <w:tl2br w:val="nil"/>
                    <w:tr2bl w:val="nil"/>
                  </w:tcBorders>
                  <w:vAlign w:val="center"/>
                </w:tcPr>
                <w:p w14:paraId="368E75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是否为可行性技术</w:t>
                  </w:r>
                </w:p>
              </w:tc>
            </w:tr>
            <w:tr w14:paraId="31D5FB8A">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3" w:type="dxa"/>
                  <w:tcBorders>
                    <w:tl2br w:val="nil"/>
                    <w:tr2bl w:val="nil"/>
                  </w:tcBorders>
                  <w:vAlign w:val="center"/>
                </w:tcPr>
                <w:p w14:paraId="722E5D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颗粒物</w:t>
                  </w:r>
                </w:p>
              </w:tc>
              <w:tc>
                <w:tcPr>
                  <w:tcW w:w="3661" w:type="dxa"/>
                  <w:tcBorders>
                    <w:tl2br w:val="nil"/>
                    <w:tr2bl w:val="nil"/>
                  </w:tcBorders>
                  <w:vAlign w:val="center"/>
                </w:tcPr>
                <w:p w14:paraId="363167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旋风除尘+布袋除尘器</w:t>
                  </w:r>
                </w:p>
              </w:tc>
              <w:tc>
                <w:tcPr>
                  <w:tcW w:w="2657" w:type="dxa"/>
                  <w:tcBorders>
                    <w:tl2br w:val="nil"/>
                    <w:tr2bl w:val="nil"/>
                  </w:tcBorders>
                  <w:vAlign w:val="center"/>
                </w:tcPr>
                <w:p w14:paraId="04696A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是</w:t>
                  </w:r>
                </w:p>
              </w:tc>
            </w:tr>
            <w:tr w14:paraId="4860D876">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3" w:type="dxa"/>
                  <w:tcBorders>
                    <w:tl2br w:val="nil"/>
                    <w:tr2bl w:val="nil"/>
                  </w:tcBorders>
                  <w:vAlign w:val="center"/>
                </w:tcPr>
                <w:p w14:paraId="0B5A2D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氮氧化物</w:t>
                  </w:r>
                </w:p>
              </w:tc>
              <w:tc>
                <w:tcPr>
                  <w:tcW w:w="3661" w:type="dxa"/>
                  <w:tcBorders>
                    <w:tl2br w:val="nil"/>
                    <w:tr2bl w:val="nil"/>
                  </w:tcBorders>
                  <w:vAlign w:val="center"/>
                </w:tcPr>
                <w:p w14:paraId="45860B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低氮燃烧器</w:t>
                  </w:r>
                </w:p>
              </w:tc>
              <w:tc>
                <w:tcPr>
                  <w:tcW w:w="2657" w:type="dxa"/>
                  <w:tcBorders>
                    <w:tl2br w:val="nil"/>
                    <w:tr2bl w:val="nil"/>
                  </w:tcBorders>
                  <w:vAlign w:val="center"/>
                </w:tcPr>
                <w:p w14:paraId="4FAFAB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是</w:t>
                  </w:r>
                </w:p>
              </w:tc>
            </w:tr>
            <w:tr w14:paraId="1AA53364">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3" w:type="dxa"/>
                  <w:tcBorders>
                    <w:tl2br w:val="nil"/>
                    <w:tr2bl w:val="nil"/>
                  </w:tcBorders>
                  <w:vAlign w:val="center"/>
                </w:tcPr>
                <w:p w14:paraId="4B058B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汞及其化合物</w:t>
                  </w:r>
                </w:p>
              </w:tc>
              <w:tc>
                <w:tcPr>
                  <w:tcW w:w="3661" w:type="dxa"/>
                  <w:tcBorders>
                    <w:tl2br w:val="nil"/>
                    <w:tr2bl w:val="nil"/>
                  </w:tcBorders>
                  <w:vAlign w:val="center"/>
                </w:tcPr>
                <w:p w14:paraId="178B8C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布袋除尘器协同控制</w:t>
                  </w:r>
                </w:p>
              </w:tc>
              <w:tc>
                <w:tcPr>
                  <w:tcW w:w="2657" w:type="dxa"/>
                  <w:tcBorders>
                    <w:tl2br w:val="nil"/>
                    <w:tr2bl w:val="nil"/>
                  </w:tcBorders>
                  <w:vAlign w:val="center"/>
                </w:tcPr>
                <w:p w14:paraId="39B9FC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是</w:t>
                  </w:r>
                </w:p>
              </w:tc>
            </w:tr>
            <w:tr w14:paraId="48D0E3B5">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3" w:type="dxa"/>
                  <w:tcBorders>
                    <w:tl2br w:val="nil"/>
                    <w:tr2bl w:val="nil"/>
                  </w:tcBorders>
                  <w:vAlign w:val="center"/>
                </w:tcPr>
                <w:p w14:paraId="5ED1F1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无组织颗粒物</w:t>
                  </w:r>
                </w:p>
              </w:tc>
              <w:tc>
                <w:tcPr>
                  <w:tcW w:w="3661" w:type="dxa"/>
                  <w:tcBorders>
                    <w:tl2br w:val="nil"/>
                    <w:tr2bl w:val="nil"/>
                  </w:tcBorders>
                  <w:vAlign w:val="center"/>
                </w:tcPr>
                <w:p w14:paraId="4AE9AF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密闭措施并配置布袋除尘器</w:t>
                  </w:r>
                </w:p>
              </w:tc>
              <w:tc>
                <w:tcPr>
                  <w:tcW w:w="2657" w:type="dxa"/>
                  <w:tcBorders>
                    <w:tl2br w:val="nil"/>
                    <w:tr2bl w:val="nil"/>
                  </w:tcBorders>
                  <w:vAlign w:val="center"/>
                </w:tcPr>
                <w:p w14:paraId="6DC079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vertAlign w:val="baseline"/>
                      <w:lang w:val="en-US" w:eastAsia="zh-CN"/>
                    </w:rPr>
                  </w:pPr>
                  <w:r>
                    <w:rPr>
                      <w:rFonts w:hint="eastAsia" w:cs="宋体"/>
                      <w:b w:val="0"/>
                      <w:bCs w:val="0"/>
                      <w:color w:val="auto"/>
                      <w:spacing w:val="0"/>
                      <w:kern w:val="0"/>
                      <w:sz w:val="21"/>
                      <w:szCs w:val="21"/>
                      <w:highlight w:val="none"/>
                      <w:vertAlign w:val="baseline"/>
                      <w:lang w:val="en-US" w:eastAsia="zh-CN"/>
                    </w:rPr>
                    <w:t>是</w:t>
                  </w:r>
                </w:p>
              </w:tc>
            </w:tr>
          </w:tbl>
          <w:p w14:paraId="0DB3DC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b/>
                <w:bCs/>
                <w:color w:val="auto"/>
                <w:spacing w:val="0"/>
                <w:kern w:val="0"/>
                <w:sz w:val="24"/>
                <w:highlight w:val="none"/>
                <w:lang w:val="en-US" w:eastAsia="zh-CN"/>
              </w:rPr>
            </w:pPr>
            <w:r>
              <w:rPr>
                <w:rFonts w:hint="eastAsia" w:cs="宋体"/>
                <w:b w:val="0"/>
                <w:bCs w:val="0"/>
                <w:color w:val="auto"/>
                <w:spacing w:val="0"/>
                <w:kern w:val="0"/>
                <w:sz w:val="24"/>
                <w:highlight w:val="none"/>
                <w:lang w:val="en-US" w:eastAsia="zh-CN"/>
              </w:rPr>
              <w:t>根据</w:t>
            </w:r>
            <w:r>
              <w:rPr>
                <w:rFonts w:hint="eastAsia" w:ascii="宋体" w:hAnsi="宋体" w:eastAsia="宋体" w:cs="宋体"/>
                <w:b w:val="0"/>
                <w:bCs w:val="0"/>
                <w:color w:val="auto"/>
                <w:spacing w:val="0"/>
                <w:sz w:val="24"/>
                <w:highlight w:val="none"/>
                <w:lang w:val="en-US" w:eastAsia="zh-CN"/>
              </w:rPr>
              <w:t>《</w:t>
            </w:r>
            <w:r>
              <w:rPr>
                <w:rFonts w:hint="eastAsia" w:cs="宋体"/>
                <w:b w:val="0"/>
                <w:bCs w:val="0"/>
                <w:color w:val="auto"/>
                <w:spacing w:val="0"/>
                <w:kern w:val="0"/>
                <w:sz w:val="24"/>
                <w:highlight w:val="none"/>
                <w:lang w:val="en-US" w:eastAsia="zh-CN"/>
              </w:rPr>
              <w:t>工业锅炉污染防治可行技术指南</w:t>
            </w:r>
            <w:r>
              <w:rPr>
                <w:rFonts w:hint="eastAsia" w:ascii="宋体" w:hAnsi="宋体" w:eastAsia="宋体" w:cs="宋体"/>
                <w:b w:val="0"/>
                <w:bCs w:val="0"/>
                <w:color w:val="auto"/>
                <w:spacing w:val="0"/>
                <w:sz w:val="24"/>
                <w:highlight w:val="none"/>
                <w:lang w:val="en-US" w:eastAsia="zh-CN"/>
              </w:rPr>
              <w:t>》</w:t>
            </w:r>
            <w:r>
              <w:rPr>
                <w:rFonts w:hint="eastAsia" w:cs="宋体"/>
                <w:b w:val="0"/>
                <w:bCs w:val="0"/>
                <w:color w:val="auto"/>
                <w:spacing w:val="0"/>
                <w:kern w:val="0"/>
                <w:sz w:val="24"/>
                <w:highlight w:val="none"/>
                <w:lang w:val="en-US" w:eastAsia="zh-CN"/>
              </w:rPr>
              <w:t>（HJ 1178—2021）、</w:t>
            </w:r>
            <w:r>
              <w:rPr>
                <w:rFonts w:hint="eastAsia" w:ascii="宋体" w:hAnsi="宋体" w:eastAsia="宋体" w:cs="宋体"/>
                <w:b w:val="0"/>
                <w:bCs w:val="0"/>
                <w:color w:val="auto"/>
                <w:spacing w:val="0"/>
                <w:sz w:val="24"/>
                <w:highlight w:val="none"/>
                <w:lang w:val="en-US" w:eastAsia="zh-CN"/>
              </w:rPr>
              <w:t>《</w:t>
            </w:r>
            <w:r>
              <w:rPr>
                <w:rFonts w:hint="eastAsia" w:cs="宋体"/>
                <w:b w:val="0"/>
                <w:bCs w:val="0"/>
                <w:color w:val="auto"/>
                <w:spacing w:val="0"/>
                <w:kern w:val="0"/>
                <w:sz w:val="24"/>
                <w:highlight w:val="none"/>
                <w:lang w:val="en-US" w:eastAsia="zh-CN"/>
              </w:rPr>
              <w:t>工业锅炉烟气治理工程技术规范</w:t>
            </w:r>
            <w:r>
              <w:rPr>
                <w:rFonts w:hint="eastAsia" w:ascii="宋体" w:hAnsi="宋体" w:eastAsia="宋体" w:cs="宋体"/>
                <w:b w:val="0"/>
                <w:bCs w:val="0"/>
                <w:color w:val="auto"/>
                <w:spacing w:val="0"/>
                <w:sz w:val="24"/>
                <w:highlight w:val="none"/>
                <w:lang w:val="en-US" w:eastAsia="zh-CN"/>
              </w:rPr>
              <w:t>》</w:t>
            </w:r>
            <w:r>
              <w:rPr>
                <w:rFonts w:hint="eastAsia" w:cs="宋体"/>
                <w:b w:val="0"/>
                <w:bCs w:val="0"/>
                <w:color w:val="auto"/>
                <w:spacing w:val="0"/>
                <w:kern w:val="0"/>
                <w:sz w:val="24"/>
                <w:highlight w:val="none"/>
                <w:lang w:val="en-US" w:eastAsia="zh-CN"/>
              </w:rPr>
              <w:t>（HJ 462—2021），本项目属于NOx和SO</w:t>
            </w:r>
            <w:r>
              <w:rPr>
                <w:rFonts w:hint="eastAsia" w:cs="宋体"/>
                <w:b w:val="0"/>
                <w:bCs w:val="0"/>
                <w:color w:val="auto"/>
                <w:spacing w:val="0"/>
                <w:kern w:val="0"/>
                <w:sz w:val="24"/>
                <w:highlight w:val="none"/>
                <w:vertAlign w:val="subscript"/>
                <w:lang w:val="en-US" w:eastAsia="zh-CN"/>
              </w:rPr>
              <w:t>2</w:t>
            </w:r>
            <w:r>
              <w:rPr>
                <w:rFonts w:hint="eastAsia" w:cs="宋体"/>
                <w:b w:val="0"/>
                <w:bCs w:val="0"/>
                <w:color w:val="auto"/>
                <w:spacing w:val="0"/>
                <w:kern w:val="0"/>
                <w:sz w:val="24"/>
                <w:highlight w:val="none"/>
                <w:lang w:val="en-US" w:eastAsia="zh-CN"/>
              </w:rPr>
              <w:t>排放要求宽松的流化床炉和层燃炉；本项目预处理采用低氮燃烧，治理措施采用旋风除尘+布袋除尘，符合采用机械除尘+袋式除尘要求。根据</w:t>
            </w:r>
            <w:r>
              <w:rPr>
                <w:rFonts w:hint="eastAsia" w:ascii="宋体" w:hAnsi="宋体" w:eastAsia="宋体" w:cs="宋体"/>
                <w:color w:val="auto"/>
                <w:spacing w:val="0"/>
                <w:sz w:val="24"/>
                <w:highlight w:val="none"/>
                <w:lang w:val="en-US" w:eastAsia="zh-CN"/>
              </w:rPr>
              <w:t>《排污许可证申请与核发技术规范 锅炉》</w:t>
            </w:r>
            <w:r>
              <w:rPr>
                <w:rFonts w:hint="eastAsia" w:cs="宋体"/>
                <w:color w:val="auto"/>
                <w:spacing w:val="0"/>
                <w:sz w:val="24"/>
                <w:highlight w:val="none"/>
                <w:lang w:val="en-US" w:eastAsia="zh-CN"/>
              </w:rPr>
              <w:t>（</w:t>
            </w:r>
            <w:r>
              <w:rPr>
                <w:rFonts w:hint="eastAsia" w:ascii="宋体" w:hAnsi="宋体" w:eastAsia="宋体" w:cs="宋体"/>
                <w:color w:val="auto"/>
                <w:spacing w:val="0"/>
                <w:sz w:val="24"/>
                <w:highlight w:val="none"/>
                <w:lang w:val="en-US" w:eastAsia="zh-CN"/>
              </w:rPr>
              <w:t>HJ953—2018</w:t>
            </w:r>
            <w:r>
              <w:rPr>
                <w:rFonts w:hint="eastAsia" w:cs="宋体"/>
                <w:color w:val="auto"/>
                <w:spacing w:val="0"/>
                <w:sz w:val="24"/>
                <w:highlight w:val="none"/>
                <w:lang w:val="en-US" w:eastAsia="zh-CN"/>
              </w:rPr>
              <w:t>），</w:t>
            </w:r>
            <w:r>
              <w:rPr>
                <w:rFonts w:hint="eastAsia" w:ascii="Times New Roman" w:hAnsi="Times New Roman" w:eastAsia="宋体" w:cs="宋体"/>
                <w:color w:val="auto"/>
                <w:spacing w:val="-1"/>
                <w:sz w:val="24"/>
                <w:szCs w:val="24"/>
                <w:highlight w:val="none"/>
                <w:lang w:val="en-US" w:eastAsia="zh-CN"/>
              </w:rPr>
              <w:t>无组织排放控制要求中“贮存系统”中的“设有灰仓的应采用密闭措施，卸灰管道出口应有防尘措施。设有渣库的应采用挡尘卷帘、围挡等形式的防尘措施”要求</w:t>
            </w:r>
            <w:r>
              <w:rPr>
                <w:rFonts w:hint="eastAsia" w:ascii="Times New Roman" w:hAnsi="Times New Roman" w:cs="宋体"/>
                <w:color w:val="auto"/>
                <w:spacing w:val="-1"/>
                <w:sz w:val="24"/>
                <w:szCs w:val="24"/>
                <w:highlight w:val="none"/>
                <w:lang w:val="en-US" w:eastAsia="zh-CN"/>
              </w:rPr>
              <w:t>，本项目采取密闭+布袋除尘器净化处理，处理后废气无组织排放，防治措施符合</w:t>
            </w:r>
            <w:r>
              <w:rPr>
                <w:rFonts w:hint="eastAsia" w:ascii="宋体" w:hAnsi="宋体" w:eastAsia="宋体" w:cs="宋体"/>
                <w:color w:val="auto"/>
                <w:spacing w:val="0"/>
                <w:sz w:val="24"/>
                <w:highlight w:val="none"/>
                <w:lang w:val="en-US" w:eastAsia="zh-CN"/>
              </w:rPr>
              <w:t>《排污许可证申请与核发技术规范 锅炉》</w:t>
            </w:r>
            <w:r>
              <w:rPr>
                <w:rFonts w:hint="eastAsia" w:cs="宋体"/>
                <w:color w:val="auto"/>
                <w:spacing w:val="0"/>
                <w:sz w:val="24"/>
                <w:highlight w:val="none"/>
                <w:lang w:val="en-US" w:eastAsia="zh-CN"/>
              </w:rPr>
              <w:t>（</w:t>
            </w:r>
            <w:r>
              <w:rPr>
                <w:rFonts w:hint="eastAsia" w:ascii="宋体" w:hAnsi="宋体" w:eastAsia="宋体" w:cs="宋体"/>
                <w:color w:val="auto"/>
                <w:spacing w:val="0"/>
                <w:sz w:val="24"/>
                <w:highlight w:val="none"/>
                <w:lang w:val="en-US" w:eastAsia="zh-CN"/>
              </w:rPr>
              <w:t>HJ953—2018</w:t>
            </w:r>
            <w:r>
              <w:rPr>
                <w:rFonts w:hint="eastAsia" w:cs="宋体"/>
                <w:color w:val="auto"/>
                <w:spacing w:val="0"/>
                <w:sz w:val="24"/>
                <w:highlight w:val="none"/>
                <w:lang w:val="en-US" w:eastAsia="zh-CN"/>
              </w:rPr>
              <w:t>）中无组织排放控制要求</w:t>
            </w:r>
            <w:r>
              <w:rPr>
                <w:rFonts w:hint="eastAsia" w:ascii="Times New Roman" w:hAnsi="Times New Roman" w:eastAsia="宋体" w:cs="宋体"/>
                <w:color w:val="auto"/>
                <w:spacing w:val="-1"/>
                <w:sz w:val="24"/>
                <w:szCs w:val="24"/>
                <w:highlight w:val="none"/>
                <w:lang w:val="en-US" w:eastAsia="zh-CN"/>
              </w:rPr>
              <w:t>。</w:t>
            </w:r>
          </w:p>
          <w:p w14:paraId="61AC548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color w:val="auto"/>
                <w:spacing w:val="0"/>
                <w:kern w:val="0"/>
                <w:sz w:val="24"/>
                <w:highlight w:val="none"/>
              </w:rPr>
            </w:pPr>
            <w:r>
              <w:rPr>
                <w:rFonts w:hint="eastAsia" w:ascii="宋体" w:hAnsi="宋体" w:eastAsia="宋体" w:cs="宋体"/>
                <w:b/>
                <w:bCs/>
                <w:color w:val="auto"/>
                <w:spacing w:val="0"/>
                <w:kern w:val="0"/>
                <w:sz w:val="24"/>
                <w:highlight w:val="none"/>
                <w:lang w:val="en-US" w:eastAsia="zh-CN"/>
              </w:rPr>
              <w:t>1.</w:t>
            </w:r>
            <w:r>
              <w:rPr>
                <w:rFonts w:hint="eastAsia" w:cs="宋体"/>
                <w:b/>
                <w:bCs/>
                <w:color w:val="auto"/>
                <w:spacing w:val="0"/>
                <w:kern w:val="0"/>
                <w:sz w:val="24"/>
                <w:highlight w:val="none"/>
                <w:lang w:val="en-US" w:eastAsia="zh-CN"/>
              </w:rPr>
              <w:t>4</w:t>
            </w:r>
            <w:r>
              <w:rPr>
                <w:rFonts w:hint="eastAsia" w:ascii="宋体" w:hAnsi="宋体" w:eastAsia="宋体" w:cs="宋体"/>
                <w:b/>
                <w:bCs/>
                <w:color w:val="auto"/>
                <w:spacing w:val="0"/>
                <w:kern w:val="0"/>
                <w:sz w:val="24"/>
                <w:highlight w:val="none"/>
              </w:rPr>
              <w:t>有组织废气排放达标分析</w:t>
            </w:r>
          </w:p>
          <w:p w14:paraId="2889CA58">
            <w:pPr>
              <w:spacing w:line="360" w:lineRule="auto"/>
              <w:ind w:firstLine="480" w:firstLineChars="200"/>
              <w:rPr>
                <w:rFonts w:hint="eastAsia" w:ascii="宋体" w:hAnsi="宋体" w:eastAsia="宋体" w:cs="宋体"/>
                <w:color w:val="auto"/>
                <w:spacing w:val="0"/>
                <w:kern w:val="0"/>
                <w:sz w:val="24"/>
                <w:highlight w:val="none"/>
              </w:rPr>
            </w:pPr>
            <w:r>
              <w:rPr>
                <w:rFonts w:hint="eastAsia" w:ascii="宋体" w:hAnsi="宋体" w:eastAsia="宋体" w:cs="宋体"/>
                <w:color w:val="auto"/>
                <w:spacing w:val="0"/>
                <w:kern w:val="0"/>
                <w:sz w:val="24"/>
                <w:highlight w:val="none"/>
              </w:rPr>
              <w:t>根据工程分析，本项目各排气筒污染物达标排放情况见下表。</w:t>
            </w:r>
          </w:p>
          <w:p w14:paraId="42944B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auto"/>
                <w:spacing w:val="0"/>
                <w:kern w:val="0"/>
                <w:sz w:val="21"/>
                <w:szCs w:val="21"/>
                <w:highlight w:val="none"/>
              </w:rPr>
            </w:pPr>
            <w:r>
              <w:rPr>
                <w:rFonts w:hint="eastAsia" w:ascii="宋体" w:hAnsi="宋体" w:eastAsia="宋体" w:cs="宋体"/>
                <w:b/>
                <w:bCs/>
                <w:color w:val="auto"/>
                <w:spacing w:val="0"/>
                <w:kern w:val="0"/>
                <w:sz w:val="21"/>
                <w:szCs w:val="21"/>
                <w:highlight w:val="none"/>
              </w:rPr>
              <w:t>表4-</w:t>
            </w:r>
            <w:r>
              <w:rPr>
                <w:rFonts w:hint="eastAsia" w:cs="宋体"/>
                <w:b/>
                <w:bCs/>
                <w:color w:val="auto"/>
                <w:spacing w:val="0"/>
                <w:kern w:val="0"/>
                <w:sz w:val="21"/>
                <w:szCs w:val="21"/>
                <w:highlight w:val="none"/>
                <w:lang w:val="en-US" w:eastAsia="zh-CN"/>
              </w:rPr>
              <w:t>5</w:t>
            </w:r>
            <w:r>
              <w:rPr>
                <w:rFonts w:hint="eastAsia" w:ascii="宋体" w:hAnsi="宋体" w:eastAsia="宋体" w:cs="宋体"/>
                <w:b/>
                <w:bCs/>
                <w:color w:val="auto"/>
                <w:spacing w:val="0"/>
                <w:kern w:val="0"/>
                <w:sz w:val="21"/>
                <w:szCs w:val="21"/>
                <w:highlight w:val="none"/>
              </w:rPr>
              <w:t xml:space="preserve"> 本项目废气达标排放情况汇总表</w:t>
            </w:r>
          </w:p>
          <w:tbl>
            <w:tblPr>
              <w:tblStyle w:val="37"/>
              <w:tblW w:w="4895"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4"/>
              <w:gridCol w:w="1588"/>
              <w:gridCol w:w="790"/>
              <w:gridCol w:w="1125"/>
              <w:gridCol w:w="1058"/>
              <w:gridCol w:w="957"/>
              <w:gridCol w:w="1012"/>
              <w:gridCol w:w="731"/>
            </w:tblGrid>
            <w:tr w14:paraId="221F83B0">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44" w:type="dxa"/>
                  <w:vMerge w:val="restart"/>
                  <w:tcBorders>
                    <w:tl2br w:val="nil"/>
                    <w:tr2bl w:val="nil"/>
                  </w:tcBorders>
                  <w:noWrap w:val="0"/>
                  <w:vAlign w:val="center"/>
                </w:tcPr>
                <w:p w14:paraId="61AE1C9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污染源</w:t>
                  </w:r>
                </w:p>
              </w:tc>
              <w:tc>
                <w:tcPr>
                  <w:tcW w:w="1588" w:type="dxa"/>
                  <w:vMerge w:val="restart"/>
                  <w:tcBorders>
                    <w:tl2br w:val="nil"/>
                    <w:tr2bl w:val="nil"/>
                  </w:tcBorders>
                  <w:noWrap w:val="0"/>
                  <w:vAlign w:val="center"/>
                </w:tcPr>
                <w:p w14:paraId="6D9619C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污染物</w:t>
                  </w:r>
                </w:p>
              </w:tc>
              <w:tc>
                <w:tcPr>
                  <w:tcW w:w="790" w:type="dxa"/>
                  <w:vMerge w:val="restart"/>
                  <w:tcBorders>
                    <w:tl2br w:val="nil"/>
                    <w:tr2bl w:val="nil"/>
                  </w:tcBorders>
                  <w:noWrap w:val="0"/>
                  <w:vAlign w:val="center"/>
                </w:tcPr>
                <w:p w14:paraId="04A2837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排气筒高度m</w:t>
                  </w:r>
                </w:p>
              </w:tc>
              <w:tc>
                <w:tcPr>
                  <w:tcW w:w="2183" w:type="dxa"/>
                  <w:gridSpan w:val="2"/>
                  <w:tcBorders>
                    <w:tl2br w:val="nil"/>
                    <w:tr2bl w:val="nil"/>
                  </w:tcBorders>
                  <w:noWrap w:val="0"/>
                  <w:vAlign w:val="center"/>
                </w:tcPr>
                <w:p w14:paraId="522E053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排放情况</w:t>
                  </w:r>
                </w:p>
              </w:tc>
              <w:tc>
                <w:tcPr>
                  <w:tcW w:w="1969" w:type="dxa"/>
                  <w:gridSpan w:val="2"/>
                  <w:tcBorders>
                    <w:tl2br w:val="nil"/>
                    <w:tr2bl w:val="nil"/>
                  </w:tcBorders>
                  <w:noWrap w:val="0"/>
                  <w:vAlign w:val="center"/>
                </w:tcPr>
                <w:p w14:paraId="4C10E5E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排放执行标准</w:t>
                  </w:r>
                </w:p>
              </w:tc>
              <w:tc>
                <w:tcPr>
                  <w:tcW w:w="731" w:type="dxa"/>
                  <w:vMerge w:val="restart"/>
                  <w:tcBorders>
                    <w:tl2br w:val="nil"/>
                    <w:tr2bl w:val="nil"/>
                  </w:tcBorders>
                  <w:noWrap w:val="0"/>
                  <w:vAlign w:val="center"/>
                </w:tcPr>
                <w:p w14:paraId="1BE0BC9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是否达标</w:t>
                  </w:r>
                </w:p>
              </w:tc>
            </w:tr>
            <w:tr w14:paraId="378DEE7B">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544" w:type="dxa"/>
                  <w:vMerge w:val="continue"/>
                  <w:tcBorders>
                    <w:tl2br w:val="nil"/>
                    <w:tr2bl w:val="nil"/>
                  </w:tcBorders>
                  <w:noWrap w:val="0"/>
                  <w:vAlign w:val="center"/>
                </w:tcPr>
                <w:p w14:paraId="24B50FF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b/>
                      <w:bCs/>
                      <w:color w:val="auto"/>
                      <w:spacing w:val="0"/>
                      <w:sz w:val="21"/>
                      <w:szCs w:val="21"/>
                      <w:highlight w:val="none"/>
                    </w:rPr>
                  </w:pPr>
                </w:p>
              </w:tc>
              <w:tc>
                <w:tcPr>
                  <w:tcW w:w="1588" w:type="dxa"/>
                  <w:vMerge w:val="continue"/>
                  <w:tcBorders>
                    <w:tl2br w:val="nil"/>
                    <w:tr2bl w:val="nil"/>
                  </w:tcBorders>
                  <w:noWrap w:val="0"/>
                  <w:vAlign w:val="center"/>
                </w:tcPr>
                <w:p w14:paraId="3EB9463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b/>
                      <w:bCs/>
                      <w:color w:val="auto"/>
                      <w:spacing w:val="0"/>
                      <w:sz w:val="21"/>
                      <w:szCs w:val="21"/>
                      <w:highlight w:val="none"/>
                    </w:rPr>
                  </w:pPr>
                </w:p>
              </w:tc>
              <w:tc>
                <w:tcPr>
                  <w:tcW w:w="790" w:type="dxa"/>
                  <w:vMerge w:val="continue"/>
                  <w:tcBorders>
                    <w:tl2br w:val="nil"/>
                    <w:tr2bl w:val="nil"/>
                  </w:tcBorders>
                  <w:noWrap w:val="0"/>
                  <w:vAlign w:val="center"/>
                </w:tcPr>
                <w:p w14:paraId="3137B7D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b/>
                      <w:bCs/>
                      <w:color w:val="auto"/>
                      <w:spacing w:val="0"/>
                      <w:sz w:val="21"/>
                      <w:szCs w:val="21"/>
                      <w:highlight w:val="none"/>
                    </w:rPr>
                  </w:pPr>
                </w:p>
              </w:tc>
              <w:tc>
                <w:tcPr>
                  <w:tcW w:w="1125" w:type="dxa"/>
                  <w:tcBorders>
                    <w:tl2br w:val="nil"/>
                    <w:tr2bl w:val="nil"/>
                  </w:tcBorders>
                  <w:noWrap w:val="0"/>
                  <w:vAlign w:val="center"/>
                </w:tcPr>
                <w:p w14:paraId="1073C6C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排放</w:t>
                  </w:r>
                  <w:r>
                    <w:rPr>
                      <w:rFonts w:hint="eastAsia" w:ascii="宋体" w:hAnsi="宋体" w:eastAsia="宋体" w:cs="宋体"/>
                      <w:b/>
                      <w:bCs/>
                      <w:color w:val="auto"/>
                      <w:spacing w:val="0"/>
                      <w:sz w:val="21"/>
                      <w:szCs w:val="21"/>
                      <w:highlight w:val="none"/>
                      <w:lang w:val="en-US" w:eastAsia="zh-CN"/>
                    </w:rPr>
                    <w:t>量</w:t>
                  </w:r>
                  <w:r>
                    <w:rPr>
                      <w:rFonts w:hint="eastAsia" w:ascii="宋体" w:hAnsi="宋体" w:eastAsia="宋体" w:cs="宋体"/>
                      <w:b/>
                      <w:bCs/>
                      <w:color w:val="auto"/>
                      <w:spacing w:val="0"/>
                      <w:sz w:val="21"/>
                      <w:szCs w:val="21"/>
                      <w:highlight w:val="none"/>
                    </w:rPr>
                    <w:t>t/a</w:t>
                  </w:r>
                </w:p>
              </w:tc>
              <w:tc>
                <w:tcPr>
                  <w:tcW w:w="1058" w:type="dxa"/>
                  <w:tcBorders>
                    <w:tl2br w:val="nil"/>
                    <w:tr2bl w:val="nil"/>
                  </w:tcBorders>
                  <w:noWrap w:val="0"/>
                  <w:vAlign w:val="center"/>
                </w:tcPr>
                <w:p w14:paraId="227EB97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lang w:eastAsia="zh-CN"/>
                    </w:rPr>
                  </w:pPr>
                  <w:r>
                    <w:rPr>
                      <w:rFonts w:hint="eastAsia" w:ascii="宋体" w:hAnsi="宋体" w:eastAsia="宋体" w:cs="宋体"/>
                      <w:b/>
                      <w:bCs/>
                      <w:color w:val="auto"/>
                      <w:spacing w:val="0"/>
                      <w:sz w:val="21"/>
                      <w:szCs w:val="21"/>
                      <w:highlight w:val="none"/>
                    </w:rPr>
                    <w:t>排放浓度mg/</w:t>
                  </w:r>
                  <w:r>
                    <w:rPr>
                      <w:rFonts w:hint="eastAsia" w:ascii="宋体" w:hAnsi="宋体" w:eastAsia="宋体" w:cs="宋体"/>
                      <w:b/>
                      <w:bCs/>
                      <w:color w:val="auto"/>
                      <w:spacing w:val="0"/>
                      <w:sz w:val="21"/>
                      <w:szCs w:val="21"/>
                      <w:highlight w:val="none"/>
                      <w:lang w:eastAsia="zh-CN"/>
                    </w:rPr>
                    <w:t>m</w:t>
                  </w:r>
                  <w:r>
                    <w:rPr>
                      <w:rFonts w:hint="eastAsia" w:ascii="宋体" w:hAnsi="宋体" w:eastAsia="宋体" w:cs="宋体"/>
                      <w:b/>
                      <w:bCs/>
                      <w:caps w:val="0"/>
                      <w:smallCaps w:val="0"/>
                      <w:strike w:val="0"/>
                      <w:dstrike w:val="0"/>
                      <w:vanish w:val="0"/>
                      <w:color w:val="auto"/>
                      <w:spacing w:val="0"/>
                      <w:sz w:val="21"/>
                      <w:szCs w:val="21"/>
                      <w:highlight w:val="none"/>
                      <w:vertAlign w:val="superscript"/>
                      <w:lang w:eastAsia="zh-CN"/>
                    </w:rPr>
                    <w:t>3</w:t>
                  </w:r>
                </w:p>
              </w:tc>
              <w:tc>
                <w:tcPr>
                  <w:tcW w:w="957" w:type="dxa"/>
                  <w:tcBorders>
                    <w:tl2br w:val="nil"/>
                    <w:tr2bl w:val="nil"/>
                  </w:tcBorders>
                  <w:noWrap w:val="0"/>
                  <w:vAlign w:val="center"/>
                </w:tcPr>
                <w:p w14:paraId="5FDAE7B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排放速率kg/h</w:t>
                  </w:r>
                </w:p>
              </w:tc>
              <w:tc>
                <w:tcPr>
                  <w:tcW w:w="1012" w:type="dxa"/>
                  <w:tcBorders>
                    <w:tl2br w:val="nil"/>
                    <w:tr2bl w:val="nil"/>
                  </w:tcBorders>
                  <w:noWrap w:val="0"/>
                  <w:vAlign w:val="center"/>
                </w:tcPr>
                <w:p w14:paraId="3689908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lang w:eastAsia="zh-CN"/>
                    </w:rPr>
                  </w:pPr>
                  <w:r>
                    <w:rPr>
                      <w:rFonts w:hint="eastAsia" w:ascii="宋体" w:hAnsi="宋体" w:eastAsia="宋体" w:cs="宋体"/>
                      <w:b/>
                      <w:bCs/>
                      <w:color w:val="auto"/>
                      <w:spacing w:val="0"/>
                      <w:sz w:val="21"/>
                      <w:szCs w:val="21"/>
                      <w:highlight w:val="none"/>
                    </w:rPr>
                    <w:t>排放浓度mg/</w:t>
                  </w:r>
                  <w:r>
                    <w:rPr>
                      <w:rFonts w:hint="eastAsia" w:ascii="宋体" w:hAnsi="宋体" w:eastAsia="宋体" w:cs="宋体"/>
                      <w:b/>
                      <w:bCs/>
                      <w:color w:val="auto"/>
                      <w:spacing w:val="0"/>
                      <w:sz w:val="21"/>
                      <w:szCs w:val="21"/>
                      <w:highlight w:val="none"/>
                      <w:lang w:eastAsia="zh-CN"/>
                    </w:rPr>
                    <w:t>m</w:t>
                  </w:r>
                  <w:r>
                    <w:rPr>
                      <w:rFonts w:hint="eastAsia" w:ascii="宋体" w:hAnsi="宋体" w:eastAsia="宋体" w:cs="宋体"/>
                      <w:b/>
                      <w:bCs/>
                      <w:caps w:val="0"/>
                      <w:smallCaps w:val="0"/>
                      <w:strike w:val="0"/>
                      <w:dstrike w:val="0"/>
                      <w:vanish w:val="0"/>
                      <w:color w:val="auto"/>
                      <w:spacing w:val="0"/>
                      <w:sz w:val="21"/>
                      <w:szCs w:val="21"/>
                      <w:highlight w:val="none"/>
                      <w:vertAlign w:val="superscript"/>
                      <w:lang w:eastAsia="zh-CN"/>
                    </w:rPr>
                    <w:t>3</w:t>
                  </w:r>
                </w:p>
              </w:tc>
              <w:tc>
                <w:tcPr>
                  <w:tcW w:w="731" w:type="dxa"/>
                  <w:vMerge w:val="continue"/>
                  <w:tcBorders>
                    <w:tl2br w:val="nil"/>
                    <w:tr2bl w:val="nil"/>
                  </w:tcBorders>
                  <w:noWrap w:val="0"/>
                  <w:vAlign w:val="center"/>
                </w:tcPr>
                <w:p w14:paraId="2784511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b/>
                      <w:bCs/>
                      <w:color w:val="auto"/>
                      <w:spacing w:val="0"/>
                      <w:sz w:val="21"/>
                      <w:szCs w:val="21"/>
                      <w:highlight w:val="none"/>
                    </w:rPr>
                  </w:pPr>
                </w:p>
              </w:tc>
            </w:tr>
            <w:tr w14:paraId="744A20D6">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44" w:type="dxa"/>
                  <w:vMerge w:val="restart"/>
                  <w:tcBorders>
                    <w:tl2br w:val="nil"/>
                    <w:tr2bl w:val="nil"/>
                  </w:tcBorders>
                  <w:noWrap w:val="0"/>
                  <w:vAlign w:val="center"/>
                </w:tcPr>
                <w:p w14:paraId="03CE24A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eastAsia="zh-CN"/>
                    </w:rPr>
                  </w:pPr>
                  <w:r>
                    <w:rPr>
                      <w:rFonts w:hint="eastAsia" w:ascii="宋体" w:hAnsi="宋体" w:eastAsia="宋体" w:cs="宋体"/>
                      <w:color w:val="auto"/>
                      <w:spacing w:val="0"/>
                      <w:sz w:val="21"/>
                      <w:szCs w:val="21"/>
                      <w:highlight w:val="none"/>
                      <w:lang w:eastAsia="zh-CN"/>
                    </w:rPr>
                    <w:t>DA</w:t>
                  </w:r>
                </w:p>
                <w:p w14:paraId="1AE0F44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lang w:eastAsia="zh-CN"/>
                    </w:rPr>
                    <w:t>001</w:t>
                  </w:r>
                </w:p>
              </w:tc>
              <w:tc>
                <w:tcPr>
                  <w:tcW w:w="1588" w:type="dxa"/>
                  <w:tcBorders>
                    <w:tl2br w:val="nil"/>
                    <w:tr2bl w:val="nil"/>
                  </w:tcBorders>
                  <w:noWrap w:val="0"/>
                  <w:vAlign w:val="center"/>
                </w:tcPr>
                <w:p w14:paraId="2006A50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颗粒物</w:t>
                  </w:r>
                </w:p>
              </w:tc>
              <w:tc>
                <w:tcPr>
                  <w:tcW w:w="790" w:type="dxa"/>
                  <w:vMerge w:val="restart"/>
                  <w:tcBorders>
                    <w:tl2br w:val="nil"/>
                    <w:tr2bl w:val="nil"/>
                  </w:tcBorders>
                  <w:noWrap w:val="0"/>
                  <w:vAlign w:val="center"/>
                </w:tcPr>
                <w:p w14:paraId="65C787A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35</w:t>
                  </w:r>
                </w:p>
              </w:tc>
              <w:tc>
                <w:tcPr>
                  <w:tcW w:w="1125" w:type="dxa"/>
                  <w:tcBorders>
                    <w:tl2br w:val="nil"/>
                    <w:tr2bl w:val="nil"/>
                  </w:tcBorders>
                  <w:noWrap w:val="0"/>
                  <w:vAlign w:val="center"/>
                </w:tcPr>
                <w:p w14:paraId="2AB73C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kern w:val="0"/>
                      <w:sz w:val="21"/>
                      <w:szCs w:val="21"/>
                      <w:highlight w:val="none"/>
                      <w:lang w:val="en-US" w:eastAsia="zh-CN"/>
                    </w:rPr>
                  </w:pPr>
                  <w:r>
                    <w:rPr>
                      <w:rFonts w:hint="eastAsia" w:cs="宋体"/>
                      <w:color w:val="auto"/>
                      <w:spacing w:val="0"/>
                      <w:kern w:val="0"/>
                      <w:sz w:val="21"/>
                      <w:szCs w:val="21"/>
                      <w:highlight w:val="none"/>
                      <w:lang w:val="en-US" w:eastAsia="zh-CN"/>
                    </w:rPr>
                    <w:t>0.102</w:t>
                  </w:r>
                </w:p>
              </w:tc>
              <w:tc>
                <w:tcPr>
                  <w:tcW w:w="1058" w:type="dxa"/>
                  <w:tcBorders>
                    <w:tl2br w:val="nil"/>
                    <w:tr2bl w:val="nil"/>
                  </w:tcBorders>
                  <w:noWrap w:val="0"/>
                  <w:vAlign w:val="center"/>
                </w:tcPr>
                <w:p w14:paraId="216B39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13.13</w:t>
                  </w:r>
                </w:p>
              </w:tc>
              <w:tc>
                <w:tcPr>
                  <w:tcW w:w="957" w:type="dxa"/>
                  <w:tcBorders>
                    <w:tl2br w:val="nil"/>
                    <w:tr2bl w:val="nil"/>
                  </w:tcBorders>
                  <w:noWrap w:val="0"/>
                  <w:vAlign w:val="center"/>
                </w:tcPr>
                <w:p w14:paraId="746EFE4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w:t>
                  </w:r>
                </w:p>
              </w:tc>
              <w:tc>
                <w:tcPr>
                  <w:tcW w:w="1012" w:type="dxa"/>
                  <w:tcBorders>
                    <w:tl2br w:val="nil"/>
                    <w:tr2bl w:val="nil"/>
                  </w:tcBorders>
                  <w:noWrap w:val="0"/>
                  <w:vAlign w:val="center"/>
                </w:tcPr>
                <w:p w14:paraId="743DF03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50</w:t>
                  </w:r>
                </w:p>
              </w:tc>
              <w:tc>
                <w:tcPr>
                  <w:tcW w:w="731" w:type="dxa"/>
                  <w:tcBorders>
                    <w:tl2br w:val="nil"/>
                    <w:tr2bl w:val="nil"/>
                  </w:tcBorders>
                  <w:noWrap w:val="0"/>
                  <w:vAlign w:val="center"/>
                </w:tcPr>
                <w:p w14:paraId="172CA2B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是</w:t>
                  </w:r>
                </w:p>
              </w:tc>
            </w:tr>
            <w:tr w14:paraId="2639BBEA">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44" w:type="dxa"/>
                  <w:vMerge w:val="continue"/>
                  <w:tcBorders>
                    <w:tl2br w:val="nil"/>
                    <w:tr2bl w:val="nil"/>
                  </w:tcBorders>
                  <w:noWrap w:val="0"/>
                  <w:vAlign w:val="center"/>
                </w:tcPr>
                <w:p w14:paraId="3E29096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eastAsia="zh-CN"/>
                    </w:rPr>
                  </w:pPr>
                </w:p>
              </w:tc>
              <w:tc>
                <w:tcPr>
                  <w:tcW w:w="1588" w:type="dxa"/>
                  <w:tcBorders>
                    <w:tl2br w:val="nil"/>
                    <w:tr2bl w:val="nil"/>
                  </w:tcBorders>
                  <w:noWrap w:val="0"/>
                  <w:vAlign w:val="center"/>
                </w:tcPr>
                <w:p w14:paraId="0D9DB21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二氧化硫</w:t>
                  </w:r>
                </w:p>
              </w:tc>
              <w:tc>
                <w:tcPr>
                  <w:tcW w:w="790" w:type="dxa"/>
                  <w:vMerge w:val="continue"/>
                  <w:tcBorders>
                    <w:tl2br w:val="nil"/>
                    <w:tr2bl w:val="nil"/>
                  </w:tcBorders>
                  <w:noWrap w:val="0"/>
                  <w:vAlign w:val="center"/>
                </w:tcPr>
                <w:p w14:paraId="18A8EE5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p>
              </w:tc>
              <w:tc>
                <w:tcPr>
                  <w:tcW w:w="1125" w:type="dxa"/>
                  <w:tcBorders>
                    <w:tl2br w:val="nil"/>
                    <w:tr2bl w:val="nil"/>
                  </w:tcBorders>
                  <w:noWrap w:val="0"/>
                  <w:vAlign w:val="center"/>
                </w:tcPr>
                <w:p w14:paraId="3E8198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Cs/>
                      <w:i w:val="0"/>
                      <w:color w:val="auto"/>
                      <w:spacing w:val="0"/>
                      <w:kern w:val="2"/>
                      <w:sz w:val="21"/>
                      <w:szCs w:val="21"/>
                      <w:highlight w:val="none"/>
                      <w:u w:val="none"/>
                      <w:lang w:val="en-US" w:eastAsia="zh-CN" w:bidi="ar-SA"/>
                    </w:rPr>
                  </w:pPr>
                  <w:r>
                    <w:rPr>
                      <w:rFonts w:hint="eastAsia" w:cs="宋体"/>
                      <w:bCs/>
                      <w:i w:val="0"/>
                      <w:color w:val="auto"/>
                      <w:spacing w:val="0"/>
                      <w:kern w:val="2"/>
                      <w:sz w:val="21"/>
                      <w:szCs w:val="21"/>
                      <w:highlight w:val="none"/>
                      <w:u w:val="none"/>
                      <w:lang w:val="en-US" w:eastAsia="zh-CN" w:bidi="ar-SA"/>
                    </w:rPr>
                    <w:t>1.962</w:t>
                  </w:r>
                </w:p>
              </w:tc>
              <w:tc>
                <w:tcPr>
                  <w:tcW w:w="1058" w:type="dxa"/>
                  <w:tcBorders>
                    <w:tl2br w:val="nil"/>
                    <w:tr2bl w:val="nil"/>
                  </w:tcBorders>
                  <w:noWrap w:val="0"/>
                  <w:vAlign w:val="center"/>
                </w:tcPr>
                <w:p w14:paraId="454778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84.37</w:t>
                  </w:r>
                </w:p>
              </w:tc>
              <w:tc>
                <w:tcPr>
                  <w:tcW w:w="957" w:type="dxa"/>
                  <w:tcBorders>
                    <w:tl2br w:val="nil"/>
                    <w:tr2bl w:val="nil"/>
                  </w:tcBorders>
                  <w:noWrap w:val="0"/>
                  <w:vAlign w:val="center"/>
                </w:tcPr>
                <w:p w14:paraId="1FA7D8D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w:t>
                  </w:r>
                </w:p>
              </w:tc>
              <w:tc>
                <w:tcPr>
                  <w:tcW w:w="1012" w:type="dxa"/>
                  <w:tcBorders>
                    <w:tl2br w:val="nil"/>
                    <w:tr2bl w:val="nil"/>
                  </w:tcBorders>
                  <w:noWrap w:val="0"/>
                  <w:vAlign w:val="center"/>
                </w:tcPr>
                <w:p w14:paraId="061002D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300</w:t>
                  </w:r>
                </w:p>
              </w:tc>
              <w:tc>
                <w:tcPr>
                  <w:tcW w:w="731" w:type="dxa"/>
                  <w:tcBorders>
                    <w:tl2br w:val="nil"/>
                    <w:tr2bl w:val="nil"/>
                  </w:tcBorders>
                  <w:noWrap w:val="0"/>
                  <w:vAlign w:val="center"/>
                </w:tcPr>
                <w:p w14:paraId="191E429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是</w:t>
                  </w:r>
                </w:p>
              </w:tc>
            </w:tr>
            <w:tr w14:paraId="3E951A2F">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44" w:type="dxa"/>
                  <w:vMerge w:val="continue"/>
                  <w:tcBorders>
                    <w:tl2br w:val="nil"/>
                    <w:tr2bl w:val="nil"/>
                  </w:tcBorders>
                  <w:noWrap w:val="0"/>
                  <w:vAlign w:val="center"/>
                </w:tcPr>
                <w:p w14:paraId="6B11276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p>
              </w:tc>
              <w:tc>
                <w:tcPr>
                  <w:tcW w:w="1588" w:type="dxa"/>
                  <w:tcBorders>
                    <w:tl2br w:val="nil"/>
                    <w:tr2bl w:val="nil"/>
                  </w:tcBorders>
                  <w:noWrap w:val="0"/>
                  <w:vAlign w:val="center"/>
                </w:tcPr>
                <w:p w14:paraId="2D01953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氮氧化物</w:t>
                  </w:r>
                </w:p>
              </w:tc>
              <w:tc>
                <w:tcPr>
                  <w:tcW w:w="790" w:type="dxa"/>
                  <w:vMerge w:val="continue"/>
                  <w:tcBorders>
                    <w:tl2br w:val="nil"/>
                    <w:tr2bl w:val="nil"/>
                  </w:tcBorders>
                  <w:noWrap w:val="0"/>
                  <w:vAlign w:val="center"/>
                </w:tcPr>
                <w:p w14:paraId="5C0FE69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p>
              </w:tc>
              <w:tc>
                <w:tcPr>
                  <w:tcW w:w="1125" w:type="dxa"/>
                  <w:tcBorders>
                    <w:tl2br w:val="nil"/>
                    <w:tr2bl w:val="nil"/>
                  </w:tcBorders>
                  <w:noWrap w:val="0"/>
                  <w:vAlign w:val="center"/>
                </w:tcPr>
                <w:p w14:paraId="4BF2D5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Cs/>
                      <w:i w:val="0"/>
                      <w:color w:val="auto"/>
                      <w:spacing w:val="0"/>
                      <w:kern w:val="0"/>
                      <w:sz w:val="21"/>
                      <w:szCs w:val="21"/>
                      <w:highlight w:val="none"/>
                      <w:u w:val="none"/>
                      <w:lang w:val="en-US" w:eastAsia="zh-CN" w:bidi="ar"/>
                    </w:rPr>
                  </w:pPr>
                  <w:r>
                    <w:rPr>
                      <w:rFonts w:hint="eastAsia" w:cs="宋体"/>
                      <w:bCs/>
                      <w:i w:val="0"/>
                      <w:color w:val="auto"/>
                      <w:spacing w:val="0"/>
                      <w:kern w:val="0"/>
                      <w:sz w:val="21"/>
                      <w:szCs w:val="21"/>
                      <w:highlight w:val="none"/>
                      <w:u w:val="none"/>
                      <w:lang w:val="en-US" w:eastAsia="zh-CN" w:bidi="ar"/>
                    </w:rPr>
                    <w:t>6.28</w:t>
                  </w:r>
                </w:p>
              </w:tc>
              <w:tc>
                <w:tcPr>
                  <w:tcW w:w="1058" w:type="dxa"/>
                  <w:tcBorders>
                    <w:tl2br w:val="nil"/>
                    <w:tr2bl w:val="nil"/>
                  </w:tcBorders>
                  <w:noWrap w:val="0"/>
                  <w:vAlign w:val="center"/>
                </w:tcPr>
                <w:p w14:paraId="76F7BC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cs="宋体"/>
                      <w:color w:val="auto"/>
                      <w:spacing w:val="0"/>
                      <w:sz w:val="21"/>
                      <w:szCs w:val="21"/>
                      <w:highlight w:val="none"/>
                      <w:lang w:val="en-US" w:eastAsia="zh-CN"/>
                    </w:rPr>
                    <w:t>150</w:t>
                  </w:r>
                </w:p>
              </w:tc>
              <w:tc>
                <w:tcPr>
                  <w:tcW w:w="957" w:type="dxa"/>
                  <w:tcBorders>
                    <w:tl2br w:val="nil"/>
                    <w:tr2bl w:val="nil"/>
                  </w:tcBorders>
                  <w:noWrap w:val="0"/>
                  <w:vAlign w:val="center"/>
                </w:tcPr>
                <w:p w14:paraId="582EBCB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w:t>
                  </w:r>
                </w:p>
              </w:tc>
              <w:tc>
                <w:tcPr>
                  <w:tcW w:w="1012" w:type="dxa"/>
                  <w:tcBorders>
                    <w:tl2br w:val="nil"/>
                    <w:tr2bl w:val="nil"/>
                  </w:tcBorders>
                  <w:noWrap w:val="0"/>
                  <w:vAlign w:val="center"/>
                </w:tcPr>
                <w:p w14:paraId="691222B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300</w:t>
                  </w:r>
                </w:p>
              </w:tc>
              <w:tc>
                <w:tcPr>
                  <w:tcW w:w="731" w:type="dxa"/>
                  <w:tcBorders>
                    <w:tl2br w:val="nil"/>
                    <w:tr2bl w:val="nil"/>
                  </w:tcBorders>
                  <w:noWrap w:val="0"/>
                  <w:vAlign w:val="center"/>
                </w:tcPr>
                <w:p w14:paraId="73D9D94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是</w:t>
                  </w:r>
                </w:p>
              </w:tc>
            </w:tr>
            <w:tr w14:paraId="0E1314C4">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44" w:type="dxa"/>
                  <w:vMerge w:val="continue"/>
                  <w:tcBorders>
                    <w:tl2br w:val="nil"/>
                    <w:tr2bl w:val="nil"/>
                  </w:tcBorders>
                  <w:noWrap w:val="0"/>
                  <w:vAlign w:val="center"/>
                </w:tcPr>
                <w:p w14:paraId="1A89C46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p>
              </w:tc>
              <w:tc>
                <w:tcPr>
                  <w:tcW w:w="1588" w:type="dxa"/>
                  <w:tcBorders>
                    <w:tl2br w:val="nil"/>
                    <w:tr2bl w:val="nil"/>
                  </w:tcBorders>
                  <w:noWrap w:val="0"/>
                  <w:vAlign w:val="center"/>
                </w:tcPr>
                <w:p w14:paraId="359C678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烟气黑度</w:t>
                  </w:r>
                </w:p>
              </w:tc>
              <w:tc>
                <w:tcPr>
                  <w:tcW w:w="790" w:type="dxa"/>
                  <w:vMerge w:val="continue"/>
                  <w:tcBorders>
                    <w:tl2br w:val="nil"/>
                    <w:tr2bl w:val="nil"/>
                  </w:tcBorders>
                  <w:noWrap w:val="0"/>
                  <w:vAlign w:val="center"/>
                </w:tcPr>
                <w:p w14:paraId="1236365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p>
              </w:tc>
              <w:tc>
                <w:tcPr>
                  <w:tcW w:w="2183" w:type="dxa"/>
                  <w:gridSpan w:val="2"/>
                  <w:tcBorders>
                    <w:tl2br w:val="nil"/>
                    <w:tr2bl w:val="nil"/>
                  </w:tcBorders>
                  <w:noWrap w:val="0"/>
                  <w:vAlign w:val="center"/>
                </w:tcPr>
                <w:p w14:paraId="567D16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w:t>
                  </w:r>
                  <w:r>
                    <w:rPr>
                      <w:rFonts w:hint="default" w:ascii="宋体" w:hAnsi="宋体" w:eastAsia="宋体" w:cs="宋体"/>
                      <w:color w:val="auto"/>
                      <w:spacing w:val="0"/>
                      <w:sz w:val="21"/>
                      <w:szCs w:val="21"/>
                      <w:highlight w:val="none"/>
                      <w:lang w:val="en-US" w:eastAsia="zh-CN"/>
                    </w:rPr>
                    <w:t>1</w:t>
                  </w:r>
                  <w:r>
                    <w:rPr>
                      <w:rFonts w:hint="eastAsia" w:ascii="宋体" w:hAnsi="宋体" w:eastAsia="宋体" w:cs="宋体"/>
                      <w:color w:val="auto"/>
                      <w:spacing w:val="0"/>
                      <w:sz w:val="21"/>
                      <w:szCs w:val="21"/>
                      <w:highlight w:val="none"/>
                      <w:lang w:val="en-US" w:eastAsia="zh-CN"/>
                    </w:rPr>
                    <w:t>（林格曼等级）</w:t>
                  </w:r>
                </w:p>
              </w:tc>
              <w:tc>
                <w:tcPr>
                  <w:tcW w:w="1969" w:type="dxa"/>
                  <w:gridSpan w:val="2"/>
                  <w:tcBorders>
                    <w:tl2br w:val="nil"/>
                    <w:tr2bl w:val="nil"/>
                  </w:tcBorders>
                  <w:noWrap w:val="0"/>
                  <w:vAlign w:val="center"/>
                </w:tcPr>
                <w:p w14:paraId="59CFF26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bCs w:val="0"/>
                      <w:color w:val="auto"/>
                      <w:spacing w:val="0"/>
                      <w:kern w:val="2"/>
                      <w:sz w:val="21"/>
                      <w:szCs w:val="21"/>
                      <w:highlight w:val="none"/>
                      <w:lang w:val="en-US" w:eastAsia="zh-CN" w:bidi="ar-SA"/>
                    </w:rPr>
                    <w:t>≤</w:t>
                  </w:r>
                  <w:r>
                    <w:rPr>
                      <w:rFonts w:hint="default" w:ascii="宋体" w:hAnsi="宋体" w:eastAsia="宋体" w:cs="宋体"/>
                      <w:color w:val="auto"/>
                      <w:spacing w:val="0"/>
                      <w:sz w:val="21"/>
                      <w:szCs w:val="21"/>
                      <w:highlight w:val="none"/>
                      <w:lang w:val="en-US" w:eastAsia="zh-CN"/>
                    </w:rPr>
                    <w:t>1</w:t>
                  </w:r>
                  <w:r>
                    <w:rPr>
                      <w:rFonts w:hint="eastAsia" w:ascii="宋体" w:hAnsi="宋体" w:eastAsia="宋体" w:cs="宋体"/>
                      <w:color w:val="auto"/>
                      <w:spacing w:val="0"/>
                      <w:sz w:val="21"/>
                      <w:szCs w:val="21"/>
                      <w:highlight w:val="none"/>
                      <w:lang w:val="en-US" w:eastAsia="zh-CN"/>
                    </w:rPr>
                    <w:t>（林格曼等级）</w:t>
                  </w:r>
                </w:p>
              </w:tc>
              <w:tc>
                <w:tcPr>
                  <w:tcW w:w="731" w:type="dxa"/>
                  <w:tcBorders>
                    <w:tl2br w:val="nil"/>
                    <w:tr2bl w:val="nil"/>
                  </w:tcBorders>
                  <w:noWrap w:val="0"/>
                  <w:vAlign w:val="center"/>
                </w:tcPr>
                <w:p w14:paraId="05369EE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是</w:t>
                  </w:r>
                </w:p>
              </w:tc>
            </w:tr>
            <w:tr w14:paraId="152D982F">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1" w:hRule="exact"/>
                <w:jc w:val="center"/>
              </w:trPr>
              <w:tc>
                <w:tcPr>
                  <w:tcW w:w="544" w:type="dxa"/>
                  <w:vMerge w:val="continue"/>
                  <w:tcBorders>
                    <w:tl2br w:val="nil"/>
                    <w:tr2bl w:val="nil"/>
                  </w:tcBorders>
                  <w:noWrap w:val="0"/>
                  <w:vAlign w:val="center"/>
                </w:tcPr>
                <w:p w14:paraId="6238069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p>
              </w:tc>
              <w:tc>
                <w:tcPr>
                  <w:tcW w:w="1588" w:type="dxa"/>
                  <w:tcBorders>
                    <w:tl2br w:val="nil"/>
                    <w:tr2bl w:val="nil"/>
                  </w:tcBorders>
                  <w:noWrap w:val="0"/>
                  <w:vAlign w:val="center"/>
                </w:tcPr>
                <w:p w14:paraId="3F27F70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cs="宋体"/>
                      <w:color w:val="auto"/>
                      <w:spacing w:val="0"/>
                      <w:sz w:val="21"/>
                      <w:szCs w:val="21"/>
                      <w:highlight w:val="none"/>
                      <w:lang w:val="en-US" w:eastAsia="zh-CN"/>
                    </w:rPr>
                  </w:pPr>
                  <w:r>
                    <w:rPr>
                      <w:rFonts w:hint="eastAsia" w:cs="宋体"/>
                      <w:color w:val="auto"/>
                      <w:spacing w:val="0"/>
                      <w:sz w:val="21"/>
                      <w:szCs w:val="21"/>
                      <w:highlight w:val="none"/>
                      <w:lang w:val="en-US" w:eastAsia="zh-CN"/>
                    </w:rPr>
                    <w:t>汞及其化合物</w:t>
                  </w:r>
                </w:p>
              </w:tc>
              <w:tc>
                <w:tcPr>
                  <w:tcW w:w="790" w:type="dxa"/>
                  <w:vMerge w:val="continue"/>
                  <w:tcBorders>
                    <w:tl2br w:val="nil"/>
                    <w:tr2bl w:val="nil"/>
                  </w:tcBorders>
                  <w:noWrap w:val="0"/>
                  <w:vAlign w:val="center"/>
                </w:tcPr>
                <w:p w14:paraId="32DC5FA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p>
              </w:tc>
              <w:tc>
                <w:tcPr>
                  <w:tcW w:w="1125" w:type="dxa"/>
                  <w:tcBorders>
                    <w:tl2br w:val="nil"/>
                    <w:tr2bl w:val="nil"/>
                  </w:tcBorders>
                  <w:noWrap w:val="0"/>
                  <w:vAlign w:val="center"/>
                </w:tcPr>
                <w:p w14:paraId="222176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default" w:ascii="宋体" w:hAnsi="宋体" w:eastAsia="宋体" w:cs="宋体"/>
                      <w:color w:val="auto"/>
                      <w:spacing w:val="0"/>
                      <w:sz w:val="21"/>
                      <w:szCs w:val="21"/>
                      <w:highlight w:val="none"/>
                      <w:lang w:val="en-US" w:eastAsia="zh-CN"/>
                    </w:rPr>
                    <w:t>0.0000374</w:t>
                  </w:r>
                </w:p>
              </w:tc>
              <w:tc>
                <w:tcPr>
                  <w:tcW w:w="1058" w:type="dxa"/>
                  <w:tcBorders>
                    <w:tl2br w:val="nil"/>
                    <w:tr2bl w:val="nil"/>
                  </w:tcBorders>
                  <w:noWrap w:val="0"/>
                  <w:vAlign w:val="center"/>
                </w:tcPr>
                <w:p w14:paraId="4A1BD2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0.0016</w:t>
                  </w:r>
                </w:p>
              </w:tc>
              <w:tc>
                <w:tcPr>
                  <w:tcW w:w="957" w:type="dxa"/>
                  <w:tcBorders>
                    <w:tl2br w:val="nil"/>
                    <w:tr2bl w:val="nil"/>
                  </w:tcBorders>
                  <w:noWrap w:val="0"/>
                  <w:vAlign w:val="center"/>
                </w:tcPr>
                <w:p w14:paraId="57C2D67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Cs w:val="0"/>
                      <w:color w:val="auto"/>
                      <w:spacing w:val="0"/>
                      <w:kern w:val="2"/>
                      <w:sz w:val="21"/>
                      <w:szCs w:val="21"/>
                      <w:highlight w:val="none"/>
                      <w:lang w:val="en-US" w:eastAsia="zh-CN" w:bidi="ar-SA"/>
                    </w:rPr>
                  </w:pPr>
                  <w:r>
                    <w:rPr>
                      <w:rFonts w:hint="eastAsia" w:cs="宋体"/>
                      <w:bCs w:val="0"/>
                      <w:color w:val="auto"/>
                      <w:spacing w:val="0"/>
                      <w:kern w:val="2"/>
                      <w:sz w:val="21"/>
                      <w:szCs w:val="21"/>
                      <w:highlight w:val="none"/>
                      <w:lang w:val="en-US" w:eastAsia="zh-CN" w:bidi="ar-SA"/>
                    </w:rPr>
                    <w:t>/</w:t>
                  </w:r>
                </w:p>
              </w:tc>
              <w:tc>
                <w:tcPr>
                  <w:tcW w:w="1012" w:type="dxa"/>
                  <w:tcBorders>
                    <w:tl2br w:val="nil"/>
                    <w:tr2bl w:val="nil"/>
                  </w:tcBorders>
                  <w:noWrap w:val="0"/>
                  <w:vAlign w:val="center"/>
                </w:tcPr>
                <w:p w14:paraId="158D5EA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Cs w:val="0"/>
                      <w:color w:val="auto"/>
                      <w:spacing w:val="0"/>
                      <w:kern w:val="2"/>
                      <w:sz w:val="21"/>
                      <w:szCs w:val="21"/>
                      <w:highlight w:val="none"/>
                      <w:lang w:val="en-US" w:eastAsia="zh-CN" w:bidi="ar-SA"/>
                    </w:rPr>
                  </w:pPr>
                  <w:r>
                    <w:rPr>
                      <w:rFonts w:hint="eastAsia" w:cs="宋体"/>
                      <w:bCs w:val="0"/>
                      <w:color w:val="auto"/>
                      <w:spacing w:val="0"/>
                      <w:kern w:val="2"/>
                      <w:sz w:val="21"/>
                      <w:szCs w:val="21"/>
                      <w:highlight w:val="none"/>
                      <w:lang w:val="en-US" w:eastAsia="zh-CN" w:bidi="ar-SA"/>
                    </w:rPr>
                    <w:t>0.05</w:t>
                  </w:r>
                </w:p>
              </w:tc>
              <w:tc>
                <w:tcPr>
                  <w:tcW w:w="731" w:type="dxa"/>
                  <w:tcBorders>
                    <w:tl2br w:val="nil"/>
                    <w:tr2bl w:val="nil"/>
                  </w:tcBorders>
                  <w:noWrap w:val="0"/>
                  <w:vAlign w:val="center"/>
                </w:tcPr>
                <w:p w14:paraId="453F6B0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cs="宋体"/>
                      <w:color w:val="auto"/>
                      <w:spacing w:val="0"/>
                      <w:sz w:val="21"/>
                      <w:szCs w:val="21"/>
                      <w:highlight w:val="none"/>
                      <w:lang w:val="en-US" w:eastAsia="zh-CN"/>
                    </w:rPr>
                  </w:pPr>
                  <w:r>
                    <w:rPr>
                      <w:rFonts w:hint="eastAsia" w:cs="宋体"/>
                      <w:color w:val="auto"/>
                      <w:spacing w:val="0"/>
                      <w:sz w:val="21"/>
                      <w:szCs w:val="21"/>
                      <w:highlight w:val="none"/>
                      <w:lang w:val="en-US" w:eastAsia="zh-CN"/>
                    </w:rPr>
                    <w:t>是</w:t>
                  </w:r>
                </w:p>
              </w:tc>
            </w:tr>
          </w:tbl>
          <w:p w14:paraId="0DF588D3">
            <w:pPr>
              <w:spacing w:line="360" w:lineRule="auto"/>
              <w:rPr>
                <w:rFonts w:hint="eastAsia" w:ascii="宋体" w:hAnsi="宋体" w:eastAsia="宋体" w:cs="宋体"/>
                <w:color w:val="auto"/>
                <w:spacing w:val="0"/>
                <w:sz w:val="24"/>
                <w:highlight w:val="none"/>
                <w:lang w:val="en-US" w:eastAsia="zh-CN"/>
              </w:rPr>
            </w:pPr>
            <w:r>
              <w:rPr>
                <w:rFonts w:hint="eastAsia" w:ascii="宋体" w:hAnsi="宋体" w:eastAsia="宋体" w:cs="宋体"/>
                <w:bCs/>
                <w:color w:val="auto"/>
                <w:spacing w:val="0"/>
                <w:sz w:val="24"/>
                <w:szCs w:val="24"/>
                <w:highlight w:val="none"/>
                <w:lang w:val="en-US" w:eastAsia="zh-CN"/>
              </w:rPr>
              <w:t>由上表可知，本项目废气满足</w:t>
            </w:r>
            <w:r>
              <w:rPr>
                <w:rFonts w:hint="eastAsia" w:ascii="宋体" w:hAnsi="宋体" w:eastAsia="宋体" w:cs="宋体"/>
                <w:color w:val="auto"/>
                <w:spacing w:val="0"/>
                <w:sz w:val="24"/>
                <w:highlight w:val="none"/>
              </w:rPr>
              <w:t>《</w:t>
            </w:r>
            <w:r>
              <w:rPr>
                <w:rFonts w:hint="eastAsia" w:ascii="宋体" w:hAnsi="宋体" w:eastAsia="宋体" w:cs="宋体"/>
                <w:color w:val="auto"/>
                <w:spacing w:val="0"/>
                <w:sz w:val="24"/>
                <w:highlight w:val="none"/>
                <w:lang w:val="en-US" w:eastAsia="zh-CN"/>
              </w:rPr>
              <w:t>锅炉大气污染物排放标准</w:t>
            </w:r>
            <w:r>
              <w:rPr>
                <w:rFonts w:hint="eastAsia" w:ascii="宋体" w:hAnsi="宋体" w:eastAsia="宋体" w:cs="宋体"/>
                <w:color w:val="auto"/>
                <w:spacing w:val="0"/>
                <w:sz w:val="24"/>
                <w:highlight w:val="none"/>
              </w:rPr>
              <w:t>》（GB</w:t>
            </w:r>
            <w:r>
              <w:rPr>
                <w:rFonts w:hint="eastAsia" w:ascii="宋体" w:hAnsi="宋体" w:eastAsia="宋体" w:cs="宋体"/>
                <w:color w:val="auto"/>
                <w:spacing w:val="0"/>
                <w:sz w:val="24"/>
                <w:highlight w:val="none"/>
                <w:lang w:val="en-US" w:eastAsia="zh-CN"/>
              </w:rPr>
              <w:t>13271</w:t>
            </w:r>
            <w:r>
              <w:rPr>
                <w:rFonts w:hint="eastAsia" w:ascii="宋体" w:hAnsi="宋体" w:eastAsia="宋体" w:cs="宋体"/>
                <w:color w:val="auto"/>
                <w:spacing w:val="0"/>
                <w:sz w:val="24"/>
                <w:highlight w:val="none"/>
              </w:rPr>
              <w:t>-</w:t>
            </w:r>
            <w:r>
              <w:rPr>
                <w:rFonts w:hint="eastAsia" w:ascii="宋体" w:hAnsi="宋体" w:eastAsia="宋体" w:cs="宋体"/>
                <w:color w:val="auto"/>
                <w:spacing w:val="0"/>
                <w:sz w:val="24"/>
                <w:highlight w:val="none"/>
                <w:lang w:val="en-US" w:eastAsia="zh-CN"/>
              </w:rPr>
              <w:t>2014</w:t>
            </w:r>
            <w:r>
              <w:rPr>
                <w:rFonts w:hint="eastAsia" w:ascii="宋体" w:hAnsi="宋体" w:eastAsia="宋体" w:cs="宋体"/>
                <w:color w:val="auto"/>
                <w:spacing w:val="0"/>
                <w:sz w:val="24"/>
                <w:highlight w:val="none"/>
              </w:rPr>
              <w:t>）</w:t>
            </w:r>
            <w:r>
              <w:rPr>
                <w:rFonts w:hint="eastAsia" w:ascii="宋体" w:hAnsi="宋体" w:eastAsia="宋体" w:cs="宋体"/>
                <w:bCs/>
                <w:color w:val="auto"/>
                <w:spacing w:val="0"/>
                <w:sz w:val="24"/>
                <w:szCs w:val="24"/>
                <w:highlight w:val="none"/>
                <w:lang w:val="en-US" w:eastAsia="zh-CN"/>
              </w:rPr>
              <w:t>表2排放限值。</w:t>
            </w:r>
          </w:p>
          <w:p w14:paraId="1583F1D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宋体"/>
                <w:b/>
                <w:bCs w:val="0"/>
                <w:caps w:val="0"/>
                <w:color w:val="auto"/>
                <w:sz w:val="24"/>
                <w:szCs w:val="24"/>
                <w:highlight w:val="none"/>
              </w:rPr>
            </w:pPr>
            <w:r>
              <w:rPr>
                <w:rFonts w:hint="eastAsia" w:ascii="Times New Roman" w:hAnsi="Times New Roman" w:cs="宋体"/>
                <w:b/>
                <w:bCs w:val="0"/>
                <w:caps w:val="0"/>
                <w:color w:val="auto"/>
                <w:sz w:val="24"/>
                <w:szCs w:val="24"/>
                <w:highlight w:val="none"/>
                <w:lang w:val="en-US" w:eastAsia="zh-CN"/>
              </w:rPr>
              <w:t>1</w:t>
            </w:r>
            <w:r>
              <w:rPr>
                <w:rFonts w:hint="eastAsia" w:ascii="Times New Roman" w:hAnsi="Times New Roman" w:eastAsia="宋体" w:cs="宋体"/>
                <w:b/>
                <w:bCs w:val="0"/>
                <w:caps w:val="0"/>
                <w:color w:val="auto"/>
                <w:sz w:val="24"/>
                <w:szCs w:val="24"/>
                <w:highlight w:val="none"/>
                <w:lang w:val="en-US" w:eastAsia="zh-CN"/>
              </w:rPr>
              <w:t>.</w:t>
            </w:r>
            <w:r>
              <w:rPr>
                <w:rFonts w:hint="eastAsia" w:ascii="Times New Roman" w:hAnsi="Times New Roman" w:cs="宋体"/>
                <w:b/>
                <w:bCs w:val="0"/>
                <w:caps w:val="0"/>
                <w:color w:val="auto"/>
                <w:sz w:val="24"/>
                <w:szCs w:val="24"/>
                <w:highlight w:val="none"/>
                <w:lang w:val="en-US" w:eastAsia="zh-CN"/>
              </w:rPr>
              <w:t>5</w:t>
            </w:r>
            <w:r>
              <w:rPr>
                <w:rFonts w:hint="default" w:ascii="Times New Roman" w:hAnsi="Times New Roman" w:eastAsia="宋体" w:cs="宋体"/>
                <w:b/>
                <w:bCs w:val="0"/>
                <w:caps w:val="0"/>
                <w:color w:val="auto"/>
                <w:sz w:val="24"/>
                <w:szCs w:val="24"/>
                <w:highlight w:val="none"/>
              </w:rPr>
              <w:t>非正常工况废气排放</w:t>
            </w:r>
          </w:p>
          <w:p w14:paraId="1852848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bCs/>
                <w:caps w:val="0"/>
                <w:color w:val="auto"/>
                <w:sz w:val="24"/>
                <w:szCs w:val="24"/>
                <w:highlight w:val="none"/>
              </w:rPr>
            </w:pPr>
            <w:r>
              <w:rPr>
                <w:rFonts w:hint="eastAsia" w:ascii="Times New Roman" w:hAnsi="Times New Roman" w:eastAsia="宋体" w:cs="宋体"/>
                <w:bCs/>
                <w:caps w:val="0"/>
                <w:color w:val="auto"/>
                <w:sz w:val="24"/>
                <w:szCs w:val="24"/>
                <w:highlight w:val="none"/>
              </w:rPr>
              <w:t>根据大气导则规定，污染物排放控制措施达不到应有效率、工艺设备运转异常等情况下的污染排放归为非正常排放。对照导则要求，项目废气治理措施发生异常时，会导致废气非正常排放。</w:t>
            </w:r>
          </w:p>
          <w:p w14:paraId="11D2285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bCs/>
                <w:caps w:val="0"/>
                <w:color w:val="auto"/>
                <w:sz w:val="24"/>
                <w:szCs w:val="24"/>
                <w:highlight w:val="none"/>
              </w:rPr>
            </w:pPr>
            <w:r>
              <w:rPr>
                <w:rFonts w:hint="eastAsia" w:ascii="Times New Roman" w:hAnsi="Times New Roman" w:eastAsia="宋体" w:cs="宋体"/>
                <w:bCs/>
                <w:caps w:val="0"/>
                <w:color w:val="auto"/>
                <w:sz w:val="24"/>
                <w:szCs w:val="24"/>
                <w:highlight w:val="none"/>
              </w:rPr>
              <w:t>①非正常工况原因分析项目废气经治理措施进行处理，经过一段时间的生产运行后，内部关键部件未及时更换，从而使处理效率降低。</w:t>
            </w:r>
          </w:p>
          <w:p w14:paraId="359A0EE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highlight w:val="none"/>
              </w:rPr>
            </w:pPr>
            <w:r>
              <w:rPr>
                <w:rFonts w:hint="eastAsia" w:ascii="Times New Roman" w:hAnsi="Times New Roman" w:eastAsia="宋体" w:cs="宋体"/>
                <w:bCs/>
                <w:caps w:val="0"/>
                <w:color w:val="auto"/>
                <w:sz w:val="24"/>
                <w:szCs w:val="24"/>
                <w:highlight w:val="none"/>
              </w:rPr>
              <w:t>②非正常工况污染物排放分析当废气治理设施内部关键部件未及时更换时，去除效率降低至0，废气将直接高空排放。</w:t>
            </w:r>
          </w:p>
          <w:p w14:paraId="0C676786">
            <w:pPr>
              <w:pStyle w:val="46"/>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eastAsia" w:ascii="Times New Roman" w:hAnsi="Times New Roman" w:eastAsia="宋体" w:cs="宋体"/>
                <w:bCs/>
                <w:caps w:val="0"/>
                <w:color w:val="auto"/>
                <w:kern w:val="2"/>
                <w:sz w:val="24"/>
                <w:szCs w:val="24"/>
                <w:highlight w:val="none"/>
                <w:lang w:val="en-US" w:eastAsia="zh-CN" w:bidi="ar-SA"/>
              </w:rPr>
            </w:pPr>
            <w:r>
              <w:rPr>
                <w:rFonts w:hint="eastAsia" w:ascii="Times New Roman" w:hAnsi="Times New Roman" w:eastAsia="宋体" w:cs="宋体"/>
                <w:bCs/>
                <w:caps w:val="0"/>
                <w:color w:val="auto"/>
                <w:kern w:val="2"/>
                <w:sz w:val="24"/>
                <w:szCs w:val="24"/>
                <w:highlight w:val="none"/>
                <w:lang w:val="en-US" w:eastAsia="zh-CN" w:bidi="ar-SA"/>
              </w:rPr>
              <w:t>③非正常工况污染物排放分析还应考虑</w:t>
            </w:r>
            <w:r>
              <w:rPr>
                <w:rFonts w:hint="eastAsia" w:ascii="Times New Roman" w:hAnsi="Times New Roman" w:cs="宋体"/>
                <w:bCs/>
                <w:caps w:val="0"/>
                <w:color w:val="auto"/>
                <w:kern w:val="2"/>
                <w:sz w:val="24"/>
                <w:szCs w:val="24"/>
                <w:highlight w:val="none"/>
                <w:lang w:val="en-US" w:eastAsia="zh-CN" w:bidi="ar-SA"/>
              </w:rPr>
              <w:t>旋风除尘器+布袋除尘器故障或</w:t>
            </w:r>
            <w:r>
              <w:rPr>
                <w:rFonts w:hint="eastAsia" w:ascii="Times New Roman" w:hAnsi="Times New Roman" w:eastAsia="宋体" w:cs="宋体"/>
                <w:bCs/>
                <w:caps w:val="0"/>
                <w:color w:val="auto"/>
                <w:kern w:val="2"/>
                <w:sz w:val="24"/>
                <w:szCs w:val="24"/>
                <w:highlight w:val="none"/>
                <w:lang w:val="en-US" w:eastAsia="zh-CN" w:bidi="ar-SA"/>
              </w:rPr>
              <w:t>破损导致效率降低的情况，</w:t>
            </w:r>
            <w:r>
              <w:rPr>
                <w:rFonts w:ascii="Times New Roman" w:hAnsi="Times New Roman" w:eastAsia="宋体" w:cs="宋体"/>
                <w:color w:val="auto"/>
                <w:spacing w:val="-2"/>
                <w:sz w:val="24"/>
                <w:szCs w:val="24"/>
                <w:highlight w:val="none"/>
              </w:rPr>
              <w:t>除尘效率降为90%</w:t>
            </w:r>
            <w:r>
              <w:rPr>
                <w:rFonts w:hint="eastAsia" w:ascii="Times New Roman" w:hAnsi="Times New Roman" w:eastAsia="宋体" w:cs="宋体"/>
                <w:color w:val="auto"/>
                <w:spacing w:val="-2"/>
                <w:sz w:val="24"/>
                <w:szCs w:val="24"/>
                <w:highlight w:val="none"/>
                <w:lang w:eastAsia="zh-CN"/>
              </w:rPr>
              <w:t>。</w:t>
            </w:r>
            <w:r>
              <w:rPr>
                <w:rFonts w:hint="eastAsia" w:ascii="Times New Roman" w:hAnsi="Times New Roman" w:eastAsia="宋体" w:cs="宋体"/>
                <w:bCs/>
                <w:caps w:val="0"/>
                <w:color w:val="auto"/>
                <w:sz w:val="24"/>
                <w:szCs w:val="24"/>
                <w:highlight w:val="none"/>
              </w:rPr>
              <w:t>非正常工况下的污染物排放量见下表</w:t>
            </w:r>
            <w:r>
              <w:rPr>
                <w:rFonts w:hint="eastAsia" w:ascii="Times New Roman" w:hAnsi="Times New Roman" w:eastAsia="宋体" w:cs="宋体"/>
                <w:bCs/>
                <w:caps w:val="0"/>
                <w:color w:val="auto"/>
                <w:sz w:val="24"/>
                <w:szCs w:val="24"/>
                <w:highlight w:val="none"/>
                <w:lang w:eastAsia="zh-CN"/>
              </w:rPr>
              <w:t>。</w:t>
            </w:r>
          </w:p>
          <w:p w14:paraId="35405E92">
            <w:pPr>
              <w:pStyle w:val="77"/>
              <w:keepNext w:val="0"/>
              <w:keepLines w:val="0"/>
              <w:pageBreakBefore w:val="0"/>
              <w:widowControl w:val="0"/>
              <w:numPr>
                <w:ilvl w:val="0"/>
                <w:numId w:val="0"/>
              </w:numPr>
              <w:tabs>
                <w:tab w:val="left" w:pos="4440"/>
              </w:tabs>
              <w:kinsoku/>
              <w:wordWrap/>
              <w:overflowPunct/>
              <w:topLinePunct w:val="0"/>
              <w:autoSpaceDE/>
              <w:autoSpaceDN/>
              <w:bidi w:val="0"/>
              <w:adjustRightInd w:val="0"/>
              <w:snapToGrid w:val="0"/>
              <w:spacing w:before="0" w:beforeLines="0" w:line="240" w:lineRule="auto"/>
              <w:ind w:left="0" w:leftChars="0" w:firstLine="0" w:firstLineChars="0"/>
              <w:jc w:val="center"/>
              <w:textAlignment w:val="auto"/>
              <w:rPr>
                <w:rFonts w:hint="default" w:ascii="Times New Roman" w:hAnsi="Times New Roman" w:eastAsia="宋体" w:cs="宋体"/>
                <w:b/>
                <w:bCs/>
                <w:caps w:val="0"/>
                <w:color w:val="auto"/>
                <w:sz w:val="21"/>
                <w:szCs w:val="21"/>
                <w:highlight w:val="none"/>
              </w:rPr>
            </w:pPr>
            <w:r>
              <w:rPr>
                <w:rFonts w:hint="default" w:ascii="Times New Roman" w:hAnsi="Times New Roman" w:eastAsia="宋体" w:cs="宋体"/>
                <w:b/>
                <w:bCs/>
                <w:caps w:val="0"/>
                <w:color w:val="auto"/>
                <w:sz w:val="21"/>
                <w:szCs w:val="21"/>
                <w:highlight w:val="none"/>
              </w:rPr>
              <w:t>表</w:t>
            </w:r>
            <w:r>
              <w:rPr>
                <w:rFonts w:hint="eastAsia" w:ascii="Times New Roman" w:hAnsi="Times New Roman" w:eastAsia="宋体" w:cs="宋体"/>
                <w:b/>
                <w:bCs/>
                <w:caps w:val="0"/>
                <w:color w:val="auto"/>
                <w:sz w:val="21"/>
                <w:szCs w:val="21"/>
                <w:highlight w:val="none"/>
                <w:lang w:val="en-US" w:eastAsia="zh-CN"/>
              </w:rPr>
              <w:t>4-</w:t>
            </w:r>
            <w:r>
              <w:rPr>
                <w:rFonts w:hint="eastAsia" w:ascii="Times New Roman" w:hAnsi="Times New Roman" w:cs="宋体"/>
                <w:b/>
                <w:bCs/>
                <w:caps w:val="0"/>
                <w:color w:val="auto"/>
                <w:sz w:val="21"/>
                <w:szCs w:val="21"/>
                <w:highlight w:val="none"/>
                <w:lang w:val="en-US" w:eastAsia="zh-CN"/>
              </w:rPr>
              <w:t>6</w:t>
            </w:r>
            <w:r>
              <w:rPr>
                <w:rFonts w:hint="default" w:ascii="Times New Roman" w:hAnsi="Times New Roman" w:eastAsia="宋体" w:cs="宋体"/>
                <w:b/>
                <w:bCs/>
                <w:caps w:val="0"/>
                <w:color w:val="auto"/>
                <w:sz w:val="21"/>
                <w:szCs w:val="21"/>
                <w:highlight w:val="none"/>
              </w:rPr>
              <w:t>本项目非正常工况下废气估算模式参数值</w:t>
            </w:r>
          </w:p>
          <w:tbl>
            <w:tblPr>
              <w:tblStyle w:val="37"/>
              <w:tblW w:w="5000" w:type="pct"/>
              <w:tblInd w:w="5" w:type="dxa"/>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668"/>
              <w:gridCol w:w="1560"/>
              <w:gridCol w:w="1184"/>
              <w:gridCol w:w="1352"/>
              <w:gridCol w:w="1245"/>
              <w:gridCol w:w="1283"/>
            </w:tblGrid>
            <w:tr w14:paraId="7E93A821">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26" w:type="pct"/>
                  <w:tcBorders>
                    <w:tl2br w:val="nil"/>
                    <w:tr2bl w:val="nil"/>
                  </w:tcBorders>
                  <w:noWrap w:val="0"/>
                  <w:vAlign w:val="center"/>
                </w:tcPr>
                <w:p w14:paraId="586861E9">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编号</w:t>
                  </w:r>
                </w:p>
              </w:tc>
              <w:tc>
                <w:tcPr>
                  <w:tcW w:w="418" w:type="pct"/>
                  <w:tcBorders>
                    <w:tl2br w:val="nil"/>
                    <w:tr2bl w:val="nil"/>
                  </w:tcBorders>
                  <w:noWrap w:val="0"/>
                  <w:vAlign w:val="center"/>
                </w:tcPr>
                <w:p w14:paraId="42CB4E7B">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名称</w:t>
                  </w:r>
                </w:p>
              </w:tc>
              <w:tc>
                <w:tcPr>
                  <w:tcW w:w="978" w:type="pct"/>
                  <w:tcBorders>
                    <w:tl2br w:val="nil"/>
                    <w:tr2bl w:val="nil"/>
                  </w:tcBorders>
                  <w:noWrap w:val="0"/>
                  <w:vAlign w:val="center"/>
                </w:tcPr>
                <w:p w14:paraId="6C926567">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aps w:val="0"/>
                      <w:color w:val="auto"/>
                      <w:sz w:val="21"/>
                      <w:szCs w:val="21"/>
                      <w:highlight w:val="none"/>
                      <w:lang w:eastAsia="zh-CN"/>
                    </w:rPr>
                  </w:pPr>
                  <w:r>
                    <w:rPr>
                      <w:rFonts w:hint="default" w:ascii="Times New Roman" w:hAnsi="Times New Roman" w:eastAsia="宋体" w:cs="Times New Roman"/>
                      <w:b/>
                      <w:bCs/>
                      <w:caps w:val="0"/>
                      <w:color w:val="auto"/>
                      <w:sz w:val="21"/>
                      <w:szCs w:val="21"/>
                      <w:highlight w:val="none"/>
                      <w:lang w:val="en-US" w:eastAsia="zh-CN"/>
                    </w:rPr>
                    <w:t>非正常排放原因</w:t>
                  </w:r>
                </w:p>
              </w:tc>
              <w:tc>
                <w:tcPr>
                  <w:tcW w:w="742" w:type="pct"/>
                  <w:tcBorders>
                    <w:tl2br w:val="nil"/>
                    <w:tr2bl w:val="nil"/>
                  </w:tcBorders>
                  <w:noWrap w:val="0"/>
                  <w:vAlign w:val="center"/>
                </w:tcPr>
                <w:p w14:paraId="32EA7282">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年排放小时数/h</w:t>
                  </w:r>
                </w:p>
              </w:tc>
              <w:tc>
                <w:tcPr>
                  <w:tcW w:w="847" w:type="pct"/>
                  <w:tcBorders>
                    <w:tl2br w:val="nil"/>
                    <w:tr2bl w:val="nil"/>
                  </w:tcBorders>
                  <w:noWrap w:val="0"/>
                  <w:vAlign w:val="center"/>
                </w:tcPr>
                <w:p w14:paraId="3A6D1BFE">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排放工况</w:t>
                  </w:r>
                </w:p>
              </w:tc>
              <w:tc>
                <w:tcPr>
                  <w:tcW w:w="1585" w:type="pct"/>
                  <w:gridSpan w:val="2"/>
                  <w:tcBorders>
                    <w:tl2br w:val="nil"/>
                    <w:tr2bl w:val="nil"/>
                  </w:tcBorders>
                  <w:noWrap w:val="0"/>
                  <w:vAlign w:val="center"/>
                </w:tcPr>
                <w:p w14:paraId="158B3D5F">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b/>
                      <w:bCs/>
                      <w:caps w:val="0"/>
                      <w:color w:val="auto"/>
                      <w:sz w:val="21"/>
                      <w:szCs w:val="21"/>
                      <w:highlight w:val="none"/>
                    </w:rPr>
                  </w:pPr>
                  <w:r>
                    <w:rPr>
                      <w:rFonts w:hint="default" w:ascii="Times New Roman" w:hAnsi="Times New Roman" w:eastAsia="宋体" w:cs="Times New Roman"/>
                      <w:b/>
                      <w:bCs/>
                      <w:caps w:val="0"/>
                      <w:color w:val="auto"/>
                      <w:sz w:val="21"/>
                      <w:szCs w:val="21"/>
                      <w:highlight w:val="none"/>
                    </w:rPr>
                    <w:t>污染物排放速率/（kg/h）</w:t>
                  </w:r>
                </w:p>
              </w:tc>
            </w:tr>
            <w:tr w14:paraId="3BC19AB7">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26" w:type="pct"/>
                  <w:vMerge w:val="restart"/>
                  <w:tcBorders>
                    <w:tl2br w:val="nil"/>
                    <w:tr2bl w:val="nil"/>
                  </w:tcBorders>
                  <w:noWrap w:val="0"/>
                  <w:vAlign w:val="center"/>
                </w:tcPr>
                <w:p w14:paraId="40ED58AA">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DA</w:t>
                  </w:r>
                </w:p>
                <w:p w14:paraId="7C1105F0">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0</w:t>
                  </w:r>
                  <w:r>
                    <w:rPr>
                      <w:rFonts w:hint="eastAsia" w:ascii="Times New Roman" w:hAnsi="Times New Roman" w:cs="Times New Roman"/>
                      <w:caps w:val="0"/>
                      <w:color w:val="auto"/>
                      <w:sz w:val="21"/>
                      <w:szCs w:val="21"/>
                      <w:highlight w:val="none"/>
                      <w:lang w:val="en-US" w:eastAsia="zh-CN"/>
                    </w:rPr>
                    <w:t>10</w:t>
                  </w:r>
                </w:p>
              </w:tc>
              <w:tc>
                <w:tcPr>
                  <w:tcW w:w="418" w:type="pct"/>
                  <w:vMerge w:val="restart"/>
                  <w:tcBorders>
                    <w:tl2br w:val="nil"/>
                    <w:tr2bl w:val="nil"/>
                  </w:tcBorders>
                  <w:noWrap w:val="0"/>
                  <w:vAlign w:val="center"/>
                </w:tcPr>
                <w:p w14:paraId="3CC29D00">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锅炉废气</w:t>
                  </w:r>
                </w:p>
              </w:tc>
              <w:tc>
                <w:tcPr>
                  <w:tcW w:w="978" w:type="pct"/>
                  <w:tcBorders>
                    <w:tl2br w:val="nil"/>
                    <w:tr2bl w:val="nil"/>
                  </w:tcBorders>
                  <w:noWrap w:val="0"/>
                  <w:vAlign w:val="center"/>
                </w:tcPr>
                <w:p w14:paraId="047EFE5B">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eastAsia" w:ascii="Times New Roman" w:hAnsi="Times New Roman" w:cs="Times New Roman"/>
                      <w:caps w:val="0"/>
                      <w:color w:val="auto"/>
                      <w:sz w:val="21"/>
                      <w:szCs w:val="21"/>
                      <w:highlight w:val="none"/>
                      <w:lang w:val="en-US" w:eastAsia="zh-CN"/>
                    </w:rPr>
                    <w:t>旋风除尘器+布袋除尘器</w:t>
                  </w:r>
                  <w:r>
                    <w:rPr>
                      <w:rFonts w:hint="default" w:ascii="Times New Roman" w:hAnsi="Times New Roman" w:eastAsia="宋体" w:cs="Times New Roman"/>
                      <w:caps w:val="0"/>
                      <w:color w:val="auto"/>
                      <w:sz w:val="21"/>
                      <w:szCs w:val="21"/>
                      <w:highlight w:val="none"/>
                      <w:lang w:val="en-US" w:eastAsia="zh-CN"/>
                    </w:rPr>
                    <w:t>未更换或失效</w:t>
                  </w:r>
                </w:p>
              </w:tc>
              <w:tc>
                <w:tcPr>
                  <w:tcW w:w="742" w:type="pct"/>
                  <w:tcBorders>
                    <w:tl2br w:val="nil"/>
                    <w:tr2bl w:val="nil"/>
                  </w:tcBorders>
                  <w:noWrap w:val="0"/>
                  <w:vAlign w:val="center"/>
                </w:tcPr>
                <w:p w14:paraId="46B6B809">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&lt;1</w:t>
                  </w:r>
                </w:p>
              </w:tc>
              <w:tc>
                <w:tcPr>
                  <w:tcW w:w="847" w:type="pct"/>
                  <w:tcBorders>
                    <w:tl2br w:val="nil"/>
                    <w:tr2bl w:val="nil"/>
                  </w:tcBorders>
                  <w:noWrap w:val="0"/>
                  <w:vAlign w:val="center"/>
                </w:tcPr>
                <w:p w14:paraId="4C9F7966">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eastAsia="zh-CN"/>
                    </w:rPr>
                  </w:pPr>
                  <w:r>
                    <w:rPr>
                      <w:rFonts w:hint="default" w:ascii="Times New Roman" w:hAnsi="Times New Roman" w:eastAsia="宋体" w:cs="Times New Roman"/>
                      <w:caps w:val="0"/>
                      <w:color w:val="auto"/>
                      <w:sz w:val="21"/>
                      <w:szCs w:val="21"/>
                      <w:highlight w:val="none"/>
                      <w:lang w:eastAsia="zh-CN"/>
                    </w:rPr>
                    <w:t>非</w:t>
                  </w:r>
                  <w:r>
                    <w:rPr>
                      <w:rFonts w:hint="default" w:ascii="Times New Roman" w:hAnsi="Times New Roman" w:eastAsia="宋体" w:cs="Times New Roman"/>
                      <w:caps w:val="0"/>
                      <w:color w:val="auto"/>
                      <w:sz w:val="21"/>
                      <w:szCs w:val="21"/>
                      <w:highlight w:val="none"/>
                    </w:rPr>
                    <w:t>正常排放</w:t>
                  </w:r>
                </w:p>
              </w:tc>
              <w:tc>
                <w:tcPr>
                  <w:tcW w:w="780" w:type="pct"/>
                  <w:tcBorders>
                    <w:tl2br w:val="nil"/>
                    <w:tr2bl w:val="nil"/>
                  </w:tcBorders>
                  <w:noWrap w:val="0"/>
                  <w:vAlign w:val="center"/>
                </w:tcPr>
                <w:p w14:paraId="4632058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颗粒物</w:t>
                  </w:r>
                </w:p>
              </w:tc>
              <w:tc>
                <w:tcPr>
                  <w:tcW w:w="804" w:type="pct"/>
                  <w:tcBorders>
                    <w:tl2br w:val="nil"/>
                    <w:tr2bl w:val="nil"/>
                  </w:tcBorders>
                  <w:noWrap w:val="0"/>
                  <w:vAlign w:val="center"/>
                </w:tcPr>
                <w:p w14:paraId="52E619C8">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caps w:val="0"/>
                      <w:color w:val="auto"/>
                      <w:kern w:val="0"/>
                      <w:sz w:val="21"/>
                      <w:szCs w:val="21"/>
                      <w:highlight w:val="none"/>
                      <w:u w:val="none"/>
                      <w:lang w:val="en-US" w:eastAsia="zh-CN" w:bidi="ar"/>
                    </w:rPr>
                  </w:pPr>
                  <w:r>
                    <w:rPr>
                      <w:rFonts w:hint="default" w:ascii="Times New Roman" w:hAnsi="Times New Roman" w:eastAsia="宋体" w:cs="Times New Roman"/>
                      <w:i w:val="0"/>
                      <w:iCs w:val="0"/>
                      <w:caps w:val="0"/>
                      <w:color w:val="auto"/>
                      <w:kern w:val="0"/>
                      <w:sz w:val="21"/>
                      <w:szCs w:val="21"/>
                      <w:highlight w:val="none"/>
                      <w:u w:val="none"/>
                      <w:lang w:val="en-US" w:eastAsia="zh-CN" w:bidi="ar"/>
                    </w:rPr>
                    <w:t>11.78</w:t>
                  </w:r>
                </w:p>
              </w:tc>
            </w:tr>
            <w:tr w14:paraId="5A885DD5">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26" w:type="pct"/>
                  <w:vMerge w:val="continue"/>
                  <w:tcBorders>
                    <w:tl2br w:val="nil"/>
                    <w:tr2bl w:val="nil"/>
                  </w:tcBorders>
                  <w:noWrap w:val="0"/>
                  <w:vAlign w:val="center"/>
                </w:tcPr>
                <w:p w14:paraId="3ACE5F0F">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p>
              </w:tc>
              <w:tc>
                <w:tcPr>
                  <w:tcW w:w="418" w:type="pct"/>
                  <w:vMerge w:val="continue"/>
                  <w:tcBorders>
                    <w:tl2br w:val="nil"/>
                    <w:tr2bl w:val="nil"/>
                  </w:tcBorders>
                  <w:noWrap w:val="0"/>
                  <w:vAlign w:val="center"/>
                </w:tcPr>
                <w:p w14:paraId="1EE4CB5F">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p>
              </w:tc>
              <w:tc>
                <w:tcPr>
                  <w:tcW w:w="978" w:type="pct"/>
                  <w:tcBorders>
                    <w:tl2br w:val="nil"/>
                    <w:tr2bl w:val="nil"/>
                  </w:tcBorders>
                  <w:noWrap w:val="0"/>
                  <w:vAlign w:val="center"/>
                </w:tcPr>
                <w:p w14:paraId="57FC97E9">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eastAsia" w:ascii="Times New Roman" w:hAnsi="Times New Roman" w:cs="Times New Roman"/>
                      <w:caps w:val="0"/>
                      <w:color w:val="auto"/>
                      <w:sz w:val="21"/>
                      <w:szCs w:val="21"/>
                      <w:highlight w:val="none"/>
                      <w:lang w:val="en-US" w:eastAsia="zh-CN"/>
                    </w:rPr>
                    <w:t>旋风除尘器故障+布袋除尘器破损</w:t>
                  </w:r>
                </w:p>
              </w:tc>
              <w:tc>
                <w:tcPr>
                  <w:tcW w:w="742" w:type="pct"/>
                  <w:tcBorders>
                    <w:tl2br w:val="nil"/>
                    <w:tr2bl w:val="nil"/>
                  </w:tcBorders>
                  <w:noWrap w:val="0"/>
                  <w:vAlign w:val="center"/>
                </w:tcPr>
                <w:p w14:paraId="44C999FE">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&lt;1</w:t>
                  </w:r>
                </w:p>
              </w:tc>
              <w:tc>
                <w:tcPr>
                  <w:tcW w:w="1352" w:type="dxa"/>
                  <w:tcBorders>
                    <w:tl2br w:val="nil"/>
                    <w:tr2bl w:val="nil"/>
                  </w:tcBorders>
                  <w:noWrap w:val="0"/>
                  <w:vAlign w:val="center"/>
                </w:tcPr>
                <w:p w14:paraId="1BF37B82">
                  <w:pPr>
                    <w:keepNext w:val="0"/>
                    <w:keepLines w:val="0"/>
                    <w:pageBreakBefore w:val="0"/>
                    <w:kinsoku/>
                    <w:wordWrap/>
                    <w:overflowPunct/>
                    <w:topLinePunct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eastAsia="zh-CN"/>
                    </w:rPr>
                  </w:pPr>
                  <w:r>
                    <w:rPr>
                      <w:rFonts w:hint="default" w:ascii="Times New Roman" w:hAnsi="Times New Roman" w:eastAsia="宋体" w:cs="Times New Roman"/>
                      <w:caps w:val="0"/>
                      <w:color w:val="auto"/>
                      <w:sz w:val="21"/>
                      <w:szCs w:val="21"/>
                      <w:highlight w:val="none"/>
                      <w:lang w:eastAsia="zh-CN"/>
                    </w:rPr>
                    <w:t>非</w:t>
                  </w:r>
                  <w:r>
                    <w:rPr>
                      <w:rFonts w:hint="default" w:ascii="Times New Roman" w:hAnsi="Times New Roman" w:eastAsia="宋体" w:cs="Times New Roman"/>
                      <w:caps w:val="0"/>
                      <w:color w:val="auto"/>
                      <w:sz w:val="21"/>
                      <w:szCs w:val="21"/>
                      <w:highlight w:val="none"/>
                    </w:rPr>
                    <w:t>正常排放</w:t>
                  </w:r>
                </w:p>
              </w:tc>
              <w:tc>
                <w:tcPr>
                  <w:tcW w:w="1245" w:type="dxa"/>
                  <w:tcBorders>
                    <w:tl2br w:val="nil"/>
                    <w:tr2bl w:val="nil"/>
                  </w:tcBorders>
                  <w:noWrap w:val="0"/>
                  <w:vAlign w:val="center"/>
                </w:tcPr>
                <w:p w14:paraId="1DD05C1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rPr>
                      <w:rFonts w:hint="default" w:ascii="Times New Roman" w:hAnsi="Times New Roman" w:eastAsia="宋体" w:cs="Times New Roman"/>
                      <w:caps w:val="0"/>
                      <w:color w:val="auto"/>
                      <w:sz w:val="21"/>
                      <w:szCs w:val="21"/>
                      <w:highlight w:val="none"/>
                      <w:lang w:val="en-US" w:eastAsia="zh-CN"/>
                    </w:rPr>
                  </w:pPr>
                  <w:r>
                    <w:rPr>
                      <w:rFonts w:hint="default" w:ascii="Times New Roman" w:hAnsi="Times New Roman" w:eastAsia="宋体" w:cs="Times New Roman"/>
                      <w:caps w:val="0"/>
                      <w:color w:val="auto"/>
                      <w:sz w:val="21"/>
                      <w:szCs w:val="21"/>
                      <w:highlight w:val="none"/>
                      <w:lang w:val="en-US" w:eastAsia="zh-CN"/>
                    </w:rPr>
                    <w:t>颗粒物</w:t>
                  </w:r>
                </w:p>
              </w:tc>
              <w:tc>
                <w:tcPr>
                  <w:tcW w:w="804" w:type="pct"/>
                  <w:tcBorders>
                    <w:tl2br w:val="nil"/>
                    <w:tr2bl w:val="nil"/>
                  </w:tcBorders>
                  <w:noWrap w:val="0"/>
                  <w:vAlign w:val="center"/>
                </w:tcPr>
                <w:p w14:paraId="706333B2">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cs="Times New Roman"/>
                      <w:i w:val="0"/>
                      <w:iCs w:val="0"/>
                      <w:caps w:val="0"/>
                      <w:color w:val="auto"/>
                      <w:kern w:val="0"/>
                      <w:sz w:val="21"/>
                      <w:szCs w:val="21"/>
                      <w:highlight w:val="none"/>
                      <w:u w:val="none"/>
                      <w:lang w:val="en-US" w:eastAsia="zh-CN" w:bidi="ar"/>
                    </w:rPr>
                  </w:pPr>
                  <w:r>
                    <w:rPr>
                      <w:rFonts w:hint="eastAsia" w:ascii="Times New Roman" w:hAnsi="Times New Roman" w:cs="Times New Roman"/>
                      <w:i w:val="0"/>
                      <w:iCs w:val="0"/>
                      <w:caps w:val="0"/>
                      <w:color w:val="auto"/>
                      <w:kern w:val="0"/>
                      <w:sz w:val="21"/>
                      <w:szCs w:val="21"/>
                      <w:highlight w:val="none"/>
                      <w:u w:val="none"/>
                      <w:lang w:val="en-US" w:eastAsia="zh-CN" w:bidi="ar"/>
                    </w:rPr>
                    <w:t>1.178</w:t>
                  </w:r>
                </w:p>
              </w:tc>
            </w:tr>
          </w:tbl>
          <w:p w14:paraId="5077FC6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b/>
                <w:color w:val="auto"/>
                <w:spacing w:val="0"/>
                <w:sz w:val="24"/>
                <w:highlight w:val="none"/>
                <w:lang w:val="en-US" w:eastAsia="zh-CN"/>
              </w:rPr>
            </w:pPr>
            <w:r>
              <w:rPr>
                <w:rFonts w:hint="eastAsia" w:ascii="Times New Roman" w:hAnsi="Times New Roman" w:cs="宋体"/>
                <w:caps w:val="0"/>
                <w:color w:val="auto"/>
                <w:sz w:val="24"/>
                <w:szCs w:val="24"/>
                <w:highlight w:val="none"/>
                <w:lang w:val="en-US" w:eastAsia="zh-CN"/>
              </w:rPr>
              <w:t>④</w:t>
            </w:r>
            <w:r>
              <w:rPr>
                <w:rFonts w:hint="eastAsia" w:ascii="Times New Roman" w:hAnsi="Times New Roman" w:eastAsia="宋体" w:cs="宋体"/>
                <w:caps w:val="0"/>
                <w:color w:val="auto"/>
                <w:sz w:val="24"/>
                <w:szCs w:val="24"/>
                <w:highlight w:val="none"/>
              </w:rPr>
              <w:t>为了避免非正常工况排污，拟采取以下措施：A.加强日常维护管理，防微杜渐，是杜绝事故排放的前提。因此，需注重废气处理设备的维护，使其长期保持最佳工作状况。在定期检修工程主体设备时，同时检查和维护各主要废气处理设备的正常运行。B.一旦发现废气处理设备运行不正常时，应及时予以处理或维修，如确定短时间内不能恢复正常运行的，应立即</w:t>
            </w:r>
            <w:r>
              <w:rPr>
                <w:rFonts w:hint="eastAsia" w:ascii="Times New Roman" w:hAnsi="Times New Roman" w:eastAsia="宋体" w:cs="宋体"/>
                <w:caps w:val="0"/>
                <w:color w:val="auto"/>
                <w:sz w:val="24"/>
                <w:szCs w:val="24"/>
                <w:highlight w:val="none"/>
                <w:lang w:val="en-US" w:eastAsia="zh-CN"/>
              </w:rPr>
              <w:t>停止运行</w:t>
            </w:r>
            <w:r>
              <w:rPr>
                <w:rFonts w:hint="eastAsia" w:ascii="Times New Roman" w:hAnsi="Times New Roman" w:eastAsia="宋体" w:cs="宋体"/>
                <w:caps w:val="0"/>
                <w:color w:val="auto"/>
                <w:sz w:val="24"/>
                <w:szCs w:val="24"/>
                <w:highlight w:val="none"/>
              </w:rPr>
              <w:t>检修</w:t>
            </w:r>
            <w:r>
              <w:rPr>
                <w:rFonts w:hint="eastAsia" w:ascii="Times New Roman" w:hAnsi="Times New Roman" w:eastAsia="宋体" w:cs="宋体"/>
                <w:caps w:val="0"/>
                <w:color w:val="auto"/>
                <w:sz w:val="24"/>
                <w:szCs w:val="24"/>
                <w:highlight w:val="none"/>
                <w:lang w:val="en-US" w:eastAsia="zh-CN"/>
              </w:rPr>
              <w:t>设备</w:t>
            </w:r>
            <w:r>
              <w:rPr>
                <w:rFonts w:hint="eastAsia" w:ascii="Times New Roman" w:hAnsi="Times New Roman" w:eastAsia="宋体" w:cs="宋体"/>
                <w:caps w:val="0"/>
                <w:color w:val="auto"/>
                <w:sz w:val="24"/>
                <w:szCs w:val="24"/>
                <w:highlight w:val="none"/>
              </w:rPr>
              <w:t>，以避免对环境造成更大的污染影响，待废气处理设备运行正常后恢复生产。C.加强对日常设备的</w:t>
            </w:r>
            <w:r>
              <w:rPr>
                <w:rFonts w:hint="eastAsia" w:ascii="Times New Roman" w:hAnsi="Times New Roman" w:eastAsia="宋体" w:cs="宋体"/>
                <w:caps w:val="0"/>
                <w:color w:val="auto"/>
                <w:sz w:val="24"/>
                <w:szCs w:val="24"/>
                <w:highlight w:val="none"/>
                <w:lang w:val="en-US" w:eastAsia="zh-CN"/>
              </w:rPr>
              <w:t>检查。</w:t>
            </w:r>
          </w:p>
          <w:p w14:paraId="239FECE9">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bCs/>
                <w:color w:val="auto"/>
                <w:spacing w:val="0"/>
                <w:sz w:val="24"/>
                <w:highlight w:val="none"/>
              </w:rPr>
            </w:pPr>
            <w:r>
              <w:rPr>
                <w:rFonts w:hint="eastAsia" w:ascii="宋体" w:hAnsi="宋体" w:eastAsia="宋体" w:cs="宋体"/>
                <w:b/>
                <w:color w:val="auto"/>
                <w:spacing w:val="0"/>
                <w:sz w:val="24"/>
                <w:highlight w:val="none"/>
                <w:lang w:val="en-US" w:eastAsia="zh-CN"/>
              </w:rPr>
              <w:t>1.</w:t>
            </w:r>
            <w:r>
              <w:rPr>
                <w:rFonts w:hint="eastAsia" w:cs="宋体"/>
                <w:b/>
                <w:color w:val="auto"/>
                <w:spacing w:val="0"/>
                <w:sz w:val="24"/>
                <w:highlight w:val="none"/>
                <w:lang w:val="en-US" w:eastAsia="zh-CN"/>
              </w:rPr>
              <w:t>6</w:t>
            </w:r>
            <w:r>
              <w:rPr>
                <w:rFonts w:hint="eastAsia" w:ascii="宋体" w:hAnsi="宋体" w:eastAsia="宋体" w:cs="宋体"/>
                <w:b/>
                <w:bCs/>
                <w:color w:val="auto"/>
                <w:spacing w:val="0"/>
                <w:sz w:val="24"/>
                <w:highlight w:val="none"/>
              </w:rPr>
              <w:t>大气污染源监测计划</w:t>
            </w:r>
          </w:p>
          <w:p w14:paraId="1643C2E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依据《排污单位自行监测技术指南 火力发电及锅炉》</w:t>
            </w:r>
            <w:r>
              <w:rPr>
                <w:rFonts w:hint="eastAsia" w:cs="宋体"/>
                <w:color w:val="auto"/>
                <w:spacing w:val="0"/>
                <w:sz w:val="24"/>
                <w:highlight w:val="none"/>
                <w:lang w:eastAsia="zh-CN"/>
              </w:rPr>
              <w:t>（</w:t>
            </w:r>
            <w:r>
              <w:rPr>
                <w:rFonts w:hint="eastAsia" w:ascii="宋体" w:hAnsi="宋体" w:eastAsia="宋体" w:cs="宋体"/>
                <w:color w:val="auto"/>
                <w:spacing w:val="0"/>
                <w:sz w:val="24"/>
                <w:highlight w:val="none"/>
              </w:rPr>
              <w:t>HJ820-2017</w:t>
            </w:r>
            <w:r>
              <w:rPr>
                <w:rFonts w:hint="eastAsia" w:cs="宋体"/>
                <w:color w:val="auto"/>
                <w:spacing w:val="0"/>
                <w:sz w:val="24"/>
                <w:highlight w:val="none"/>
                <w:lang w:eastAsia="zh-CN"/>
              </w:rPr>
              <w:t>）</w:t>
            </w:r>
            <w:r>
              <w:rPr>
                <w:rFonts w:hint="eastAsia" w:ascii="宋体" w:hAnsi="宋体" w:eastAsia="宋体" w:cs="宋体"/>
                <w:color w:val="auto"/>
                <w:spacing w:val="0"/>
                <w:sz w:val="24"/>
                <w:highlight w:val="none"/>
              </w:rPr>
              <w:t>中表1的相关内容，</w:t>
            </w:r>
            <w:r>
              <w:rPr>
                <w:rFonts w:hint="eastAsia" w:ascii="宋体" w:hAnsi="宋体" w:eastAsia="宋体" w:cs="宋体"/>
                <w:color w:val="auto"/>
                <w:spacing w:val="0"/>
                <w:sz w:val="24"/>
                <w:highlight w:val="none"/>
                <w:lang w:eastAsia="zh-CN"/>
              </w:rPr>
              <w:t>及</w:t>
            </w:r>
            <w:r>
              <w:rPr>
                <w:rFonts w:hint="eastAsia" w:ascii="宋体" w:hAnsi="宋体" w:eastAsia="宋体" w:cs="宋体"/>
                <w:color w:val="auto"/>
                <w:spacing w:val="0"/>
                <w:sz w:val="24"/>
                <w:highlight w:val="none"/>
                <w:lang w:val="en-US" w:eastAsia="zh-CN"/>
              </w:rPr>
              <w:t>《排污许可证申请与核发技术规范 锅炉》</w:t>
            </w:r>
            <w:r>
              <w:rPr>
                <w:rFonts w:hint="eastAsia" w:cs="宋体"/>
                <w:color w:val="auto"/>
                <w:spacing w:val="0"/>
                <w:sz w:val="24"/>
                <w:highlight w:val="none"/>
                <w:lang w:val="en-US" w:eastAsia="zh-CN"/>
              </w:rPr>
              <w:t>（</w:t>
            </w:r>
            <w:r>
              <w:rPr>
                <w:rFonts w:hint="eastAsia" w:ascii="宋体" w:hAnsi="宋体" w:eastAsia="宋体" w:cs="宋体"/>
                <w:color w:val="auto"/>
                <w:spacing w:val="0"/>
                <w:sz w:val="24"/>
                <w:highlight w:val="none"/>
                <w:lang w:val="en-US" w:eastAsia="zh-CN"/>
              </w:rPr>
              <w:t>HJ953—2018</w:t>
            </w:r>
            <w:r>
              <w:rPr>
                <w:rFonts w:hint="eastAsia" w:cs="宋体"/>
                <w:color w:val="auto"/>
                <w:spacing w:val="0"/>
                <w:sz w:val="24"/>
                <w:highlight w:val="none"/>
                <w:lang w:val="en-US" w:eastAsia="zh-CN"/>
              </w:rPr>
              <w:t>）</w:t>
            </w:r>
            <w:r>
              <w:rPr>
                <w:rFonts w:hint="eastAsia" w:ascii="宋体" w:hAnsi="宋体" w:eastAsia="宋体" w:cs="宋体"/>
                <w:color w:val="auto"/>
                <w:spacing w:val="0"/>
                <w:sz w:val="24"/>
                <w:highlight w:val="none"/>
              </w:rPr>
              <w:t>建议项目运营期大气污染源监测计划如下。</w:t>
            </w:r>
          </w:p>
          <w:p w14:paraId="20A9BE59">
            <w:pPr>
              <w:pStyle w:val="13"/>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eastAsia" w:ascii="宋体" w:hAnsi="宋体" w:eastAsia="宋体" w:cs="宋体"/>
                <w:b/>
                <w:bCs/>
                <w:color w:val="auto"/>
                <w:spacing w:val="0"/>
                <w:sz w:val="21"/>
                <w:szCs w:val="21"/>
                <w:highlight w:val="none"/>
                <w:lang w:val="en-US" w:eastAsia="zh-CN"/>
              </w:rPr>
            </w:pPr>
            <w:r>
              <w:rPr>
                <w:rFonts w:hint="eastAsia" w:ascii="宋体" w:hAnsi="宋体" w:eastAsia="宋体" w:cs="宋体"/>
                <w:b/>
                <w:bCs/>
                <w:color w:val="auto"/>
                <w:spacing w:val="0"/>
                <w:sz w:val="21"/>
                <w:szCs w:val="21"/>
                <w:highlight w:val="none"/>
                <w:lang w:val="en-US" w:eastAsia="zh-CN"/>
              </w:rPr>
              <w:t>表4-</w:t>
            </w:r>
            <w:r>
              <w:rPr>
                <w:rFonts w:hint="eastAsia" w:ascii="宋体" w:hAnsi="宋体" w:cs="宋体"/>
                <w:b/>
                <w:bCs/>
                <w:color w:val="auto"/>
                <w:spacing w:val="0"/>
                <w:sz w:val="21"/>
                <w:szCs w:val="21"/>
                <w:highlight w:val="none"/>
                <w:lang w:val="en-US" w:eastAsia="zh-CN"/>
              </w:rPr>
              <w:t>7</w:t>
            </w:r>
            <w:r>
              <w:rPr>
                <w:rFonts w:hint="eastAsia" w:ascii="宋体" w:hAnsi="宋体" w:eastAsia="宋体" w:cs="宋体"/>
                <w:b/>
                <w:bCs/>
                <w:color w:val="auto"/>
                <w:spacing w:val="0"/>
                <w:sz w:val="21"/>
                <w:szCs w:val="21"/>
                <w:highlight w:val="none"/>
                <w:lang w:val="en-US" w:eastAsia="zh-CN"/>
              </w:rPr>
              <w:t xml:space="preserve"> 大气污染源监测计划</w:t>
            </w:r>
          </w:p>
          <w:tbl>
            <w:tblPr>
              <w:tblStyle w:val="37"/>
              <w:tblW w:w="5000"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3"/>
              <w:gridCol w:w="4172"/>
              <w:gridCol w:w="1555"/>
              <w:gridCol w:w="1071"/>
            </w:tblGrid>
            <w:tr w14:paraId="25CC3939">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3" w:type="dxa"/>
                  <w:tcBorders>
                    <w:tl2br w:val="nil"/>
                    <w:tr2bl w:val="nil"/>
                  </w:tcBorders>
                  <w:noWrap w:val="0"/>
                  <w:vAlign w:val="center"/>
                </w:tcPr>
                <w:p w14:paraId="189742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监测点位</w:t>
                  </w:r>
                </w:p>
              </w:tc>
              <w:tc>
                <w:tcPr>
                  <w:tcW w:w="4172" w:type="dxa"/>
                  <w:tcBorders>
                    <w:tl2br w:val="nil"/>
                    <w:tr2bl w:val="nil"/>
                  </w:tcBorders>
                  <w:noWrap w:val="0"/>
                  <w:vAlign w:val="center"/>
                </w:tcPr>
                <w:p w14:paraId="586891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监测指标</w:t>
                  </w:r>
                </w:p>
              </w:tc>
              <w:tc>
                <w:tcPr>
                  <w:tcW w:w="1555" w:type="dxa"/>
                  <w:tcBorders>
                    <w:tl2br w:val="nil"/>
                    <w:tr2bl w:val="nil"/>
                  </w:tcBorders>
                  <w:noWrap w:val="0"/>
                  <w:vAlign w:val="center"/>
                </w:tcPr>
                <w:p w14:paraId="3D89F6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最低监测频次</w:t>
                  </w:r>
                </w:p>
              </w:tc>
              <w:tc>
                <w:tcPr>
                  <w:tcW w:w="1071" w:type="dxa"/>
                  <w:tcBorders>
                    <w:tl2br w:val="nil"/>
                    <w:tr2bl w:val="nil"/>
                  </w:tcBorders>
                  <w:noWrap w:val="0"/>
                  <w:vAlign w:val="center"/>
                </w:tcPr>
                <w:p w14:paraId="4EE3B3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监测设施</w:t>
                  </w:r>
                </w:p>
              </w:tc>
            </w:tr>
            <w:tr w14:paraId="7C1EA8D2">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3" w:type="dxa"/>
                  <w:vMerge w:val="restart"/>
                  <w:tcBorders>
                    <w:tl2br w:val="nil"/>
                    <w:tr2bl w:val="nil"/>
                  </w:tcBorders>
                  <w:noWrap w:val="0"/>
                  <w:vAlign w:val="center"/>
                </w:tcPr>
                <w:p w14:paraId="3DA667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宋体"/>
                      <w:color w:val="auto"/>
                      <w:spacing w:val="0"/>
                      <w:sz w:val="21"/>
                      <w:szCs w:val="21"/>
                      <w:highlight w:val="none"/>
                      <w:lang w:val="en-US" w:eastAsia="zh-CN"/>
                    </w:rPr>
                  </w:pPr>
                  <w:r>
                    <w:rPr>
                      <w:rFonts w:hint="eastAsia" w:cs="宋体"/>
                      <w:color w:val="auto"/>
                      <w:spacing w:val="0"/>
                      <w:sz w:val="21"/>
                      <w:szCs w:val="21"/>
                      <w:highlight w:val="none"/>
                      <w:lang w:val="en-US" w:eastAsia="zh-CN"/>
                    </w:rPr>
                    <w:t>DA010</w:t>
                  </w:r>
                </w:p>
                <w:p w14:paraId="6FAF61C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排气口</w:t>
                  </w:r>
                </w:p>
              </w:tc>
              <w:tc>
                <w:tcPr>
                  <w:tcW w:w="4172" w:type="dxa"/>
                  <w:tcBorders>
                    <w:tl2br w:val="nil"/>
                    <w:tr2bl w:val="nil"/>
                  </w:tcBorders>
                  <w:noWrap w:val="0"/>
                  <w:vAlign w:val="center"/>
                </w:tcPr>
                <w:p w14:paraId="2EA0D4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rPr>
                    <w:t>颗粒物</w:t>
                  </w:r>
                  <w:r>
                    <w:rPr>
                      <w:rFonts w:hint="eastAsia" w:cs="宋体"/>
                      <w:color w:val="auto"/>
                      <w:spacing w:val="0"/>
                      <w:sz w:val="21"/>
                      <w:szCs w:val="21"/>
                      <w:highlight w:val="none"/>
                      <w:lang w:eastAsia="zh-CN"/>
                    </w:rPr>
                    <w:t>、</w:t>
                  </w:r>
                  <w:r>
                    <w:rPr>
                      <w:rFonts w:hint="eastAsia" w:ascii="宋体" w:hAnsi="宋体" w:eastAsia="宋体" w:cs="宋体"/>
                      <w:color w:val="auto"/>
                      <w:spacing w:val="0"/>
                      <w:sz w:val="21"/>
                      <w:szCs w:val="21"/>
                      <w:highlight w:val="none"/>
                    </w:rPr>
                    <w:t>二氧化硫</w:t>
                  </w:r>
                  <w:r>
                    <w:rPr>
                      <w:rFonts w:hint="eastAsia" w:cs="宋体"/>
                      <w:color w:val="auto"/>
                      <w:spacing w:val="0"/>
                      <w:sz w:val="21"/>
                      <w:szCs w:val="21"/>
                      <w:highlight w:val="none"/>
                      <w:lang w:eastAsia="zh-CN"/>
                    </w:rPr>
                    <w:t>、</w:t>
                  </w:r>
                  <w:r>
                    <w:rPr>
                      <w:rFonts w:hint="eastAsia" w:ascii="宋体" w:hAnsi="宋体" w:eastAsia="宋体" w:cs="宋体"/>
                      <w:color w:val="auto"/>
                      <w:spacing w:val="0"/>
                      <w:sz w:val="21"/>
                      <w:szCs w:val="21"/>
                      <w:highlight w:val="none"/>
                    </w:rPr>
                    <w:t>氮氧化物</w:t>
                  </w:r>
                  <w:r>
                    <w:rPr>
                      <w:rFonts w:hint="eastAsia" w:cs="宋体"/>
                      <w:color w:val="auto"/>
                      <w:spacing w:val="0"/>
                      <w:sz w:val="21"/>
                      <w:szCs w:val="21"/>
                      <w:highlight w:val="none"/>
                      <w:lang w:eastAsia="zh-CN"/>
                    </w:rPr>
                    <w:t>、</w:t>
                  </w:r>
                  <w:r>
                    <w:rPr>
                      <w:rFonts w:hint="eastAsia" w:ascii="宋体" w:hAnsi="宋体" w:eastAsia="宋体" w:cs="宋体"/>
                      <w:color w:val="auto"/>
                      <w:spacing w:val="0"/>
                      <w:sz w:val="21"/>
                      <w:szCs w:val="21"/>
                      <w:highlight w:val="none"/>
                    </w:rPr>
                    <w:t>林格曼黑度</w:t>
                  </w:r>
                </w:p>
              </w:tc>
              <w:tc>
                <w:tcPr>
                  <w:tcW w:w="1555" w:type="dxa"/>
                  <w:tcBorders>
                    <w:tl2br w:val="nil"/>
                    <w:tr2bl w:val="nil"/>
                  </w:tcBorders>
                  <w:noWrap w:val="0"/>
                  <w:vAlign w:val="center"/>
                </w:tcPr>
                <w:p w14:paraId="5A1E54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eastAsia="zh-CN"/>
                    </w:rPr>
                  </w:pPr>
                  <w:r>
                    <w:rPr>
                      <w:rFonts w:hint="eastAsia" w:ascii="宋体" w:hAnsi="宋体" w:eastAsia="宋体" w:cs="宋体"/>
                      <w:color w:val="auto"/>
                      <w:spacing w:val="0"/>
                      <w:sz w:val="21"/>
                      <w:szCs w:val="21"/>
                      <w:highlight w:val="none"/>
                    </w:rPr>
                    <w:t>1次/</w:t>
                  </w:r>
                  <w:r>
                    <w:rPr>
                      <w:rFonts w:hint="eastAsia" w:cs="宋体"/>
                      <w:color w:val="auto"/>
                      <w:spacing w:val="0"/>
                      <w:sz w:val="21"/>
                      <w:szCs w:val="21"/>
                      <w:highlight w:val="none"/>
                      <w:lang w:val="en-US" w:eastAsia="zh-CN"/>
                    </w:rPr>
                    <w:t>月</w:t>
                  </w:r>
                </w:p>
              </w:tc>
              <w:tc>
                <w:tcPr>
                  <w:tcW w:w="1071" w:type="dxa"/>
                  <w:tcBorders>
                    <w:tl2br w:val="nil"/>
                    <w:tr2bl w:val="nil"/>
                  </w:tcBorders>
                  <w:noWrap w:val="0"/>
                  <w:vAlign w:val="center"/>
                </w:tcPr>
                <w:p w14:paraId="3A863C0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手工监测</w:t>
                  </w:r>
                </w:p>
              </w:tc>
            </w:tr>
            <w:tr w14:paraId="72BF4A98">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73" w:type="dxa"/>
                  <w:vMerge w:val="continue"/>
                  <w:tcBorders>
                    <w:tl2br w:val="nil"/>
                    <w:tr2bl w:val="nil"/>
                  </w:tcBorders>
                  <w:noWrap w:val="0"/>
                  <w:vAlign w:val="center"/>
                </w:tcPr>
                <w:p w14:paraId="0CAC4B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p>
              </w:tc>
              <w:tc>
                <w:tcPr>
                  <w:tcW w:w="4172" w:type="dxa"/>
                  <w:tcBorders>
                    <w:tl2br w:val="nil"/>
                    <w:tr2bl w:val="nil"/>
                  </w:tcBorders>
                  <w:noWrap w:val="0"/>
                  <w:vAlign w:val="center"/>
                </w:tcPr>
                <w:p w14:paraId="1185D53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厂界颗粒物</w:t>
                  </w:r>
                </w:p>
              </w:tc>
              <w:tc>
                <w:tcPr>
                  <w:tcW w:w="1555" w:type="dxa"/>
                  <w:tcBorders>
                    <w:tl2br w:val="nil"/>
                    <w:tr2bl w:val="nil"/>
                  </w:tcBorders>
                  <w:noWrap w:val="0"/>
                  <w:vAlign w:val="center"/>
                </w:tcPr>
                <w:p w14:paraId="770E7E6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1次/</w:t>
                  </w:r>
                  <w:r>
                    <w:rPr>
                      <w:rFonts w:hint="eastAsia"/>
                      <w:color w:val="auto"/>
                      <w:sz w:val="21"/>
                      <w:szCs w:val="21"/>
                      <w:highlight w:val="none"/>
                      <w:lang w:val="en-US" w:eastAsia="zh-CN"/>
                    </w:rPr>
                    <w:t>季度</w:t>
                  </w:r>
                </w:p>
              </w:tc>
              <w:tc>
                <w:tcPr>
                  <w:tcW w:w="1071" w:type="dxa"/>
                  <w:tcBorders>
                    <w:tl2br w:val="nil"/>
                    <w:tr2bl w:val="nil"/>
                  </w:tcBorders>
                  <w:noWrap w:val="0"/>
                  <w:vAlign w:val="center"/>
                </w:tcPr>
                <w:p w14:paraId="639AFD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手工监测</w:t>
                  </w:r>
                </w:p>
              </w:tc>
            </w:tr>
          </w:tbl>
          <w:p w14:paraId="47370F6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color w:val="auto"/>
                <w:spacing w:val="0"/>
                <w:sz w:val="24"/>
                <w:highlight w:val="none"/>
                <w:lang w:val="en-US" w:eastAsia="zh-CN"/>
              </w:rPr>
            </w:pPr>
            <w:r>
              <w:rPr>
                <w:rFonts w:hint="eastAsia" w:ascii="宋体" w:hAnsi="宋体" w:eastAsia="宋体" w:cs="宋体"/>
                <w:b/>
                <w:color w:val="auto"/>
                <w:spacing w:val="0"/>
                <w:sz w:val="24"/>
                <w:highlight w:val="none"/>
                <w:lang w:val="en-US" w:eastAsia="zh-CN"/>
              </w:rPr>
              <w:t>1.</w:t>
            </w:r>
            <w:r>
              <w:rPr>
                <w:rFonts w:hint="eastAsia" w:cs="宋体"/>
                <w:b/>
                <w:color w:val="auto"/>
                <w:spacing w:val="0"/>
                <w:sz w:val="24"/>
                <w:highlight w:val="none"/>
                <w:lang w:val="en-US" w:eastAsia="zh-CN"/>
              </w:rPr>
              <w:t>7</w:t>
            </w:r>
            <w:r>
              <w:rPr>
                <w:rFonts w:hint="eastAsia" w:ascii="宋体" w:hAnsi="宋体" w:eastAsia="宋体" w:cs="宋体"/>
                <w:b/>
                <w:color w:val="auto"/>
                <w:spacing w:val="0"/>
                <w:sz w:val="24"/>
                <w:highlight w:val="none"/>
                <w:lang w:val="en-US" w:eastAsia="zh-CN"/>
              </w:rPr>
              <w:t>废气排放环境影响分析</w:t>
            </w:r>
          </w:p>
          <w:p w14:paraId="68F6AE8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color w:val="auto"/>
                <w:spacing w:val="0"/>
                <w:sz w:val="24"/>
                <w:highlight w:val="none"/>
                <w:lang w:val="en-US" w:eastAsia="zh-CN"/>
              </w:rPr>
            </w:pPr>
            <w:r>
              <w:rPr>
                <w:rFonts w:hint="eastAsia" w:ascii="宋体" w:hAnsi="宋体" w:eastAsia="宋体" w:cs="宋体"/>
                <w:color w:val="auto"/>
                <w:spacing w:val="0"/>
                <w:sz w:val="24"/>
                <w:highlight w:val="none"/>
                <w:lang w:val="en-US" w:eastAsia="zh-CN"/>
              </w:rPr>
              <w:t>本项目生物质锅炉燃烧生物质过程中，产生的主要污染物为颗粒物、二氧化硫、氮氧化物及汞及其化合物。产生的废气经</w:t>
            </w:r>
            <w:r>
              <w:rPr>
                <w:rFonts w:hint="eastAsia" w:cs="宋体"/>
                <w:color w:val="auto"/>
                <w:spacing w:val="0"/>
                <w:sz w:val="24"/>
                <w:highlight w:val="none"/>
                <w:lang w:val="en-US" w:eastAsia="zh-CN"/>
              </w:rPr>
              <w:t>“</w:t>
            </w:r>
            <w:r>
              <w:rPr>
                <w:rFonts w:hint="eastAsia" w:ascii="宋体" w:hAnsi="宋体" w:eastAsia="宋体" w:cs="宋体"/>
                <w:color w:val="auto"/>
                <w:spacing w:val="0"/>
                <w:sz w:val="24"/>
                <w:highlight w:val="none"/>
                <w:lang w:val="en-US" w:eastAsia="zh-CN"/>
              </w:rPr>
              <w:t>低氮燃烧+旋风除尘器+布袋除尘器</w:t>
            </w:r>
            <w:r>
              <w:rPr>
                <w:rFonts w:hint="eastAsia" w:cs="宋体"/>
                <w:color w:val="auto"/>
                <w:spacing w:val="0"/>
                <w:sz w:val="24"/>
                <w:highlight w:val="none"/>
                <w:lang w:val="en-US" w:eastAsia="zh-CN"/>
              </w:rPr>
              <w:t>”</w:t>
            </w:r>
            <w:r>
              <w:rPr>
                <w:rFonts w:hint="eastAsia" w:ascii="宋体" w:hAnsi="宋体" w:eastAsia="宋体" w:cs="宋体"/>
                <w:color w:val="auto"/>
                <w:spacing w:val="0"/>
                <w:sz w:val="24"/>
                <w:highlight w:val="none"/>
                <w:lang w:val="en-US" w:eastAsia="zh-CN"/>
              </w:rPr>
              <w:t>净化处理后通过一根35m高排气筒DA010有组织排放，颗粒物、二氧化硫、氮氧化物、汞及其化合物的排放浓度均能满足《锅炉大气污染物排放标准》（GB13271-2014）表2新建锅炉大气污染物排放浓度限值要求</w:t>
            </w:r>
            <w:r>
              <w:rPr>
                <w:rFonts w:hint="eastAsia" w:cs="宋体"/>
                <w:color w:val="auto"/>
                <w:spacing w:val="0"/>
                <w:sz w:val="24"/>
                <w:highlight w:val="none"/>
                <w:lang w:val="en-US" w:eastAsia="zh-CN"/>
              </w:rPr>
              <w:t>；灰渣库暂存灰渣产生的颗粒物废气通过“密闭+布袋除尘器”措施处理后无组织排放，无组织颗粒物废气排放浓度满足</w:t>
            </w:r>
            <w:r>
              <w:rPr>
                <w:rFonts w:hint="eastAsia" w:ascii="宋体" w:hAnsi="宋体" w:eastAsia="宋体" w:cs="宋体"/>
                <w:color w:val="auto"/>
                <w:spacing w:val="0"/>
                <w:kern w:val="0"/>
                <w:sz w:val="24"/>
                <w:highlight w:val="none"/>
                <w:lang w:val="en-US" w:eastAsia="zh-CN"/>
              </w:rPr>
              <w:t>《大气污染物综合排放标准》（GB16297-1996）表2中无组织排放监控浓度限值要求</w:t>
            </w:r>
            <w:r>
              <w:rPr>
                <w:rFonts w:hint="eastAsia" w:cs="宋体"/>
                <w:color w:val="auto"/>
                <w:spacing w:val="0"/>
                <w:kern w:val="0"/>
                <w:sz w:val="24"/>
                <w:highlight w:val="none"/>
                <w:lang w:val="en-US" w:eastAsia="zh-CN"/>
              </w:rPr>
              <w:t>。</w:t>
            </w:r>
          </w:p>
          <w:p w14:paraId="0749090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highlight w:val="none"/>
                <w:lang w:val="en-US" w:eastAsia="zh-CN"/>
              </w:rPr>
            </w:pPr>
            <w:r>
              <w:rPr>
                <w:rFonts w:hint="eastAsia" w:ascii="宋体" w:hAnsi="宋体" w:eastAsia="宋体" w:cs="宋体"/>
                <w:color w:val="auto"/>
                <w:spacing w:val="0"/>
                <w:sz w:val="24"/>
                <w:highlight w:val="none"/>
                <w:lang w:val="en-US" w:eastAsia="zh-CN"/>
              </w:rPr>
              <w:t>本项目位于梨树工业谷，周边环境保护目标数量较少，预计建成后不会对周边环境产生明显不利影响，综上，本项目大气环境影响可接受。</w:t>
            </w:r>
          </w:p>
          <w:p w14:paraId="69EAAEE9">
            <w:pPr>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2.</w:t>
            </w:r>
            <w:r>
              <w:rPr>
                <w:rFonts w:hint="eastAsia" w:ascii="宋体" w:hAnsi="宋体" w:eastAsia="宋体" w:cs="宋体"/>
                <w:b/>
                <w:bCs w:val="0"/>
                <w:color w:val="auto"/>
                <w:spacing w:val="0"/>
                <w:sz w:val="24"/>
                <w:szCs w:val="24"/>
                <w:highlight w:val="none"/>
                <w:lang w:val="en-US" w:eastAsia="zh-CN"/>
              </w:rPr>
              <w:t>废水</w:t>
            </w:r>
          </w:p>
          <w:p w14:paraId="1FA7358D">
            <w:pPr>
              <w:pStyle w:val="13"/>
              <w:spacing w:before="0" w:after="0" w:line="360" w:lineRule="auto"/>
              <w:ind w:left="0" w:right="0" w:firstLine="482" w:firstLineChars="200"/>
              <w:jc w:val="both"/>
              <w:rPr>
                <w:rFonts w:hint="eastAsia" w:ascii="宋体" w:hAnsi="宋体" w:eastAsia="宋体" w:cs="宋体"/>
                <w:b/>
                <w:bCs/>
                <w:color w:val="auto"/>
                <w:spacing w:val="0"/>
                <w:sz w:val="24"/>
                <w:szCs w:val="24"/>
                <w:highlight w:val="none"/>
                <w:lang w:val="en-US" w:eastAsia="zh-CN"/>
              </w:rPr>
            </w:pPr>
            <w:r>
              <w:rPr>
                <w:rFonts w:hint="eastAsia" w:ascii="宋体" w:hAnsi="宋体" w:eastAsia="宋体" w:cs="宋体"/>
                <w:b/>
                <w:bCs/>
                <w:color w:val="auto"/>
                <w:spacing w:val="0"/>
                <w:sz w:val="24"/>
                <w:szCs w:val="24"/>
                <w:highlight w:val="none"/>
                <w:lang w:val="en-US" w:eastAsia="zh-CN"/>
              </w:rPr>
              <w:t>2.1 废水达标分析</w:t>
            </w:r>
          </w:p>
          <w:p w14:paraId="5BB33302">
            <w:pPr>
              <w:pStyle w:val="13"/>
              <w:spacing w:before="0" w:after="0" w:line="360" w:lineRule="auto"/>
              <w:ind w:left="0" w:right="0" w:firstLine="482" w:firstLineChars="200"/>
              <w:jc w:val="both"/>
              <w:rPr>
                <w:rFonts w:hint="eastAsia" w:ascii="宋体" w:hAnsi="宋体" w:eastAsia="宋体" w:cs="宋体"/>
                <w:color w:val="auto"/>
                <w:spacing w:val="0"/>
                <w:sz w:val="24"/>
                <w:szCs w:val="24"/>
                <w:highlight w:val="none"/>
                <w:lang w:val="en-US" w:eastAsia="zh-CN"/>
              </w:rPr>
            </w:pPr>
            <w:r>
              <w:rPr>
                <w:rFonts w:hint="eastAsia" w:ascii="宋体" w:hAnsi="宋体" w:eastAsia="宋体" w:cs="宋体"/>
                <w:b/>
                <w:bCs/>
                <w:color w:val="auto"/>
                <w:spacing w:val="0"/>
                <w:sz w:val="24"/>
                <w:szCs w:val="24"/>
                <w:highlight w:val="none"/>
                <w:lang w:val="en-US" w:eastAsia="zh-CN"/>
              </w:rPr>
              <w:t>2.1.1</w:t>
            </w:r>
            <w:r>
              <w:rPr>
                <w:rFonts w:hint="eastAsia" w:ascii="宋体" w:hAnsi="宋体" w:eastAsia="宋体" w:cs="宋体"/>
                <w:b/>
                <w:caps w:val="0"/>
                <w:color w:val="auto"/>
                <w:spacing w:val="0"/>
                <w:sz w:val="24"/>
                <w:highlight w:val="none"/>
                <w:lang w:val="en-US" w:eastAsia="zh-CN" w:bidi="ar"/>
              </w:rPr>
              <w:t>废水污染物产生情况</w:t>
            </w:r>
          </w:p>
          <w:p w14:paraId="3DC39C09">
            <w:pPr>
              <w:pStyle w:val="13"/>
              <w:spacing w:before="0" w:after="0" w:line="360" w:lineRule="auto"/>
              <w:ind w:left="0" w:right="0" w:firstLine="480" w:firstLineChars="200"/>
              <w:jc w:val="both"/>
              <w:rPr>
                <w:rFonts w:hint="default" w:ascii="宋体" w:hAnsi="宋体" w:eastAsia="宋体" w:cs="宋体"/>
                <w:bCs/>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本项目外排废水主要为锅炉排污水</w:t>
            </w:r>
            <w:r>
              <w:rPr>
                <w:rFonts w:hint="eastAsia" w:ascii="宋体" w:hAnsi="宋体" w:cs="宋体"/>
                <w:color w:val="auto"/>
                <w:spacing w:val="0"/>
                <w:sz w:val="24"/>
                <w:szCs w:val="24"/>
                <w:highlight w:val="none"/>
                <w:lang w:val="en-US" w:eastAsia="zh-CN"/>
              </w:rPr>
              <w:t>和软水制备废水和离子交换树脂再生废水与再生废水稀释废水。本项目产生的废水通过厂区污水总排口排放，不新增排污口。</w:t>
            </w:r>
          </w:p>
          <w:p w14:paraId="10E4A20D">
            <w:pPr>
              <w:pStyle w:val="13"/>
              <w:spacing w:before="0" w:after="0" w:line="360" w:lineRule="auto"/>
              <w:ind w:left="0" w:right="0" w:firstLine="480" w:firstLineChars="200"/>
              <w:jc w:val="both"/>
              <w:rPr>
                <w:rFonts w:hint="default" w:ascii="宋体" w:hAnsi="宋体" w:eastAsia="宋体" w:cs="宋体"/>
                <w:bCs/>
                <w:color w:val="auto"/>
                <w:spacing w:val="0"/>
                <w:sz w:val="24"/>
                <w:szCs w:val="24"/>
                <w:highlight w:val="none"/>
                <w:lang w:val="en-US" w:eastAsia="zh-CN"/>
              </w:rPr>
            </w:pPr>
            <w:r>
              <w:rPr>
                <w:rFonts w:hint="eastAsia" w:ascii="宋体" w:hAnsi="宋体" w:eastAsia="宋体" w:cs="宋体"/>
                <w:bCs/>
                <w:color w:val="auto"/>
                <w:spacing w:val="0"/>
                <w:sz w:val="24"/>
                <w:szCs w:val="24"/>
                <w:highlight w:val="none"/>
                <w:lang w:val="en-US" w:eastAsia="zh-CN"/>
              </w:rPr>
              <w:t>项目锅炉排污水污染物浓度较低。根据《排放源统计调查产排污核算方法和系数手册》（公告2021年第24号）中“4430工业锅炉（热力生产和供应行业）产排污系数表”的内容，</w:t>
            </w:r>
            <w:r>
              <w:rPr>
                <w:rFonts w:hint="eastAsia" w:ascii="宋体" w:hAnsi="宋体" w:cs="宋体"/>
                <w:bCs/>
                <w:color w:val="auto"/>
                <w:spacing w:val="0"/>
                <w:sz w:val="24"/>
                <w:szCs w:val="24"/>
                <w:highlight w:val="none"/>
                <w:lang w:val="en-US" w:eastAsia="zh-CN"/>
              </w:rPr>
              <w:t>锅炉排污水+软水制备废水</w:t>
            </w:r>
            <w:r>
              <w:rPr>
                <w:rFonts w:hint="eastAsia" w:ascii="宋体" w:hAnsi="宋体" w:eastAsia="宋体" w:cs="宋体"/>
                <w:bCs/>
                <w:color w:val="auto"/>
                <w:spacing w:val="0"/>
                <w:sz w:val="24"/>
                <w:szCs w:val="24"/>
                <w:highlight w:val="none"/>
                <w:lang w:val="en-US" w:eastAsia="zh-CN"/>
              </w:rPr>
              <w:t>COD的产污系数为</w:t>
            </w:r>
            <w:r>
              <w:rPr>
                <w:rFonts w:hint="eastAsia" w:ascii="宋体" w:hAnsi="宋体" w:cs="宋体"/>
                <w:color w:val="auto"/>
                <w:sz w:val="24"/>
                <w:szCs w:val="24"/>
                <w:highlight w:val="none"/>
                <w:lang w:val="en-US" w:eastAsia="zh-CN"/>
              </w:rPr>
              <w:t>30</w:t>
            </w:r>
            <w:r>
              <w:rPr>
                <w:rFonts w:hint="eastAsia" w:ascii="宋体" w:hAnsi="宋体" w:eastAsia="宋体" w:cs="宋体"/>
                <w:bCs/>
                <w:color w:val="auto"/>
                <w:spacing w:val="0"/>
                <w:sz w:val="24"/>
                <w:szCs w:val="24"/>
                <w:highlight w:val="none"/>
                <w:lang w:val="en-US" w:eastAsia="zh-CN"/>
              </w:rPr>
              <w:t>克/</w:t>
            </w:r>
            <w:r>
              <w:rPr>
                <w:rFonts w:hint="eastAsia" w:ascii="宋体" w:hAnsi="宋体" w:cs="宋体"/>
                <w:bCs/>
                <w:color w:val="auto"/>
                <w:spacing w:val="0"/>
                <w:sz w:val="24"/>
                <w:szCs w:val="24"/>
                <w:highlight w:val="none"/>
                <w:lang w:val="en-US" w:eastAsia="zh-CN"/>
              </w:rPr>
              <w:t>吨－</w:t>
            </w:r>
            <w:r>
              <w:rPr>
                <w:rFonts w:hint="eastAsia" w:ascii="宋体" w:hAnsi="宋体" w:eastAsia="宋体" w:cs="宋体"/>
                <w:bCs/>
                <w:color w:val="auto"/>
                <w:spacing w:val="0"/>
                <w:sz w:val="24"/>
                <w:szCs w:val="24"/>
                <w:highlight w:val="none"/>
                <w:lang w:val="en-US" w:eastAsia="zh-CN"/>
              </w:rPr>
              <w:t>原料，本项目锅炉</w:t>
            </w:r>
            <w:r>
              <w:rPr>
                <w:rFonts w:hint="eastAsia" w:cs="宋体"/>
                <w:bCs/>
                <w:color w:val="auto"/>
                <w:spacing w:val="0"/>
                <w:sz w:val="24"/>
                <w:szCs w:val="24"/>
                <w:highlight w:val="none"/>
                <w:lang w:val="en-US" w:eastAsia="zh-CN"/>
              </w:rPr>
              <w:t>生物质年消耗量为</w:t>
            </w:r>
            <w:r>
              <w:rPr>
                <w:rFonts w:hint="eastAsia" w:ascii="宋体" w:hAnsi="宋体" w:cs="宋体"/>
                <w:bCs/>
                <w:color w:val="auto"/>
                <w:spacing w:val="0"/>
                <w:sz w:val="24"/>
                <w:szCs w:val="24"/>
                <w:highlight w:val="none"/>
                <w:lang w:val="en-US" w:eastAsia="zh-CN"/>
              </w:rPr>
              <w:t>3113.568</w:t>
            </w:r>
            <w:r>
              <w:rPr>
                <w:rFonts w:hint="eastAsia" w:ascii="宋体" w:hAnsi="宋体" w:eastAsia="宋体" w:cs="宋体"/>
                <w:bCs/>
                <w:color w:val="auto"/>
                <w:spacing w:val="0"/>
                <w:sz w:val="24"/>
                <w:szCs w:val="24"/>
                <w:highlight w:val="none"/>
                <w:lang w:val="en-US" w:eastAsia="zh-CN"/>
              </w:rPr>
              <w:t>t/a，则COD排放量为</w:t>
            </w:r>
            <w:r>
              <w:rPr>
                <w:rFonts w:hint="eastAsia" w:ascii="宋体" w:hAnsi="宋体" w:cs="宋体"/>
                <w:bCs/>
                <w:color w:val="auto"/>
                <w:spacing w:val="0"/>
                <w:sz w:val="24"/>
                <w:szCs w:val="24"/>
                <w:highlight w:val="none"/>
                <w:lang w:val="en-US" w:eastAsia="zh-CN"/>
              </w:rPr>
              <w:t>0.0934</w:t>
            </w:r>
            <w:r>
              <w:rPr>
                <w:rFonts w:hint="eastAsia" w:ascii="宋体" w:hAnsi="宋体" w:eastAsia="宋体" w:cs="宋体"/>
                <w:bCs/>
                <w:color w:val="auto"/>
                <w:spacing w:val="0"/>
                <w:sz w:val="24"/>
                <w:szCs w:val="24"/>
                <w:highlight w:val="none"/>
                <w:lang w:val="en-US" w:eastAsia="zh-CN"/>
              </w:rPr>
              <w:t>t/a。本项目锅炉排污水</w:t>
            </w:r>
            <w:r>
              <w:rPr>
                <w:rFonts w:hint="eastAsia" w:ascii="宋体" w:hAnsi="宋体" w:cs="宋体"/>
                <w:bCs/>
                <w:color w:val="auto"/>
                <w:spacing w:val="0"/>
                <w:sz w:val="24"/>
                <w:szCs w:val="24"/>
                <w:highlight w:val="none"/>
                <w:lang w:val="en-US" w:eastAsia="zh-CN"/>
              </w:rPr>
              <w:t>+软水制备废水</w:t>
            </w:r>
            <w:r>
              <w:rPr>
                <w:rFonts w:hint="eastAsia" w:ascii="宋体" w:hAnsi="宋体" w:eastAsia="宋体" w:cs="宋体"/>
                <w:bCs/>
                <w:color w:val="auto"/>
                <w:spacing w:val="0"/>
                <w:sz w:val="24"/>
                <w:szCs w:val="24"/>
                <w:highlight w:val="none"/>
                <w:lang w:val="en-US" w:eastAsia="zh-CN"/>
              </w:rPr>
              <w:t>总排放量为</w:t>
            </w:r>
            <w:r>
              <w:rPr>
                <w:rFonts w:hint="eastAsia" w:ascii="宋体" w:hAnsi="宋体" w:cs="宋体"/>
                <w:bCs/>
                <w:color w:val="auto"/>
                <w:spacing w:val="0"/>
                <w:sz w:val="24"/>
                <w:szCs w:val="24"/>
                <w:highlight w:val="none"/>
                <w:lang w:val="en-US" w:eastAsia="zh-CN"/>
              </w:rPr>
              <w:t>3855.54</w:t>
            </w:r>
            <w:r>
              <w:rPr>
                <w:rFonts w:hint="eastAsia" w:ascii="宋体" w:hAnsi="宋体" w:eastAsia="宋体" w:cs="宋体"/>
                <w:bCs/>
                <w:color w:val="auto"/>
                <w:spacing w:val="0"/>
                <w:sz w:val="24"/>
                <w:szCs w:val="24"/>
                <w:highlight w:val="none"/>
                <w:lang w:val="en-US" w:eastAsia="zh-CN"/>
              </w:rPr>
              <w:t>t/a，则COD排放浓度为</w:t>
            </w:r>
            <w:r>
              <w:rPr>
                <w:rFonts w:hint="eastAsia" w:ascii="宋体" w:hAnsi="宋体" w:cs="宋体"/>
                <w:bCs/>
                <w:color w:val="auto"/>
                <w:spacing w:val="0"/>
                <w:sz w:val="24"/>
                <w:szCs w:val="24"/>
                <w:highlight w:val="none"/>
                <w:lang w:val="en-US" w:eastAsia="zh-CN"/>
              </w:rPr>
              <w:t>28.756</w:t>
            </w:r>
            <w:r>
              <w:rPr>
                <w:rFonts w:hint="eastAsia" w:ascii="宋体" w:hAnsi="宋体" w:eastAsia="宋体" w:cs="宋体"/>
                <w:bCs/>
                <w:color w:val="auto"/>
                <w:spacing w:val="0"/>
                <w:sz w:val="24"/>
                <w:szCs w:val="24"/>
                <w:highlight w:val="none"/>
                <w:lang w:val="en-US" w:eastAsia="zh-CN"/>
              </w:rPr>
              <w:t>mg/m</w:t>
            </w:r>
            <w:r>
              <w:rPr>
                <w:rFonts w:hint="eastAsia" w:ascii="宋体" w:hAnsi="宋体" w:eastAsia="宋体" w:cs="宋体"/>
                <w:bCs/>
                <w:caps w:val="0"/>
                <w:smallCaps w:val="0"/>
                <w:strike w:val="0"/>
                <w:dstrike w:val="0"/>
                <w:vanish w:val="0"/>
                <w:color w:val="auto"/>
                <w:spacing w:val="0"/>
                <w:sz w:val="24"/>
                <w:szCs w:val="24"/>
                <w:highlight w:val="none"/>
                <w:vertAlign w:val="superscript"/>
                <w:lang w:val="en-US" w:eastAsia="zh-CN"/>
              </w:rPr>
              <w:t>3</w:t>
            </w:r>
            <w:r>
              <w:rPr>
                <w:rFonts w:hint="eastAsia" w:ascii="宋体" w:hAnsi="宋体" w:eastAsia="宋体" w:cs="宋体"/>
                <w:bCs/>
                <w:color w:val="auto"/>
                <w:spacing w:val="0"/>
                <w:sz w:val="24"/>
                <w:szCs w:val="24"/>
                <w:highlight w:val="none"/>
                <w:lang w:val="en-US" w:eastAsia="zh-CN"/>
              </w:rPr>
              <w:t>。锅炉废水其他污染物参考《环境影响评价工程师职业资格登记培训系列教材— —社会区域类环境影响评价》（中国环境科学出版社）中数据，SS：100mg/L，溶解性总固体（TDS）：1200mg/L。</w:t>
            </w:r>
            <w:r>
              <w:rPr>
                <w:rFonts w:hint="eastAsia" w:ascii="宋体" w:hAnsi="宋体" w:cs="宋体"/>
                <w:bCs/>
                <w:color w:val="auto"/>
                <w:spacing w:val="0"/>
                <w:sz w:val="24"/>
                <w:szCs w:val="24"/>
                <w:highlight w:val="none"/>
                <w:lang w:val="en-US" w:eastAsia="zh-CN"/>
              </w:rPr>
              <w:t>本项目再生废水的污染物主要为TDS、Na</w:t>
            </w:r>
            <w:r>
              <w:rPr>
                <w:rFonts w:hint="eastAsia" w:ascii="宋体" w:hAnsi="宋体" w:cs="宋体"/>
                <w:bCs/>
                <w:color w:val="auto"/>
                <w:spacing w:val="0"/>
                <w:sz w:val="24"/>
                <w:szCs w:val="24"/>
                <w:highlight w:val="none"/>
                <w:vertAlign w:val="superscript"/>
                <w:lang w:val="en-US" w:eastAsia="zh-CN"/>
              </w:rPr>
              <w:t>+</w:t>
            </w:r>
            <w:r>
              <w:rPr>
                <w:rFonts w:hint="eastAsia" w:ascii="宋体" w:hAnsi="宋体" w:eastAsia="宋体" w:cs="宋体"/>
                <w:bCs/>
                <w:color w:val="auto"/>
                <w:spacing w:val="0"/>
                <w:sz w:val="24"/>
                <w:szCs w:val="24"/>
                <w:highlight w:val="none"/>
                <w:lang w:val="en-US" w:eastAsia="zh-CN"/>
              </w:rPr>
              <w:t>，</w:t>
            </w:r>
            <w:r>
              <w:rPr>
                <w:rFonts w:hint="eastAsia" w:ascii="宋体" w:hAnsi="宋体" w:cs="宋体"/>
                <w:bCs/>
                <w:color w:val="auto"/>
                <w:spacing w:val="0"/>
                <w:sz w:val="24"/>
                <w:szCs w:val="24"/>
                <w:highlight w:val="none"/>
                <w:lang w:val="en-US" w:eastAsia="zh-CN"/>
              </w:rPr>
              <w:t>参考相关供热站锅炉类项目，离子交换树脂再生废水的主要污染物浓度为TDS5000mg/L；Na</w:t>
            </w:r>
            <w:r>
              <w:rPr>
                <w:rFonts w:hint="eastAsia" w:ascii="宋体" w:hAnsi="宋体" w:cs="宋体"/>
                <w:bCs/>
                <w:color w:val="auto"/>
                <w:spacing w:val="0"/>
                <w:sz w:val="24"/>
                <w:szCs w:val="24"/>
                <w:highlight w:val="none"/>
                <w:vertAlign w:val="superscript"/>
                <w:lang w:val="en-US" w:eastAsia="zh-CN"/>
              </w:rPr>
              <w:t>+</w:t>
            </w:r>
            <w:r>
              <w:rPr>
                <w:rFonts w:hint="eastAsia" w:ascii="宋体" w:hAnsi="宋体" w:cs="宋体"/>
                <w:bCs/>
                <w:color w:val="auto"/>
                <w:spacing w:val="0"/>
                <w:sz w:val="24"/>
                <w:szCs w:val="24"/>
                <w:highlight w:val="none"/>
                <w:vertAlign w:val="baseline"/>
                <w:lang w:val="en-US" w:eastAsia="zh-CN"/>
              </w:rPr>
              <w:t>2000mg/L。污染物产生量为</w:t>
            </w:r>
            <w:r>
              <w:rPr>
                <w:rFonts w:hint="eastAsia" w:ascii="宋体" w:hAnsi="宋体" w:cs="宋体"/>
                <w:bCs/>
                <w:color w:val="auto"/>
                <w:spacing w:val="0"/>
                <w:sz w:val="24"/>
                <w:szCs w:val="24"/>
                <w:highlight w:val="none"/>
                <w:lang w:val="en-US" w:eastAsia="zh-CN"/>
              </w:rPr>
              <w:t>TDS3.0375t/a；Na</w:t>
            </w:r>
            <w:r>
              <w:rPr>
                <w:rFonts w:hint="eastAsia" w:ascii="宋体" w:hAnsi="宋体" w:cs="宋体"/>
                <w:bCs/>
                <w:color w:val="auto"/>
                <w:spacing w:val="0"/>
                <w:sz w:val="24"/>
                <w:szCs w:val="24"/>
                <w:highlight w:val="none"/>
                <w:vertAlign w:val="superscript"/>
                <w:lang w:val="en-US" w:eastAsia="zh-CN"/>
              </w:rPr>
              <w:t>+</w:t>
            </w:r>
            <w:r>
              <w:rPr>
                <w:rFonts w:hint="eastAsia" w:ascii="宋体" w:hAnsi="宋体" w:cs="宋体"/>
                <w:bCs/>
                <w:color w:val="auto"/>
                <w:spacing w:val="0"/>
                <w:sz w:val="24"/>
                <w:szCs w:val="24"/>
                <w:highlight w:val="none"/>
                <w:vertAlign w:val="baseline"/>
                <w:lang w:val="en-US" w:eastAsia="zh-CN"/>
              </w:rPr>
              <w:t>1.215t/a；本项目产生的再生废水经在建工程的污水处理站进行预处理。污水处理站采用蒸发除盐系统，处理能力为300m3/d，在建工程污水处理量为140m3/d，本项目再生废水量为5.0625m3/d，建成后全厂需预处理量为145.0625m3/d，不会对污水处理站处理能力造成冲击，蒸发除盐系统对TDS、</w:t>
            </w:r>
            <w:r>
              <w:rPr>
                <w:rFonts w:hint="eastAsia" w:ascii="宋体" w:hAnsi="宋体" w:cs="宋体"/>
                <w:bCs/>
                <w:color w:val="auto"/>
                <w:spacing w:val="0"/>
                <w:sz w:val="24"/>
                <w:szCs w:val="24"/>
                <w:highlight w:val="none"/>
                <w:lang w:val="en-US" w:eastAsia="zh-CN"/>
              </w:rPr>
              <w:t>Na</w:t>
            </w:r>
            <w:r>
              <w:rPr>
                <w:rFonts w:hint="eastAsia" w:ascii="宋体" w:hAnsi="宋体" w:cs="宋体"/>
                <w:bCs/>
                <w:color w:val="auto"/>
                <w:spacing w:val="0"/>
                <w:sz w:val="24"/>
                <w:szCs w:val="24"/>
                <w:highlight w:val="none"/>
                <w:vertAlign w:val="superscript"/>
                <w:lang w:val="en-US" w:eastAsia="zh-CN"/>
              </w:rPr>
              <w:t>+</w:t>
            </w:r>
            <w:r>
              <w:rPr>
                <w:rFonts w:hint="eastAsia" w:ascii="宋体" w:hAnsi="宋体" w:cs="宋体"/>
                <w:bCs/>
                <w:color w:val="auto"/>
                <w:spacing w:val="0"/>
                <w:sz w:val="24"/>
                <w:szCs w:val="24"/>
                <w:highlight w:val="none"/>
                <w:vertAlign w:val="baseline"/>
                <w:lang w:val="en-US" w:eastAsia="zh-CN"/>
              </w:rPr>
              <w:t>的净化效率为98%。净化后TDS浓度为100mg/L,</w:t>
            </w:r>
            <w:r>
              <w:rPr>
                <w:rFonts w:hint="eastAsia" w:ascii="宋体" w:hAnsi="宋体" w:cs="宋体"/>
                <w:bCs/>
                <w:color w:val="auto"/>
                <w:spacing w:val="0"/>
                <w:sz w:val="24"/>
                <w:szCs w:val="24"/>
                <w:highlight w:val="none"/>
                <w:lang w:val="en-US" w:eastAsia="zh-CN"/>
              </w:rPr>
              <w:t>Na</w:t>
            </w:r>
            <w:r>
              <w:rPr>
                <w:rFonts w:hint="eastAsia" w:ascii="宋体" w:hAnsi="宋体" w:cs="宋体"/>
                <w:bCs/>
                <w:color w:val="auto"/>
                <w:spacing w:val="0"/>
                <w:sz w:val="24"/>
                <w:szCs w:val="24"/>
                <w:highlight w:val="none"/>
                <w:vertAlign w:val="superscript"/>
                <w:lang w:val="en-US" w:eastAsia="zh-CN"/>
              </w:rPr>
              <w:t>+</w:t>
            </w:r>
            <w:r>
              <w:rPr>
                <w:rFonts w:hint="eastAsia" w:ascii="宋体" w:hAnsi="宋体" w:cs="宋体"/>
                <w:bCs/>
                <w:color w:val="auto"/>
                <w:spacing w:val="0"/>
                <w:sz w:val="24"/>
                <w:szCs w:val="24"/>
                <w:highlight w:val="none"/>
                <w:vertAlign w:val="baseline"/>
                <w:lang w:val="en-US" w:eastAsia="zh-CN"/>
              </w:rPr>
              <w:t>浓度为40mg/L。再生废水处理后通过污水总排口进入污水管网，最终进入梨树工业谷污水处理厂集中处理。</w:t>
            </w:r>
          </w:p>
          <w:p w14:paraId="6444319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color w:val="auto"/>
                <w:spacing w:val="0"/>
                <w:sz w:val="24"/>
                <w:szCs w:val="24"/>
                <w:highlight w:val="none"/>
                <w:lang w:eastAsia="zh-CN"/>
              </w:rPr>
            </w:pPr>
            <w:r>
              <w:rPr>
                <w:rFonts w:hint="eastAsia" w:ascii="宋体" w:hAnsi="宋体" w:eastAsia="宋体" w:cs="宋体"/>
                <w:b/>
                <w:caps w:val="0"/>
                <w:color w:val="auto"/>
                <w:spacing w:val="0"/>
                <w:sz w:val="24"/>
                <w:highlight w:val="none"/>
                <w:lang w:val="en-US" w:eastAsia="zh-CN" w:bidi="ar"/>
              </w:rPr>
              <w:t>2.1.2废水污染源源强核算汇总</w:t>
            </w:r>
          </w:p>
        </w:tc>
      </w:tr>
    </w:tbl>
    <w:p w14:paraId="3F36C3DD">
      <w:pPr>
        <w:rPr>
          <w:rFonts w:hint="eastAsia" w:ascii="宋体" w:hAnsi="宋体" w:eastAsia="宋体" w:cs="宋体"/>
          <w:color w:val="auto"/>
          <w:spacing w:val="0"/>
          <w:highlight w:val="none"/>
        </w:rPr>
        <w:sectPr>
          <w:pgSz w:w="11907" w:h="16840"/>
          <w:pgMar w:top="1440" w:right="1803" w:bottom="1440" w:left="1803"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7"/>
        <w:tblW w:w="519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8"/>
        <w:gridCol w:w="13939"/>
      </w:tblGrid>
      <w:tr w14:paraId="41EAAA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82" w:hRule="atLeast"/>
          <w:jc w:val="center"/>
        </w:trPr>
        <w:tc>
          <w:tcPr>
            <w:tcW w:w="414" w:type="dxa"/>
            <w:noWrap w:val="0"/>
            <w:tcMar>
              <w:left w:w="28" w:type="dxa"/>
              <w:right w:w="28" w:type="dxa"/>
            </w:tcMar>
            <w:vAlign w:val="center"/>
          </w:tcPr>
          <w:p w14:paraId="046F18B4">
            <w:pPr>
              <w:spacing w:line="240" w:lineRule="auto"/>
              <w:ind w:firstLine="0" w:firstLineChars="0"/>
              <w:jc w:val="center"/>
              <w:rPr>
                <w:rFonts w:hint="eastAsia" w:ascii="宋体" w:hAnsi="宋体" w:eastAsia="宋体" w:cs="宋体"/>
                <w:color w:val="auto"/>
                <w:spacing w:val="0"/>
                <w:sz w:val="21"/>
                <w:szCs w:val="21"/>
                <w:highlight w:val="none"/>
              </w:rPr>
            </w:pPr>
          </w:p>
        </w:tc>
        <w:tc>
          <w:tcPr>
            <w:tcW w:w="8264" w:type="dxa"/>
            <w:tcBorders>
              <w:top w:val="single" w:color="auto" w:sz="4" w:space="0"/>
              <w:bottom w:val="single" w:color="auto" w:sz="4" w:space="0"/>
            </w:tcBorders>
            <w:noWrap w:val="0"/>
            <w:vAlign w:val="center"/>
          </w:tcPr>
          <w:p w14:paraId="273E74DC">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宋体" w:hAnsi="宋体" w:eastAsia="宋体" w:cs="宋体"/>
                <w:b/>
                <w:bCs w:val="0"/>
                <w:color w:val="auto"/>
                <w:spacing w:val="0"/>
                <w:sz w:val="21"/>
                <w:szCs w:val="21"/>
                <w:highlight w:val="none"/>
                <w:lang w:val="en-US" w:eastAsia="zh-CN"/>
              </w:rPr>
            </w:pPr>
            <w:r>
              <w:rPr>
                <w:rFonts w:hint="eastAsia" w:ascii="宋体" w:hAnsi="宋体" w:eastAsia="宋体" w:cs="宋体"/>
                <w:b/>
                <w:bCs w:val="0"/>
                <w:color w:val="auto"/>
                <w:spacing w:val="0"/>
                <w:sz w:val="21"/>
                <w:szCs w:val="21"/>
                <w:highlight w:val="none"/>
                <w:lang w:val="en-US" w:eastAsia="zh-CN"/>
              </w:rPr>
              <w:t>表4-</w:t>
            </w:r>
            <w:r>
              <w:rPr>
                <w:rFonts w:hint="eastAsia" w:cs="宋体"/>
                <w:b/>
                <w:bCs w:val="0"/>
                <w:color w:val="auto"/>
                <w:spacing w:val="0"/>
                <w:sz w:val="21"/>
                <w:szCs w:val="21"/>
                <w:highlight w:val="none"/>
                <w:lang w:val="en-US" w:eastAsia="zh-CN"/>
              </w:rPr>
              <w:t>8</w:t>
            </w:r>
            <w:r>
              <w:rPr>
                <w:rFonts w:hint="eastAsia" w:ascii="宋体" w:hAnsi="宋体" w:eastAsia="宋体" w:cs="宋体"/>
                <w:b/>
                <w:bCs w:val="0"/>
                <w:color w:val="auto"/>
                <w:spacing w:val="0"/>
                <w:sz w:val="21"/>
                <w:szCs w:val="21"/>
                <w:highlight w:val="none"/>
                <w:lang w:val="en-US" w:eastAsia="zh-CN"/>
              </w:rPr>
              <w:t xml:space="preserve"> 本项目废水产生及排放情况</w:t>
            </w:r>
          </w:p>
          <w:tbl>
            <w:tblPr>
              <w:tblStyle w:val="37"/>
              <w:tblW w:w="495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02"/>
              <w:gridCol w:w="720"/>
              <w:gridCol w:w="871"/>
              <w:gridCol w:w="920"/>
              <w:gridCol w:w="1074"/>
              <w:gridCol w:w="984"/>
              <w:gridCol w:w="1305"/>
              <w:gridCol w:w="984"/>
              <w:gridCol w:w="940"/>
              <w:gridCol w:w="849"/>
              <w:gridCol w:w="1039"/>
              <w:gridCol w:w="1000"/>
              <w:gridCol w:w="1008"/>
              <w:gridCol w:w="1387"/>
            </w:tblGrid>
            <w:tr w14:paraId="33029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84" w:type="pct"/>
                  <w:vMerge w:val="restart"/>
                  <w:tcBorders>
                    <w:top w:val="single" w:color="auto" w:sz="12" w:space="0"/>
                    <w:left w:val="nil"/>
                  </w:tcBorders>
                  <w:noWrap w:val="0"/>
                  <w:vAlign w:val="center"/>
                </w:tcPr>
                <w:p w14:paraId="0A0D831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编号</w:t>
                  </w:r>
                </w:p>
              </w:tc>
              <w:tc>
                <w:tcPr>
                  <w:tcW w:w="265" w:type="pct"/>
                  <w:vMerge w:val="restart"/>
                  <w:tcBorders>
                    <w:top w:val="single" w:color="auto" w:sz="12" w:space="0"/>
                  </w:tcBorders>
                  <w:noWrap w:val="0"/>
                  <w:vAlign w:val="center"/>
                </w:tcPr>
                <w:p w14:paraId="0347E79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产污环节</w:t>
                  </w:r>
                </w:p>
              </w:tc>
              <w:tc>
                <w:tcPr>
                  <w:tcW w:w="320" w:type="pct"/>
                  <w:vMerge w:val="restart"/>
                  <w:tcBorders>
                    <w:top w:val="single" w:color="auto" w:sz="12" w:space="0"/>
                  </w:tcBorders>
                  <w:noWrap w:val="0"/>
                  <w:vAlign w:val="center"/>
                </w:tcPr>
                <w:p w14:paraId="434F6C6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废水类别</w:t>
                  </w:r>
                </w:p>
              </w:tc>
              <w:tc>
                <w:tcPr>
                  <w:tcW w:w="338" w:type="pct"/>
                  <w:vMerge w:val="restart"/>
                  <w:tcBorders>
                    <w:top w:val="single" w:color="auto" w:sz="12" w:space="0"/>
                  </w:tcBorders>
                  <w:noWrap w:val="0"/>
                  <w:vAlign w:val="center"/>
                </w:tcPr>
                <w:p w14:paraId="5FBC43F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污染物种类</w:t>
                  </w:r>
                </w:p>
              </w:tc>
              <w:tc>
                <w:tcPr>
                  <w:tcW w:w="1237" w:type="pct"/>
                  <w:gridSpan w:val="3"/>
                  <w:tcBorders>
                    <w:top w:val="single" w:color="auto" w:sz="12" w:space="0"/>
                  </w:tcBorders>
                  <w:noWrap w:val="0"/>
                  <w:vAlign w:val="center"/>
                </w:tcPr>
                <w:p w14:paraId="32F149E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产生情况</w:t>
                  </w:r>
                </w:p>
              </w:tc>
              <w:tc>
                <w:tcPr>
                  <w:tcW w:w="1403" w:type="pct"/>
                  <w:gridSpan w:val="4"/>
                  <w:tcBorders>
                    <w:top w:val="single" w:color="auto" w:sz="12" w:space="0"/>
                  </w:tcBorders>
                  <w:noWrap w:val="0"/>
                  <w:vAlign w:val="center"/>
                </w:tcPr>
                <w:p w14:paraId="09D5D3D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治理设施</w:t>
                  </w:r>
                </w:p>
              </w:tc>
              <w:tc>
                <w:tcPr>
                  <w:tcW w:w="1249" w:type="pct"/>
                  <w:gridSpan w:val="3"/>
                  <w:tcBorders>
                    <w:top w:val="single" w:color="auto" w:sz="12" w:space="0"/>
                    <w:right w:val="nil"/>
                  </w:tcBorders>
                  <w:noWrap w:val="0"/>
                  <w:vAlign w:val="center"/>
                </w:tcPr>
                <w:p w14:paraId="198D570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排放情况</w:t>
                  </w:r>
                </w:p>
              </w:tc>
            </w:tr>
            <w:tr w14:paraId="5CC65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84" w:type="pct"/>
                  <w:vMerge w:val="continue"/>
                  <w:tcBorders>
                    <w:left w:val="nil"/>
                  </w:tcBorders>
                  <w:noWrap w:val="0"/>
                  <w:vAlign w:val="center"/>
                </w:tcPr>
                <w:p w14:paraId="5E9E35A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p>
              </w:tc>
              <w:tc>
                <w:tcPr>
                  <w:tcW w:w="265" w:type="pct"/>
                  <w:vMerge w:val="continue"/>
                  <w:noWrap w:val="0"/>
                  <w:vAlign w:val="center"/>
                </w:tcPr>
                <w:p w14:paraId="4997C41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p>
              </w:tc>
              <w:tc>
                <w:tcPr>
                  <w:tcW w:w="320" w:type="pct"/>
                  <w:vMerge w:val="continue"/>
                  <w:noWrap w:val="0"/>
                  <w:vAlign w:val="center"/>
                </w:tcPr>
                <w:p w14:paraId="6E803A6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p>
              </w:tc>
              <w:tc>
                <w:tcPr>
                  <w:tcW w:w="338" w:type="pct"/>
                  <w:vMerge w:val="continue"/>
                  <w:noWrap w:val="0"/>
                  <w:vAlign w:val="center"/>
                </w:tcPr>
                <w:p w14:paraId="14E9074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p>
              </w:tc>
              <w:tc>
                <w:tcPr>
                  <w:tcW w:w="395" w:type="pct"/>
                  <w:noWrap w:val="0"/>
                  <w:vAlign w:val="center"/>
                </w:tcPr>
                <w:p w14:paraId="3C6DE24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废水产生量</w:t>
                  </w:r>
                  <w:r>
                    <w:rPr>
                      <w:rFonts w:hint="eastAsia" w:ascii="宋体" w:hAnsi="宋体" w:eastAsia="宋体" w:cs="宋体"/>
                      <w:b/>
                      <w:bCs w:val="0"/>
                      <w:caps w:val="0"/>
                      <w:color w:val="auto"/>
                      <w:spacing w:val="0"/>
                      <w:sz w:val="21"/>
                      <w:szCs w:val="21"/>
                      <w:highlight w:val="none"/>
                      <w:lang w:eastAsia="zh-CN"/>
                    </w:rPr>
                    <w:t>m</w:t>
                  </w:r>
                  <w:r>
                    <w:rPr>
                      <w:rFonts w:hint="eastAsia" w:ascii="宋体" w:hAnsi="宋体" w:eastAsia="宋体" w:cs="宋体"/>
                      <w:b/>
                      <w:bCs w:val="0"/>
                      <w:caps w:val="0"/>
                      <w:smallCaps w:val="0"/>
                      <w:strike w:val="0"/>
                      <w:dstrike w:val="0"/>
                      <w:vanish w:val="0"/>
                      <w:color w:val="auto"/>
                      <w:spacing w:val="0"/>
                      <w:sz w:val="21"/>
                      <w:szCs w:val="21"/>
                      <w:highlight w:val="none"/>
                      <w:vertAlign w:val="superscript"/>
                      <w:lang w:eastAsia="zh-CN"/>
                    </w:rPr>
                    <w:t>3</w:t>
                  </w:r>
                  <w:r>
                    <w:rPr>
                      <w:rFonts w:hint="eastAsia" w:ascii="宋体" w:hAnsi="宋体" w:eastAsia="宋体" w:cs="宋体"/>
                      <w:b/>
                      <w:bCs w:val="0"/>
                      <w:caps w:val="0"/>
                      <w:color w:val="auto"/>
                      <w:spacing w:val="0"/>
                      <w:sz w:val="21"/>
                      <w:szCs w:val="21"/>
                      <w:highlight w:val="none"/>
                    </w:rPr>
                    <w:t>/a</w:t>
                  </w:r>
                </w:p>
              </w:tc>
              <w:tc>
                <w:tcPr>
                  <w:tcW w:w="362" w:type="pct"/>
                  <w:noWrap w:val="0"/>
                  <w:vAlign w:val="center"/>
                </w:tcPr>
                <w:p w14:paraId="32E6018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污染物产生浓度mg/L</w:t>
                  </w:r>
                </w:p>
              </w:tc>
              <w:tc>
                <w:tcPr>
                  <w:tcW w:w="480" w:type="pct"/>
                  <w:noWrap w:val="0"/>
                  <w:vAlign w:val="center"/>
                </w:tcPr>
                <w:p w14:paraId="35BE252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污染物产生量t/a</w:t>
                  </w:r>
                </w:p>
              </w:tc>
              <w:tc>
                <w:tcPr>
                  <w:tcW w:w="362" w:type="pct"/>
                  <w:noWrap w:val="0"/>
                  <w:vAlign w:val="center"/>
                </w:tcPr>
                <w:p w14:paraId="44EE36B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处理能力</w:t>
                  </w:r>
                  <w:r>
                    <w:rPr>
                      <w:rFonts w:hint="eastAsia" w:ascii="宋体" w:hAnsi="宋体" w:eastAsia="宋体" w:cs="宋体"/>
                      <w:b/>
                      <w:bCs w:val="0"/>
                      <w:caps w:val="0"/>
                      <w:color w:val="auto"/>
                      <w:spacing w:val="0"/>
                      <w:sz w:val="21"/>
                      <w:szCs w:val="21"/>
                      <w:highlight w:val="none"/>
                      <w:lang w:eastAsia="zh-CN"/>
                    </w:rPr>
                    <w:t>m</w:t>
                  </w:r>
                  <w:r>
                    <w:rPr>
                      <w:rFonts w:hint="eastAsia" w:ascii="宋体" w:hAnsi="宋体" w:eastAsia="宋体" w:cs="宋体"/>
                      <w:b/>
                      <w:bCs w:val="0"/>
                      <w:caps w:val="0"/>
                      <w:smallCaps w:val="0"/>
                      <w:strike w:val="0"/>
                      <w:dstrike w:val="0"/>
                      <w:vanish w:val="0"/>
                      <w:color w:val="auto"/>
                      <w:spacing w:val="0"/>
                      <w:sz w:val="21"/>
                      <w:szCs w:val="21"/>
                      <w:highlight w:val="none"/>
                      <w:vertAlign w:val="superscript"/>
                      <w:lang w:eastAsia="zh-CN"/>
                    </w:rPr>
                    <w:t>3</w:t>
                  </w:r>
                  <w:r>
                    <w:rPr>
                      <w:rFonts w:hint="eastAsia" w:ascii="宋体" w:hAnsi="宋体" w:eastAsia="宋体" w:cs="宋体"/>
                      <w:b/>
                      <w:bCs w:val="0"/>
                      <w:caps w:val="0"/>
                      <w:color w:val="auto"/>
                      <w:spacing w:val="0"/>
                      <w:sz w:val="21"/>
                      <w:szCs w:val="21"/>
                      <w:highlight w:val="none"/>
                    </w:rPr>
                    <w:t>/d</w:t>
                  </w:r>
                </w:p>
              </w:tc>
              <w:tc>
                <w:tcPr>
                  <w:tcW w:w="346" w:type="pct"/>
                  <w:noWrap w:val="0"/>
                  <w:vAlign w:val="center"/>
                </w:tcPr>
                <w:p w14:paraId="146FEA7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治理工艺</w:t>
                  </w:r>
                </w:p>
              </w:tc>
              <w:tc>
                <w:tcPr>
                  <w:tcW w:w="312" w:type="pct"/>
                  <w:noWrap w:val="0"/>
                  <w:vAlign w:val="center"/>
                </w:tcPr>
                <w:p w14:paraId="0CA4DCD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治理效率%</w:t>
                  </w:r>
                </w:p>
              </w:tc>
              <w:tc>
                <w:tcPr>
                  <w:tcW w:w="382" w:type="pct"/>
                  <w:noWrap w:val="0"/>
                  <w:vAlign w:val="center"/>
                </w:tcPr>
                <w:p w14:paraId="3ED1895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是否为可行技术</w:t>
                  </w:r>
                </w:p>
              </w:tc>
              <w:tc>
                <w:tcPr>
                  <w:tcW w:w="368" w:type="pct"/>
                  <w:noWrap w:val="0"/>
                  <w:vAlign w:val="center"/>
                </w:tcPr>
                <w:p w14:paraId="11649B4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废水排放量</w:t>
                  </w:r>
                  <w:r>
                    <w:rPr>
                      <w:rFonts w:hint="eastAsia" w:ascii="宋体" w:hAnsi="宋体" w:eastAsia="宋体" w:cs="宋体"/>
                      <w:b/>
                      <w:bCs w:val="0"/>
                      <w:caps w:val="0"/>
                      <w:color w:val="auto"/>
                      <w:spacing w:val="0"/>
                      <w:sz w:val="21"/>
                      <w:szCs w:val="21"/>
                      <w:highlight w:val="none"/>
                      <w:lang w:eastAsia="zh-CN"/>
                    </w:rPr>
                    <w:t>m</w:t>
                  </w:r>
                  <w:r>
                    <w:rPr>
                      <w:rFonts w:hint="eastAsia" w:ascii="宋体" w:hAnsi="宋体" w:eastAsia="宋体" w:cs="宋体"/>
                      <w:b/>
                      <w:bCs w:val="0"/>
                      <w:caps w:val="0"/>
                      <w:smallCaps w:val="0"/>
                      <w:strike w:val="0"/>
                      <w:dstrike w:val="0"/>
                      <w:vanish w:val="0"/>
                      <w:color w:val="auto"/>
                      <w:spacing w:val="0"/>
                      <w:sz w:val="21"/>
                      <w:szCs w:val="21"/>
                      <w:highlight w:val="none"/>
                      <w:vertAlign w:val="superscript"/>
                      <w:lang w:eastAsia="zh-CN"/>
                    </w:rPr>
                    <w:t>3</w:t>
                  </w:r>
                  <w:r>
                    <w:rPr>
                      <w:rFonts w:hint="eastAsia" w:ascii="宋体" w:hAnsi="宋体" w:eastAsia="宋体" w:cs="宋体"/>
                      <w:b/>
                      <w:bCs w:val="0"/>
                      <w:caps w:val="0"/>
                      <w:color w:val="auto"/>
                      <w:spacing w:val="0"/>
                      <w:sz w:val="21"/>
                      <w:szCs w:val="21"/>
                      <w:highlight w:val="none"/>
                    </w:rPr>
                    <w:t>/a</w:t>
                  </w:r>
                </w:p>
              </w:tc>
              <w:tc>
                <w:tcPr>
                  <w:tcW w:w="371" w:type="pct"/>
                  <w:noWrap w:val="0"/>
                  <w:vAlign w:val="center"/>
                </w:tcPr>
                <w:p w14:paraId="0B4C1B4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污染物排放浓度mg/L</w:t>
                  </w:r>
                </w:p>
              </w:tc>
              <w:tc>
                <w:tcPr>
                  <w:tcW w:w="510" w:type="pct"/>
                  <w:tcBorders>
                    <w:right w:val="nil"/>
                  </w:tcBorders>
                  <w:noWrap w:val="0"/>
                  <w:vAlign w:val="center"/>
                </w:tcPr>
                <w:p w14:paraId="0DBB936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val="0"/>
                      <w:caps w:val="0"/>
                      <w:color w:val="auto"/>
                      <w:spacing w:val="0"/>
                      <w:kern w:val="2"/>
                      <w:sz w:val="21"/>
                      <w:szCs w:val="21"/>
                      <w:highlight w:val="none"/>
                      <w:lang w:val="en-US" w:eastAsia="zh-CN" w:bidi="ar-SA"/>
                    </w:rPr>
                  </w:pPr>
                  <w:r>
                    <w:rPr>
                      <w:rFonts w:hint="eastAsia" w:ascii="宋体" w:hAnsi="宋体" w:eastAsia="宋体" w:cs="宋体"/>
                      <w:b/>
                      <w:bCs w:val="0"/>
                      <w:caps w:val="0"/>
                      <w:color w:val="auto"/>
                      <w:spacing w:val="0"/>
                      <w:sz w:val="21"/>
                      <w:szCs w:val="21"/>
                      <w:highlight w:val="none"/>
                    </w:rPr>
                    <w:t>污染物排放量t/a</w:t>
                  </w:r>
                </w:p>
              </w:tc>
            </w:tr>
            <w:tr w14:paraId="0B681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84" w:type="pct"/>
                  <w:vMerge w:val="restart"/>
                  <w:tcBorders>
                    <w:left w:val="nil"/>
                  </w:tcBorders>
                  <w:noWrap w:val="0"/>
                  <w:vAlign w:val="center"/>
                </w:tcPr>
                <w:p w14:paraId="5B7E5DB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aps w:val="0"/>
                      <w:color w:val="auto"/>
                      <w:spacing w:val="0"/>
                      <w:sz w:val="21"/>
                      <w:szCs w:val="21"/>
                      <w:highlight w:val="none"/>
                      <w:lang w:val="en-US" w:eastAsia="zh-CN"/>
                    </w:rPr>
                  </w:pPr>
                  <w:r>
                    <w:rPr>
                      <w:rFonts w:hint="eastAsia" w:ascii="宋体" w:hAnsi="宋体" w:eastAsia="宋体" w:cs="宋体"/>
                      <w:bCs/>
                      <w:caps w:val="0"/>
                      <w:color w:val="auto"/>
                      <w:spacing w:val="0"/>
                      <w:sz w:val="21"/>
                      <w:szCs w:val="21"/>
                      <w:highlight w:val="none"/>
                      <w:lang w:val="en-US" w:eastAsia="zh-CN"/>
                    </w:rPr>
                    <w:t>0</w:t>
                  </w:r>
                  <w:r>
                    <w:rPr>
                      <w:rFonts w:hint="eastAsia" w:cs="宋体"/>
                      <w:bCs/>
                      <w:caps w:val="0"/>
                      <w:color w:val="auto"/>
                      <w:spacing w:val="0"/>
                      <w:sz w:val="21"/>
                      <w:szCs w:val="21"/>
                      <w:highlight w:val="none"/>
                      <w:lang w:val="en-US" w:eastAsia="zh-CN"/>
                    </w:rPr>
                    <w:t>1</w:t>
                  </w:r>
                </w:p>
              </w:tc>
              <w:tc>
                <w:tcPr>
                  <w:tcW w:w="265" w:type="pct"/>
                  <w:vMerge w:val="restart"/>
                  <w:noWrap w:val="0"/>
                  <w:vAlign w:val="center"/>
                </w:tcPr>
                <w:p w14:paraId="2464E65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bCs/>
                      <w:caps w:val="0"/>
                      <w:color w:val="auto"/>
                      <w:spacing w:val="0"/>
                      <w:sz w:val="21"/>
                      <w:szCs w:val="21"/>
                      <w:highlight w:val="none"/>
                      <w:lang w:val="en-US" w:eastAsia="zh-CN"/>
                    </w:rPr>
                  </w:pPr>
                  <w:r>
                    <w:rPr>
                      <w:rFonts w:hint="eastAsia" w:ascii="宋体" w:hAnsi="宋体" w:eastAsia="宋体" w:cs="宋体"/>
                      <w:bCs/>
                      <w:caps w:val="0"/>
                      <w:color w:val="auto"/>
                      <w:spacing w:val="0"/>
                      <w:sz w:val="21"/>
                      <w:szCs w:val="21"/>
                      <w:highlight w:val="none"/>
                      <w:lang w:val="en-US" w:eastAsia="zh-CN"/>
                    </w:rPr>
                    <w:t>锅炉排污水</w:t>
                  </w:r>
                </w:p>
              </w:tc>
              <w:tc>
                <w:tcPr>
                  <w:tcW w:w="320" w:type="pct"/>
                  <w:vMerge w:val="restart"/>
                  <w:noWrap w:val="0"/>
                  <w:vAlign w:val="center"/>
                </w:tcPr>
                <w:p w14:paraId="04B69D4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bCs/>
                      <w:caps w:val="0"/>
                      <w:color w:val="auto"/>
                      <w:spacing w:val="0"/>
                      <w:sz w:val="21"/>
                      <w:szCs w:val="21"/>
                      <w:highlight w:val="none"/>
                      <w:lang w:val="en-US"/>
                    </w:rPr>
                  </w:pPr>
                  <w:r>
                    <w:rPr>
                      <w:rFonts w:hint="eastAsia" w:ascii="宋体" w:hAnsi="宋体" w:eastAsia="宋体" w:cs="宋体"/>
                      <w:bCs/>
                      <w:caps w:val="0"/>
                      <w:color w:val="auto"/>
                      <w:spacing w:val="0"/>
                      <w:sz w:val="21"/>
                      <w:szCs w:val="21"/>
                      <w:highlight w:val="none"/>
                      <w:lang w:val="en-US" w:eastAsia="zh-CN"/>
                    </w:rPr>
                    <w:t>锅炉排污水</w:t>
                  </w:r>
                  <w:r>
                    <w:rPr>
                      <w:rFonts w:hint="eastAsia" w:cs="宋体"/>
                      <w:bCs/>
                      <w:caps w:val="0"/>
                      <w:color w:val="auto"/>
                      <w:spacing w:val="0"/>
                      <w:sz w:val="21"/>
                      <w:szCs w:val="21"/>
                      <w:highlight w:val="none"/>
                      <w:lang w:val="en-US" w:eastAsia="zh-CN"/>
                    </w:rPr>
                    <w:t>+软水制备废水</w:t>
                  </w:r>
                </w:p>
              </w:tc>
              <w:tc>
                <w:tcPr>
                  <w:tcW w:w="338" w:type="pct"/>
                  <w:noWrap w:val="0"/>
                  <w:vAlign w:val="center"/>
                </w:tcPr>
                <w:p w14:paraId="28835D5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aps w:val="0"/>
                      <w:color w:val="auto"/>
                      <w:spacing w:val="0"/>
                      <w:sz w:val="21"/>
                      <w:szCs w:val="21"/>
                      <w:highlight w:val="none"/>
                      <w:lang w:val="en-US" w:eastAsia="zh-CN"/>
                    </w:rPr>
                  </w:pPr>
                  <w:r>
                    <w:rPr>
                      <w:rFonts w:hint="eastAsia" w:ascii="宋体" w:hAnsi="宋体" w:eastAsia="宋体" w:cs="宋体"/>
                      <w:caps w:val="0"/>
                      <w:color w:val="auto"/>
                      <w:spacing w:val="0"/>
                      <w:sz w:val="21"/>
                      <w:szCs w:val="21"/>
                      <w:highlight w:val="none"/>
                      <w:lang w:val="en-US" w:eastAsia="zh-CN"/>
                    </w:rPr>
                    <w:t>COD</w:t>
                  </w:r>
                </w:p>
              </w:tc>
              <w:tc>
                <w:tcPr>
                  <w:tcW w:w="395" w:type="pct"/>
                  <w:vMerge w:val="restart"/>
                  <w:noWrap w:val="0"/>
                  <w:vAlign w:val="center"/>
                </w:tcPr>
                <w:p w14:paraId="77D3383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aps w:val="0"/>
                      <w:color w:val="auto"/>
                      <w:spacing w:val="0"/>
                      <w:sz w:val="21"/>
                      <w:szCs w:val="21"/>
                      <w:highlight w:val="none"/>
                      <w:lang w:val="en-US"/>
                    </w:rPr>
                  </w:pPr>
                  <w:r>
                    <w:rPr>
                      <w:rFonts w:hint="eastAsia" w:cs="宋体"/>
                      <w:bCs/>
                      <w:caps w:val="0"/>
                      <w:color w:val="auto"/>
                      <w:spacing w:val="0"/>
                      <w:sz w:val="21"/>
                      <w:szCs w:val="21"/>
                      <w:highlight w:val="none"/>
                      <w:lang w:val="en-US" w:eastAsia="zh-CN"/>
                    </w:rPr>
                    <w:t>3855.54</w:t>
                  </w:r>
                </w:p>
              </w:tc>
              <w:tc>
                <w:tcPr>
                  <w:tcW w:w="362" w:type="pct"/>
                  <w:noWrap w:val="0"/>
                  <w:vAlign w:val="center"/>
                </w:tcPr>
                <w:p w14:paraId="6D21219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bCs/>
                      <w:caps w:val="0"/>
                      <w:color w:val="auto"/>
                      <w:spacing w:val="0"/>
                      <w:sz w:val="21"/>
                      <w:szCs w:val="21"/>
                      <w:highlight w:val="none"/>
                      <w:lang w:val="en-US" w:eastAsia="zh-CN"/>
                    </w:rPr>
                  </w:pPr>
                  <w:r>
                    <w:rPr>
                      <w:rFonts w:hint="eastAsia" w:cs="宋体"/>
                      <w:bCs/>
                      <w:caps w:val="0"/>
                      <w:color w:val="auto"/>
                      <w:spacing w:val="0"/>
                      <w:sz w:val="21"/>
                      <w:szCs w:val="21"/>
                      <w:highlight w:val="none"/>
                      <w:lang w:val="en-US" w:eastAsia="zh-CN"/>
                    </w:rPr>
                    <w:t>28.756</w:t>
                  </w:r>
                </w:p>
              </w:tc>
              <w:tc>
                <w:tcPr>
                  <w:tcW w:w="480" w:type="pct"/>
                  <w:noWrap w:val="0"/>
                  <w:vAlign w:val="center"/>
                </w:tcPr>
                <w:p w14:paraId="274AF16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bCs/>
                      <w:color w:val="auto"/>
                      <w:spacing w:val="0"/>
                      <w:sz w:val="21"/>
                      <w:szCs w:val="21"/>
                      <w:highlight w:val="none"/>
                      <w:lang w:val="en-US" w:eastAsia="zh-CN"/>
                    </w:rPr>
                    <w:t>0.0934</w:t>
                  </w:r>
                </w:p>
              </w:tc>
              <w:tc>
                <w:tcPr>
                  <w:tcW w:w="362" w:type="pct"/>
                  <w:vMerge w:val="restart"/>
                  <w:noWrap w:val="0"/>
                  <w:vAlign w:val="center"/>
                </w:tcPr>
                <w:p w14:paraId="17EE82A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aps w:val="0"/>
                      <w:color w:val="auto"/>
                      <w:spacing w:val="0"/>
                      <w:sz w:val="21"/>
                      <w:szCs w:val="21"/>
                      <w:highlight w:val="none"/>
                    </w:rPr>
                  </w:pPr>
                  <w:r>
                    <w:rPr>
                      <w:rFonts w:hint="eastAsia" w:ascii="宋体" w:hAnsi="宋体" w:eastAsia="宋体" w:cs="宋体"/>
                      <w:bCs/>
                      <w:caps w:val="0"/>
                      <w:color w:val="auto"/>
                      <w:spacing w:val="0"/>
                      <w:sz w:val="21"/>
                      <w:szCs w:val="21"/>
                      <w:highlight w:val="none"/>
                    </w:rPr>
                    <w:t>/</w:t>
                  </w:r>
                </w:p>
              </w:tc>
              <w:tc>
                <w:tcPr>
                  <w:tcW w:w="346" w:type="pct"/>
                  <w:vMerge w:val="restart"/>
                  <w:noWrap w:val="0"/>
                  <w:vAlign w:val="center"/>
                </w:tcPr>
                <w:p w14:paraId="7B19326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aps w:val="0"/>
                      <w:color w:val="auto"/>
                      <w:spacing w:val="0"/>
                      <w:sz w:val="21"/>
                      <w:szCs w:val="21"/>
                      <w:highlight w:val="none"/>
                    </w:rPr>
                  </w:pPr>
                  <w:r>
                    <w:rPr>
                      <w:rFonts w:hint="eastAsia" w:ascii="宋体" w:hAnsi="宋体" w:eastAsia="宋体" w:cs="宋体"/>
                      <w:caps w:val="0"/>
                      <w:color w:val="auto"/>
                      <w:spacing w:val="0"/>
                      <w:sz w:val="21"/>
                      <w:szCs w:val="21"/>
                      <w:highlight w:val="none"/>
                    </w:rPr>
                    <w:t>/</w:t>
                  </w:r>
                </w:p>
              </w:tc>
              <w:tc>
                <w:tcPr>
                  <w:tcW w:w="312" w:type="pct"/>
                  <w:vMerge w:val="restart"/>
                  <w:noWrap w:val="0"/>
                  <w:vAlign w:val="center"/>
                </w:tcPr>
                <w:p w14:paraId="07B7E08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aps w:val="0"/>
                      <w:color w:val="auto"/>
                      <w:spacing w:val="0"/>
                      <w:sz w:val="21"/>
                      <w:szCs w:val="21"/>
                      <w:highlight w:val="none"/>
                    </w:rPr>
                  </w:pPr>
                  <w:r>
                    <w:rPr>
                      <w:rFonts w:hint="eastAsia" w:ascii="宋体" w:hAnsi="宋体" w:eastAsia="宋体" w:cs="宋体"/>
                      <w:caps w:val="0"/>
                      <w:color w:val="auto"/>
                      <w:spacing w:val="0"/>
                      <w:sz w:val="21"/>
                      <w:szCs w:val="21"/>
                      <w:highlight w:val="none"/>
                    </w:rPr>
                    <w:t>/</w:t>
                  </w:r>
                </w:p>
              </w:tc>
              <w:tc>
                <w:tcPr>
                  <w:tcW w:w="382" w:type="pct"/>
                  <w:vMerge w:val="restart"/>
                  <w:noWrap w:val="0"/>
                  <w:vAlign w:val="center"/>
                </w:tcPr>
                <w:p w14:paraId="3C3242A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aps w:val="0"/>
                      <w:color w:val="auto"/>
                      <w:spacing w:val="0"/>
                      <w:sz w:val="21"/>
                      <w:szCs w:val="21"/>
                      <w:highlight w:val="none"/>
                    </w:rPr>
                  </w:pPr>
                  <w:r>
                    <w:rPr>
                      <w:rFonts w:hint="eastAsia" w:ascii="宋体" w:hAnsi="宋体" w:eastAsia="宋体" w:cs="宋体"/>
                      <w:bCs/>
                      <w:caps w:val="0"/>
                      <w:color w:val="auto"/>
                      <w:spacing w:val="0"/>
                      <w:sz w:val="21"/>
                      <w:szCs w:val="21"/>
                      <w:highlight w:val="none"/>
                    </w:rPr>
                    <w:t>/</w:t>
                  </w:r>
                </w:p>
              </w:tc>
              <w:tc>
                <w:tcPr>
                  <w:tcW w:w="368" w:type="pct"/>
                  <w:vMerge w:val="restart"/>
                  <w:noWrap w:val="0"/>
                  <w:vAlign w:val="center"/>
                </w:tcPr>
                <w:p w14:paraId="1B3E451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aps w:val="0"/>
                      <w:color w:val="auto"/>
                      <w:spacing w:val="0"/>
                      <w:sz w:val="21"/>
                      <w:szCs w:val="21"/>
                      <w:highlight w:val="none"/>
                    </w:rPr>
                  </w:pPr>
                  <w:r>
                    <w:rPr>
                      <w:rFonts w:hint="eastAsia" w:cs="宋体"/>
                      <w:bCs/>
                      <w:caps w:val="0"/>
                      <w:color w:val="auto"/>
                      <w:spacing w:val="0"/>
                      <w:sz w:val="21"/>
                      <w:szCs w:val="21"/>
                      <w:highlight w:val="none"/>
                      <w:lang w:val="en-US" w:eastAsia="zh-CN"/>
                    </w:rPr>
                    <w:t>3855.54</w:t>
                  </w:r>
                </w:p>
              </w:tc>
              <w:tc>
                <w:tcPr>
                  <w:tcW w:w="371" w:type="pct"/>
                  <w:noWrap w:val="0"/>
                  <w:vAlign w:val="center"/>
                </w:tcPr>
                <w:p w14:paraId="0B42ED4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aps w:val="0"/>
                      <w:color w:val="auto"/>
                      <w:spacing w:val="0"/>
                      <w:sz w:val="21"/>
                      <w:szCs w:val="21"/>
                      <w:highlight w:val="none"/>
                    </w:rPr>
                  </w:pPr>
                  <w:r>
                    <w:rPr>
                      <w:rFonts w:hint="eastAsia" w:cs="宋体"/>
                      <w:bCs/>
                      <w:caps w:val="0"/>
                      <w:color w:val="auto"/>
                      <w:spacing w:val="0"/>
                      <w:sz w:val="21"/>
                      <w:szCs w:val="21"/>
                      <w:highlight w:val="none"/>
                      <w:lang w:val="en-US" w:eastAsia="zh-CN"/>
                    </w:rPr>
                    <w:t>28.756</w:t>
                  </w:r>
                </w:p>
              </w:tc>
              <w:tc>
                <w:tcPr>
                  <w:tcW w:w="510" w:type="pct"/>
                  <w:tcBorders>
                    <w:right w:val="nil"/>
                  </w:tcBorders>
                  <w:noWrap w:val="0"/>
                  <w:vAlign w:val="center"/>
                </w:tcPr>
                <w:p w14:paraId="47A10A6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r>
                    <w:rPr>
                      <w:rFonts w:hint="eastAsia" w:cs="宋体"/>
                      <w:bCs/>
                      <w:color w:val="auto"/>
                      <w:spacing w:val="0"/>
                      <w:sz w:val="21"/>
                      <w:szCs w:val="21"/>
                      <w:highlight w:val="none"/>
                      <w:lang w:val="en-US" w:eastAsia="zh-CN"/>
                    </w:rPr>
                    <w:t>0.0934</w:t>
                  </w:r>
                </w:p>
              </w:tc>
            </w:tr>
            <w:tr w14:paraId="470E5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84" w:type="pct"/>
                  <w:vMerge w:val="continue"/>
                  <w:tcBorders>
                    <w:left w:val="nil"/>
                  </w:tcBorders>
                  <w:noWrap w:val="0"/>
                  <w:vAlign w:val="center"/>
                </w:tcPr>
                <w:p w14:paraId="76D5164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265" w:type="pct"/>
                  <w:vMerge w:val="continue"/>
                  <w:noWrap w:val="0"/>
                  <w:vAlign w:val="center"/>
                </w:tcPr>
                <w:p w14:paraId="28CB5E8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20" w:type="pct"/>
                  <w:vMerge w:val="continue"/>
                  <w:noWrap w:val="0"/>
                  <w:vAlign w:val="center"/>
                </w:tcPr>
                <w:p w14:paraId="5AFCAE7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38" w:type="pct"/>
                  <w:noWrap w:val="0"/>
                  <w:vAlign w:val="center"/>
                </w:tcPr>
                <w:p w14:paraId="40101C4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r>
                    <w:rPr>
                      <w:rFonts w:hint="eastAsia" w:ascii="宋体" w:hAnsi="宋体" w:eastAsia="宋体" w:cs="宋体"/>
                      <w:caps w:val="0"/>
                      <w:color w:val="auto"/>
                      <w:spacing w:val="0"/>
                      <w:kern w:val="2"/>
                      <w:sz w:val="21"/>
                      <w:szCs w:val="21"/>
                      <w:highlight w:val="none"/>
                      <w:lang w:val="en-US" w:eastAsia="zh-CN" w:bidi="ar-SA"/>
                    </w:rPr>
                    <w:t>SS</w:t>
                  </w:r>
                </w:p>
              </w:tc>
              <w:tc>
                <w:tcPr>
                  <w:tcW w:w="395" w:type="pct"/>
                  <w:vMerge w:val="continue"/>
                  <w:noWrap w:val="0"/>
                  <w:vAlign w:val="center"/>
                </w:tcPr>
                <w:p w14:paraId="47E8D8A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62" w:type="pct"/>
                  <w:noWrap w:val="0"/>
                  <w:vAlign w:val="center"/>
                </w:tcPr>
                <w:p w14:paraId="16AE5A7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r>
                    <w:rPr>
                      <w:rFonts w:hint="eastAsia" w:ascii="宋体" w:hAnsi="宋体" w:eastAsia="宋体" w:cs="宋体"/>
                      <w:caps w:val="0"/>
                      <w:color w:val="auto"/>
                      <w:spacing w:val="0"/>
                      <w:kern w:val="2"/>
                      <w:sz w:val="21"/>
                      <w:szCs w:val="21"/>
                      <w:highlight w:val="none"/>
                      <w:lang w:val="en-US" w:eastAsia="zh-CN" w:bidi="ar-SA"/>
                    </w:rPr>
                    <w:t>100</w:t>
                  </w:r>
                </w:p>
              </w:tc>
              <w:tc>
                <w:tcPr>
                  <w:tcW w:w="480" w:type="pct"/>
                  <w:noWrap w:val="0"/>
                  <w:vAlign w:val="center"/>
                </w:tcPr>
                <w:p w14:paraId="7CF9AA1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0.325</w:t>
                  </w:r>
                </w:p>
              </w:tc>
              <w:tc>
                <w:tcPr>
                  <w:tcW w:w="362" w:type="pct"/>
                  <w:vMerge w:val="continue"/>
                  <w:noWrap w:val="0"/>
                  <w:vAlign w:val="center"/>
                </w:tcPr>
                <w:p w14:paraId="5945DE7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46" w:type="pct"/>
                  <w:vMerge w:val="continue"/>
                  <w:noWrap w:val="0"/>
                  <w:vAlign w:val="center"/>
                </w:tcPr>
                <w:p w14:paraId="719B995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12" w:type="pct"/>
                  <w:vMerge w:val="continue"/>
                  <w:noWrap w:val="0"/>
                  <w:vAlign w:val="center"/>
                </w:tcPr>
                <w:p w14:paraId="230EEE0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82" w:type="pct"/>
                  <w:vMerge w:val="continue"/>
                  <w:noWrap w:val="0"/>
                  <w:vAlign w:val="center"/>
                </w:tcPr>
                <w:p w14:paraId="54C6242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68" w:type="pct"/>
                  <w:vMerge w:val="continue"/>
                  <w:noWrap w:val="0"/>
                  <w:vAlign w:val="center"/>
                </w:tcPr>
                <w:p w14:paraId="2DB5457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71" w:type="pct"/>
                  <w:noWrap w:val="0"/>
                  <w:vAlign w:val="center"/>
                </w:tcPr>
                <w:p w14:paraId="700B193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r>
                    <w:rPr>
                      <w:rFonts w:hint="eastAsia" w:ascii="宋体" w:hAnsi="宋体" w:eastAsia="宋体" w:cs="宋体"/>
                      <w:caps w:val="0"/>
                      <w:color w:val="auto"/>
                      <w:spacing w:val="0"/>
                      <w:kern w:val="2"/>
                      <w:sz w:val="21"/>
                      <w:szCs w:val="21"/>
                      <w:highlight w:val="none"/>
                      <w:lang w:val="en-US" w:eastAsia="zh-CN" w:bidi="ar-SA"/>
                    </w:rPr>
                    <w:t>100</w:t>
                  </w:r>
                </w:p>
              </w:tc>
              <w:tc>
                <w:tcPr>
                  <w:tcW w:w="510" w:type="pct"/>
                  <w:tcBorders>
                    <w:right w:val="nil"/>
                  </w:tcBorders>
                  <w:noWrap w:val="0"/>
                  <w:vAlign w:val="center"/>
                </w:tcPr>
                <w:p w14:paraId="5DFDEC1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0.325</w:t>
                  </w:r>
                </w:p>
              </w:tc>
            </w:tr>
            <w:tr w14:paraId="17AD8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84" w:type="pct"/>
                  <w:vMerge w:val="continue"/>
                  <w:tcBorders>
                    <w:left w:val="nil"/>
                  </w:tcBorders>
                  <w:noWrap w:val="0"/>
                  <w:vAlign w:val="center"/>
                </w:tcPr>
                <w:p w14:paraId="627C77A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265" w:type="pct"/>
                  <w:vMerge w:val="continue"/>
                  <w:noWrap w:val="0"/>
                  <w:vAlign w:val="center"/>
                </w:tcPr>
                <w:p w14:paraId="593F473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20" w:type="pct"/>
                  <w:vMerge w:val="continue"/>
                  <w:noWrap w:val="0"/>
                  <w:vAlign w:val="center"/>
                </w:tcPr>
                <w:p w14:paraId="2A62451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38" w:type="pct"/>
                  <w:noWrap w:val="0"/>
                  <w:vAlign w:val="center"/>
                </w:tcPr>
                <w:p w14:paraId="0A61764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r>
                    <w:rPr>
                      <w:rFonts w:hint="eastAsia" w:ascii="宋体" w:hAnsi="宋体" w:eastAsia="宋体" w:cs="宋体"/>
                      <w:caps w:val="0"/>
                      <w:color w:val="auto"/>
                      <w:spacing w:val="0"/>
                      <w:kern w:val="2"/>
                      <w:sz w:val="21"/>
                      <w:szCs w:val="21"/>
                      <w:highlight w:val="none"/>
                      <w:lang w:val="en-US" w:eastAsia="zh-CN" w:bidi="ar-SA"/>
                    </w:rPr>
                    <w:t>TDS</w:t>
                  </w:r>
                </w:p>
              </w:tc>
              <w:tc>
                <w:tcPr>
                  <w:tcW w:w="395" w:type="pct"/>
                  <w:vMerge w:val="continue"/>
                  <w:noWrap w:val="0"/>
                  <w:vAlign w:val="center"/>
                </w:tcPr>
                <w:p w14:paraId="0DB74CE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62" w:type="pct"/>
                  <w:noWrap w:val="0"/>
                  <w:vAlign w:val="center"/>
                </w:tcPr>
                <w:p w14:paraId="6705217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r>
                    <w:rPr>
                      <w:rFonts w:hint="eastAsia" w:ascii="宋体" w:hAnsi="宋体" w:eastAsia="宋体" w:cs="宋体"/>
                      <w:caps w:val="0"/>
                      <w:color w:val="auto"/>
                      <w:spacing w:val="0"/>
                      <w:kern w:val="2"/>
                      <w:sz w:val="21"/>
                      <w:szCs w:val="21"/>
                      <w:highlight w:val="none"/>
                      <w:lang w:val="en-US" w:eastAsia="zh-CN" w:bidi="ar-SA"/>
                    </w:rPr>
                    <w:t>1200</w:t>
                  </w:r>
                </w:p>
              </w:tc>
              <w:tc>
                <w:tcPr>
                  <w:tcW w:w="480" w:type="pct"/>
                  <w:noWrap w:val="0"/>
                  <w:vAlign w:val="center"/>
                </w:tcPr>
                <w:p w14:paraId="7A8E64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3.959</w:t>
                  </w:r>
                </w:p>
              </w:tc>
              <w:tc>
                <w:tcPr>
                  <w:tcW w:w="362" w:type="pct"/>
                  <w:vMerge w:val="continue"/>
                  <w:noWrap w:val="0"/>
                  <w:vAlign w:val="center"/>
                </w:tcPr>
                <w:p w14:paraId="3F5429B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46" w:type="pct"/>
                  <w:vMerge w:val="continue"/>
                  <w:noWrap w:val="0"/>
                  <w:vAlign w:val="center"/>
                </w:tcPr>
                <w:p w14:paraId="77C2AB1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12" w:type="pct"/>
                  <w:vMerge w:val="continue"/>
                  <w:noWrap w:val="0"/>
                  <w:vAlign w:val="center"/>
                </w:tcPr>
                <w:p w14:paraId="390F0C6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82" w:type="pct"/>
                  <w:vMerge w:val="continue"/>
                  <w:noWrap w:val="0"/>
                  <w:vAlign w:val="center"/>
                </w:tcPr>
                <w:p w14:paraId="4BF6CC3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68" w:type="pct"/>
                  <w:vMerge w:val="continue"/>
                  <w:noWrap w:val="0"/>
                  <w:vAlign w:val="center"/>
                </w:tcPr>
                <w:p w14:paraId="75B7293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71" w:type="pct"/>
                  <w:noWrap w:val="0"/>
                  <w:vAlign w:val="center"/>
                </w:tcPr>
                <w:p w14:paraId="7F16E21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r>
                    <w:rPr>
                      <w:rFonts w:hint="eastAsia" w:ascii="宋体" w:hAnsi="宋体" w:eastAsia="宋体" w:cs="宋体"/>
                      <w:caps w:val="0"/>
                      <w:color w:val="auto"/>
                      <w:spacing w:val="0"/>
                      <w:kern w:val="2"/>
                      <w:sz w:val="21"/>
                      <w:szCs w:val="21"/>
                      <w:highlight w:val="none"/>
                      <w:lang w:val="en-US" w:eastAsia="zh-CN" w:bidi="ar-SA"/>
                    </w:rPr>
                    <w:t>1200</w:t>
                  </w:r>
                </w:p>
              </w:tc>
              <w:tc>
                <w:tcPr>
                  <w:tcW w:w="510" w:type="pct"/>
                  <w:tcBorders>
                    <w:right w:val="nil"/>
                  </w:tcBorders>
                  <w:noWrap w:val="0"/>
                  <w:vAlign w:val="center"/>
                </w:tcPr>
                <w:p w14:paraId="4BE7616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3.959</w:t>
                  </w:r>
                </w:p>
              </w:tc>
            </w:tr>
            <w:tr w14:paraId="04AAA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84" w:type="pct"/>
                  <w:vMerge w:val="restart"/>
                  <w:tcBorders>
                    <w:left w:val="nil"/>
                  </w:tcBorders>
                  <w:noWrap w:val="0"/>
                  <w:vAlign w:val="center"/>
                </w:tcPr>
                <w:p w14:paraId="4864C46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02</w:t>
                  </w:r>
                </w:p>
              </w:tc>
              <w:tc>
                <w:tcPr>
                  <w:tcW w:w="265" w:type="pct"/>
                  <w:vMerge w:val="restart"/>
                  <w:noWrap w:val="0"/>
                  <w:vAlign w:val="center"/>
                </w:tcPr>
                <w:p w14:paraId="25E1730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离子交换树脂再生水</w:t>
                  </w:r>
                </w:p>
              </w:tc>
              <w:tc>
                <w:tcPr>
                  <w:tcW w:w="320" w:type="pct"/>
                  <w:vMerge w:val="restart"/>
                  <w:noWrap w:val="0"/>
                  <w:vAlign w:val="center"/>
                </w:tcPr>
                <w:p w14:paraId="06E5B49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离子交换树脂再生水</w:t>
                  </w:r>
                </w:p>
              </w:tc>
              <w:tc>
                <w:tcPr>
                  <w:tcW w:w="338" w:type="pct"/>
                  <w:noWrap w:val="0"/>
                  <w:vAlign w:val="center"/>
                </w:tcPr>
                <w:p w14:paraId="0E4CF99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TDS</w:t>
                  </w:r>
                </w:p>
              </w:tc>
              <w:tc>
                <w:tcPr>
                  <w:tcW w:w="395" w:type="pct"/>
                  <w:vMerge w:val="restart"/>
                  <w:noWrap w:val="0"/>
                  <w:vAlign w:val="center"/>
                </w:tcPr>
                <w:p w14:paraId="691FAD2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r>
                    <w:rPr>
                      <w:rFonts w:hint="eastAsia" w:ascii="Times New Roman" w:hAnsi="Times New Roman" w:cs="Times New Roman"/>
                      <w:color w:val="auto"/>
                      <w:spacing w:val="0"/>
                      <w:sz w:val="21"/>
                      <w:szCs w:val="21"/>
                      <w:highlight w:val="none"/>
                      <w:lang w:val="en-US" w:eastAsia="zh-CN"/>
                    </w:rPr>
                    <w:t>607.5</w:t>
                  </w:r>
                </w:p>
              </w:tc>
              <w:tc>
                <w:tcPr>
                  <w:tcW w:w="362" w:type="pct"/>
                  <w:noWrap w:val="0"/>
                  <w:vAlign w:val="center"/>
                </w:tcPr>
                <w:p w14:paraId="64CE8A9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5000</w:t>
                  </w:r>
                </w:p>
              </w:tc>
              <w:tc>
                <w:tcPr>
                  <w:tcW w:w="480" w:type="pct"/>
                  <w:noWrap w:val="0"/>
                  <w:vAlign w:val="center"/>
                </w:tcPr>
                <w:p w14:paraId="657AEEF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3.0375</w:t>
                  </w:r>
                </w:p>
              </w:tc>
              <w:tc>
                <w:tcPr>
                  <w:tcW w:w="362" w:type="pct"/>
                  <w:vMerge w:val="restart"/>
                  <w:noWrap w:val="0"/>
                  <w:vAlign w:val="center"/>
                </w:tcPr>
                <w:p w14:paraId="152E6C0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300</w:t>
                  </w:r>
                </w:p>
              </w:tc>
              <w:tc>
                <w:tcPr>
                  <w:tcW w:w="346" w:type="pct"/>
                  <w:vMerge w:val="restart"/>
                  <w:noWrap w:val="0"/>
                  <w:vAlign w:val="center"/>
                </w:tcPr>
                <w:p w14:paraId="26C294D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蒸发除盐</w:t>
                  </w:r>
                </w:p>
              </w:tc>
              <w:tc>
                <w:tcPr>
                  <w:tcW w:w="312" w:type="pct"/>
                  <w:vMerge w:val="restart"/>
                  <w:noWrap w:val="0"/>
                  <w:vAlign w:val="center"/>
                </w:tcPr>
                <w:p w14:paraId="20F160B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98%</w:t>
                  </w:r>
                </w:p>
              </w:tc>
              <w:tc>
                <w:tcPr>
                  <w:tcW w:w="382" w:type="pct"/>
                  <w:vMerge w:val="restart"/>
                  <w:noWrap w:val="0"/>
                  <w:vAlign w:val="center"/>
                </w:tcPr>
                <w:p w14:paraId="47A0E4E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是</w:t>
                  </w:r>
                </w:p>
              </w:tc>
              <w:tc>
                <w:tcPr>
                  <w:tcW w:w="368" w:type="pct"/>
                  <w:vMerge w:val="restart"/>
                  <w:noWrap w:val="0"/>
                  <w:vAlign w:val="center"/>
                </w:tcPr>
                <w:p w14:paraId="3ABFDBC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r>
                    <w:rPr>
                      <w:rFonts w:hint="eastAsia" w:ascii="Times New Roman" w:hAnsi="Times New Roman" w:cs="Times New Roman"/>
                      <w:color w:val="auto"/>
                      <w:spacing w:val="0"/>
                      <w:sz w:val="21"/>
                      <w:szCs w:val="21"/>
                      <w:highlight w:val="none"/>
                      <w:lang w:val="en-US" w:eastAsia="zh-CN"/>
                    </w:rPr>
                    <w:t>607.5</w:t>
                  </w:r>
                </w:p>
              </w:tc>
              <w:tc>
                <w:tcPr>
                  <w:tcW w:w="371" w:type="pct"/>
                  <w:noWrap w:val="0"/>
                  <w:vAlign w:val="center"/>
                </w:tcPr>
                <w:p w14:paraId="45DAF0C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100</w:t>
                  </w:r>
                </w:p>
              </w:tc>
              <w:tc>
                <w:tcPr>
                  <w:tcW w:w="510" w:type="pct"/>
                  <w:tcBorders>
                    <w:right w:val="nil"/>
                  </w:tcBorders>
                  <w:noWrap w:val="0"/>
                  <w:vAlign w:val="center"/>
                </w:tcPr>
                <w:p w14:paraId="3DC18D2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0.06075</w:t>
                  </w:r>
                </w:p>
              </w:tc>
            </w:tr>
            <w:tr w14:paraId="669D5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184" w:type="pct"/>
                  <w:vMerge w:val="continue"/>
                  <w:tcBorders>
                    <w:left w:val="nil"/>
                  </w:tcBorders>
                  <w:noWrap w:val="0"/>
                  <w:vAlign w:val="center"/>
                </w:tcPr>
                <w:p w14:paraId="7F8D709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265" w:type="pct"/>
                  <w:vMerge w:val="continue"/>
                  <w:noWrap w:val="0"/>
                  <w:vAlign w:val="center"/>
                </w:tcPr>
                <w:p w14:paraId="580866E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20" w:type="pct"/>
                  <w:vMerge w:val="continue"/>
                  <w:noWrap w:val="0"/>
                  <w:vAlign w:val="center"/>
                </w:tcPr>
                <w:p w14:paraId="454F209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cs="宋体"/>
                      <w:bCs/>
                      <w:caps w:val="0"/>
                      <w:color w:val="auto"/>
                      <w:spacing w:val="0"/>
                      <w:sz w:val="21"/>
                      <w:szCs w:val="21"/>
                      <w:highlight w:val="none"/>
                      <w:lang w:val="en-US" w:eastAsia="zh-CN"/>
                    </w:rPr>
                  </w:pPr>
                </w:p>
              </w:tc>
              <w:tc>
                <w:tcPr>
                  <w:tcW w:w="338" w:type="pct"/>
                  <w:noWrap w:val="0"/>
                  <w:vAlign w:val="center"/>
                </w:tcPr>
                <w:p w14:paraId="5DC4536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Na</w:t>
                  </w:r>
                  <w:r>
                    <w:rPr>
                      <w:rFonts w:hint="eastAsia" w:cs="宋体"/>
                      <w:caps w:val="0"/>
                      <w:color w:val="auto"/>
                      <w:spacing w:val="0"/>
                      <w:kern w:val="2"/>
                      <w:sz w:val="21"/>
                      <w:szCs w:val="21"/>
                      <w:highlight w:val="none"/>
                      <w:vertAlign w:val="superscript"/>
                      <w:lang w:val="en-US" w:eastAsia="zh-CN" w:bidi="ar-SA"/>
                    </w:rPr>
                    <w:t>+</w:t>
                  </w:r>
                </w:p>
              </w:tc>
              <w:tc>
                <w:tcPr>
                  <w:tcW w:w="395" w:type="pct"/>
                  <w:vMerge w:val="continue"/>
                  <w:noWrap w:val="0"/>
                  <w:vAlign w:val="center"/>
                </w:tcPr>
                <w:p w14:paraId="5687D12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62" w:type="pct"/>
                  <w:noWrap w:val="0"/>
                  <w:vAlign w:val="center"/>
                </w:tcPr>
                <w:p w14:paraId="7C9AE4D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2000</w:t>
                  </w:r>
                </w:p>
              </w:tc>
              <w:tc>
                <w:tcPr>
                  <w:tcW w:w="480" w:type="pct"/>
                  <w:noWrap w:val="0"/>
                  <w:vAlign w:val="center"/>
                </w:tcPr>
                <w:p w14:paraId="2582C78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1.215</w:t>
                  </w:r>
                </w:p>
              </w:tc>
              <w:tc>
                <w:tcPr>
                  <w:tcW w:w="362" w:type="pct"/>
                  <w:vMerge w:val="continue"/>
                  <w:noWrap w:val="0"/>
                  <w:vAlign w:val="center"/>
                </w:tcPr>
                <w:p w14:paraId="22804D8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46" w:type="pct"/>
                  <w:vMerge w:val="continue"/>
                  <w:noWrap w:val="0"/>
                  <w:vAlign w:val="center"/>
                </w:tcPr>
                <w:p w14:paraId="2682221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12" w:type="pct"/>
                  <w:vMerge w:val="continue"/>
                  <w:noWrap w:val="0"/>
                  <w:vAlign w:val="center"/>
                </w:tcPr>
                <w:p w14:paraId="6B693A2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82" w:type="pct"/>
                  <w:vMerge w:val="continue"/>
                  <w:noWrap w:val="0"/>
                  <w:vAlign w:val="center"/>
                </w:tcPr>
                <w:p w14:paraId="53A20D1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68" w:type="pct"/>
                  <w:vMerge w:val="continue"/>
                  <w:noWrap w:val="0"/>
                  <w:vAlign w:val="center"/>
                </w:tcPr>
                <w:p w14:paraId="794E761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aps w:val="0"/>
                      <w:color w:val="auto"/>
                      <w:spacing w:val="0"/>
                      <w:kern w:val="2"/>
                      <w:sz w:val="21"/>
                      <w:szCs w:val="21"/>
                      <w:highlight w:val="none"/>
                      <w:lang w:val="en-US" w:eastAsia="zh-CN" w:bidi="ar-SA"/>
                    </w:rPr>
                  </w:pPr>
                </w:p>
              </w:tc>
              <w:tc>
                <w:tcPr>
                  <w:tcW w:w="371" w:type="pct"/>
                  <w:noWrap w:val="0"/>
                  <w:vAlign w:val="center"/>
                </w:tcPr>
                <w:p w14:paraId="2DC3492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40</w:t>
                  </w:r>
                </w:p>
              </w:tc>
              <w:tc>
                <w:tcPr>
                  <w:tcW w:w="510" w:type="pct"/>
                  <w:tcBorders>
                    <w:right w:val="nil"/>
                  </w:tcBorders>
                  <w:noWrap w:val="0"/>
                  <w:vAlign w:val="center"/>
                </w:tcPr>
                <w:p w14:paraId="3D1268D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cs="宋体"/>
                      <w:caps w:val="0"/>
                      <w:color w:val="auto"/>
                      <w:spacing w:val="0"/>
                      <w:kern w:val="2"/>
                      <w:sz w:val="21"/>
                      <w:szCs w:val="21"/>
                      <w:highlight w:val="none"/>
                      <w:lang w:val="en-US" w:eastAsia="zh-CN" w:bidi="ar-SA"/>
                    </w:rPr>
                  </w:pPr>
                  <w:r>
                    <w:rPr>
                      <w:rFonts w:hint="eastAsia" w:cs="宋体"/>
                      <w:caps w:val="0"/>
                      <w:color w:val="auto"/>
                      <w:spacing w:val="0"/>
                      <w:kern w:val="2"/>
                      <w:sz w:val="21"/>
                      <w:szCs w:val="21"/>
                      <w:highlight w:val="none"/>
                      <w:lang w:val="en-US" w:eastAsia="zh-CN" w:bidi="ar-SA"/>
                    </w:rPr>
                    <w:t>0.0243</w:t>
                  </w:r>
                </w:p>
              </w:tc>
            </w:tr>
          </w:tbl>
          <w:p w14:paraId="70841359">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color w:val="auto"/>
                <w:spacing w:val="0"/>
                <w:sz w:val="24"/>
                <w:szCs w:val="24"/>
                <w:highlight w:val="none"/>
              </w:rPr>
            </w:pPr>
          </w:p>
        </w:tc>
      </w:tr>
    </w:tbl>
    <w:p w14:paraId="3DB379E1">
      <w:pPr>
        <w:rPr>
          <w:rFonts w:hint="eastAsia" w:ascii="宋体" w:hAnsi="宋体" w:eastAsia="宋体" w:cs="宋体"/>
          <w:color w:val="auto"/>
          <w:spacing w:val="0"/>
          <w:highlight w:val="none"/>
        </w:rPr>
        <w:sectPr>
          <w:pgSz w:w="16840" w:h="11907" w:orient="landscape"/>
          <w:pgMar w:top="1803" w:right="1440" w:bottom="1803"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69"/>
        <w:gridCol w:w="8068"/>
      </w:tblGrid>
      <w:tr w14:paraId="29B53A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64" w:hRule="atLeast"/>
          <w:jc w:val="center"/>
        </w:trPr>
        <w:tc>
          <w:tcPr>
            <w:tcW w:w="418" w:type="dxa"/>
            <w:noWrap w:val="0"/>
            <w:tcMar>
              <w:left w:w="28" w:type="dxa"/>
              <w:right w:w="28" w:type="dxa"/>
            </w:tcMar>
            <w:vAlign w:val="center"/>
          </w:tcPr>
          <w:p w14:paraId="54C75401">
            <w:pPr>
              <w:spacing w:line="240" w:lineRule="auto"/>
              <w:ind w:firstLine="0" w:firstLineChars="0"/>
              <w:jc w:val="center"/>
              <w:rPr>
                <w:rFonts w:hint="eastAsia" w:ascii="宋体" w:hAnsi="宋体" w:eastAsia="宋体" w:cs="宋体"/>
                <w:color w:val="auto"/>
                <w:spacing w:val="0"/>
                <w:sz w:val="21"/>
                <w:szCs w:val="21"/>
                <w:highlight w:val="none"/>
              </w:rPr>
            </w:pPr>
          </w:p>
        </w:tc>
        <w:tc>
          <w:tcPr>
            <w:tcW w:w="8343" w:type="dxa"/>
            <w:tcBorders>
              <w:top w:val="single" w:color="auto" w:sz="4" w:space="0"/>
              <w:bottom w:val="single" w:color="auto" w:sz="4" w:space="0"/>
            </w:tcBorders>
            <w:noWrap w:val="0"/>
            <w:vAlign w:val="center"/>
          </w:tcPr>
          <w:p w14:paraId="74515721">
            <w:pPr>
              <w:keepNext w:val="0"/>
              <w:keepLines w:val="0"/>
              <w:pageBreakBefore w:val="0"/>
              <w:widowControl w:val="0"/>
              <w:kinsoku/>
              <w:wordWrap/>
              <w:overflowPunct/>
              <w:topLinePunct w:val="0"/>
              <w:autoSpaceDE/>
              <w:autoSpaceDN/>
              <w:bidi w:val="0"/>
              <w:adjustRightInd w:val="0"/>
              <w:snapToGrid w:val="0"/>
              <w:ind w:firstLine="482" w:firstLineChars="200"/>
              <w:jc w:val="left"/>
              <w:textAlignment w:val="auto"/>
              <w:rPr>
                <w:rFonts w:hint="eastAsia" w:ascii="宋体" w:hAnsi="宋体" w:eastAsia="宋体" w:cs="宋体"/>
                <w:bCs/>
                <w:color w:val="auto"/>
                <w:spacing w:val="0"/>
                <w:sz w:val="24"/>
                <w:highlight w:val="none"/>
                <w:lang w:bidi="ar"/>
              </w:rPr>
            </w:pPr>
            <w:r>
              <w:rPr>
                <w:rFonts w:hint="eastAsia" w:ascii="宋体" w:hAnsi="宋体" w:eastAsia="宋体" w:cs="宋体"/>
                <w:b/>
                <w:bCs/>
                <w:caps w:val="0"/>
                <w:color w:val="auto"/>
                <w:spacing w:val="0"/>
                <w:kern w:val="0"/>
                <w:sz w:val="24"/>
                <w:highlight w:val="none"/>
                <w:lang w:val="en-US" w:eastAsia="zh-CN"/>
              </w:rPr>
              <w:t>2.2废水治理设施及排污口信息</w:t>
            </w:r>
          </w:p>
          <w:p w14:paraId="0F3E2E1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eastAsia="宋体" w:cs="宋体"/>
                <w:b/>
                <w:caps w:val="0"/>
                <w:color w:val="auto"/>
                <w:spacing w:val="0"/>
                <w:sz w:val="24"/>
                <w:highlight w:val="none"/>
                <w:lang w:val="en-US" w:eastAsia="zh-CN"/>
              </w:rPr>
            </w:pPr>
            <w:r>
              <w:rPr>
                <w:rFonts w:hint="eastAsia" w:ascii="宋体" w:hAnsi="宋体" w:eastAsia="宋体" w:cs="宋体"/>
                <w:bCs/>
                <w:color w:val="auto"/>
                <w:spacing w:val="0"/>
                <w:sz w:val="24"/>
                <w:highlight w:val="none"/>
                <w:lang w:val="en-US" w:eastAsia="zh-CN" w:bidi="ar"/>
              </w:rPr>
              <w:t>本项目外排废水为锅炉排污水和</w:t>
            </w:r>
            <w:r>
              <w:rPr>
                <w:rFonts w:hint="eastAsia" w:cs="宋体"/>
                <w:bCs/>
                <w:color w:val="auto"/>
                <w:spacing w:val="0"/>
                <w:sz w:val="24"/>
                <w:highlight w:val="none"/>
                <w:lang w:val="en-US" w:eastAsia="zh-CN" w:bidi="ar"/>
              </w:rPr>
              <w:t>软水制备废水</w:t>
            </w:r>
            <w:r>
              <w:rPr>
                <w:rFonts w:hint="eastAsia" w:ascii="宋体" w:hAnsi="宋体" w:eastAsia="宋体" w:cs="宋体"/>
                <w:bCs/>
                <w:color w:val="auto"/>
                <w:spacing w:val="0"/>
                <w:sz w:val="24"/>
                <w:highlight w:val="none"/>
                <w:lang w:val="en-US" w:eastAsia="zh-CN" w:bidi="ar"/>
              </w:rPr>
              <w:t>，锅炉排污水</w:t>
            </w:r>
            <w:r>
              <w:rPr>
                <w:rFonts w:hint="eastAsia" w:cs="宋体"/>
                <w:bCs/>
                <w:color w:val="auto"/>
                <w:spacing w:val="0"/>
                <w:sz w:val="24"/>
                <w:highlight w:val="none"/>
                <w:lang w:val="en-US" w:eastAsia="zh-CN" w:bidi="ar"/>
              </w:rPr>
              <w:t>和软水制备废水</w:t>
            </w:r>
            <w:r>
              <w:rPr>
                <w:rFonts w:hint="eastAsia" w:ascii="宋体" w:hAnsi="宋体" w:eastAsia="宋体" w:cs="宋体"/>
                <w:bCs/>
                <w:color w:val="auto"/>
                <w:spacing w:val="0"/>
                <w:sz w:val="24"/>
                <w:highlight w:val="none"/>
                <w:lang w:val="en-US" w:eastAsia="zh-CN" w:bidi="ar"/>
              </w:rPr>
              <w:t>经厂区化粪池沉淀后排入市政管网，最终排入</w:t>
            </w:r>
            <w:r>
              <w:rPr>
                <w:rFonts w:hint="eastAsia" w:cs="宋体"/>
                <w:bCs/>
                <w:color w:val="auto"/>
                <w:spacing w:val="0"/>
                <w:sz w:val="24"/>
                <w:highlight w:val="none"/>
                <w:lang w:val="en-US" w:eastAsia="zh-CN" w:bidi="ar"/>
              </w:rPr>
              <w:t>梨树工业谷污水处理厂</w:t>
            </w:r>
            <w:r>
              <w:rPr>
                <w:rFonts w:hint="eastAsia" w:ascii="宋体" w:hAnsi="宋体" w:eastAsia="宋体" w:cs="宋体"/>
                <w:bCs/>
                <w:color w:val="auto"/>
                <w:spacing w:val="0"/>
                <w:sz w:val="24"/>
                <w:highlight w:val="none"/>
                <w:lang w:val="en-US" w:eastAsia="zh-CN" w:bidi="ar"/>
              </w:rPr>
              <w:t>处理。具体污染物排放信息见下表。</w:t>
            </w:r>
          </w:p>
          <w:p w14:paraId="6BC2E16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b/>
                <w:caps w:val="0"/>
                <w:color w:val="auto"/>
                <w:spacing w:val="0"/>
                <w:sz w:val="21"/>
                <w:szCs w:val="21"/>
                <w:highlight w:val="none"/>
              </w:rPr>
            </w:pPr>
            <w:r>
              <w:rPr>
                <w:rFonts w:hint="eastAsia" w:ascii="宋体" w:hAnsi="宋体" w:eastAsia="宋体" w:cs="宋体"/>
                <w:b/>
                <w:caps w:val="0"/>
                <w:color w:val="auto"/>
                <w:spacing w:val="0"/>
                <w:sz w:val="21"/>
                <w:szCs w:val="21"/>
                <w:highlight w:val="none"/>
                <w:lang w:val="en-US" w:eastAsia="zh-CN"/>
              </w:rPr>
              <w:t>表4-</w:t>
            </w:r>
            <w:r>
              <w:rPr>
                <w:rFonts w:hint="eastAsia" w:cs="宋体"/>
                <w:b/>
                <w:caps w:val="0"/>
                <w:color w:val="auto"/>
                <w:spacing w:val="0"/>
                <w:sz w:val="21"/>
                <w:szCs w:val="21"/>
                <w:highlight w:val="none"/>
                <w:lang w:val="en-US" w:eastAsia="zh-CN"/>
              </w:rPr>
              <w:t>9</w:t>
            </w:r>
            <w:r>
              <w:rPr>
                <w:rFonts w:hint="eastAsia" w:ascii="宋体" w:hAnsi="宋体" w:eastAsia="宋体" w:cs="宋体"/>
                <w:b/>
                <w:caps w:val="0"/>
                <w:color w:val="auto"/>
                <w:spacing w:val="0"/>
                <w:sz w:val="21"/>
                <w:szCs w:val="21"/>
                <w:highlight w:val="none"/>
                <w:lang w:val="en-GB" w:eastAsia="zh-CN"/>
              </w:rPr>
              <w:t>废水类别、污染物及污染治理设施信息表</w:t>
            </w:r>
          </w:p>
          <w:tbl>
            <w:tblPr>
              <w:tblStyle w:val="37"/>
              <w:tblW w:w="4990"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624"/>
              <w:gridCol w:w="706"/>
              <w:gridCol w:w="646"/>
              <w:gridCol w:w="668"/>
              <w:gridCol w:w="635"/>
              <w:gridCol w:w="607"/>
              <w:gridCol w:w="668"/>
              <w:gridCol w:w="696"/>
              <w:gridCol w:w="585"/>
              <w:gridCol w:w="767"/>
              <w:gridCol w:w="807"/>
            </w:tblGrid>
            <w:tr w14:paraId="7E6C1A12">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Merge w:val="restart"/>
                  <w:tcBorders>
                    <w:tl2br w:val="nil"/>
                    <w:tr2bl w:val="nil"/>
                  </w:tcBorders>
                  <w:noWrap w:val="0"/>
                  <w:vAlign w:val="center"/>
                </w:tcPr>
                <w:p w14:paraId="4171FA8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序号</w:t>
                  </w:r>
                </w:p>
              </w:tc>
              <w:tc>
                <w:tcPr>
                  <w:tcW w:w="398" w:type="pct"/>
                  <w:vMerge w:val="restart"/>
                  <w:tcBorders>
                    <w:tl2br w:val="nil"/>
                    <w:tr2bl w:val="nil"/>
                  </w:tcBorders>
                  <w:noWrap w:val="0"/>
                  <w:vAlign w:val="center"/>
                </w:tcPr>
                <w:p w14:paraId="6FC0A45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废水类别</w:t>
                  </w:r>
                </w:p>
              </w:tc>
              <w:tc>
                <w:tcPr>
                  <w:tcW w:w="450" w:type="pct"/>
                  <w:vMerge w:val="restart"/>
                  <w:tcBorders>
                    <w:tl2br w:val="nil"/>
                    <w:tr2bl w:val="nil"/>
                  </w:tcBorders>
                  <w:noWrap w:val="0"/>
                  <w:vAlign w:val="center"/>
                </w:tcPr>
                <w:p w14:paraId="788DE05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sz w:val="21"/>
                      <w:szCs w:val="21"/>
                      <w:highlight w:val="none"/>
                    </w:rPr>
                  </w:pPr>
                  <w:r>
                    <w:rPr>
                      <w:rFonts w:hint="eastAsia" w:ascii="宋体" w:hAnsi="宋体" w:eastAsia="宋体" w:cs="宋体"/>
                      <w:b/>
                      <w:bCs/>
                      <w:caps w:val="0"/>
                      <w:color w:val="auto"/>
                      <w:spacing w:val="0"/>
                      <w:sz w:val="21"/>
                      <w:szCs w:val="21"/>
                      <w:highlight w:val="none"/>
                    </w:rPr>
                    <w:t>污染物</w:t>
                  </w:r>
                </w:p>
                <w:p w14:paraId="64FFCF8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种类</w:t>
                  </w:r>
                </w:p>
              </w:tc>
              <w:tc>
                <w:tcPr>
                  <w:tcW w:w="412" w:type="pct"/>
                  <w:vMerge w:val="restart"/>
                  <w:tcBorders>
                    <w:tl2br w:val="nil"/>
                    <w:tr2bl w:val="nil"/>
                  </w:tcBorders>
                  <w:noWrap w:val="0"/>
                  <w:vAlign w:val="center"/>
                </w:tcPr>
                <w:p w14:paraId="214AA0C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排放去向</w:t>
                  </w:r>
                </w:p>
              </w:tc>
              <w:tc>
                <w:tcPr>
                  <w:tcW w:w="426" w:type="pct"/>
                  <w:vMerge w:val="restart"/>
                  <w:tcBorders>
                    <w:tl2br w:val="nil"/>
                    <w:tr2bl w:val="nil"/>
                  </w:tcBorders>
                  <w:noWrap w:val="0"/>
                  <w:vAlign w:val="center"/>
                </w:tcPr>
                <w:p w14:paraId="15EBA9F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排放规律</w:t>
                  </w:r>
                </w:p>
              </w:tc>
              <w:tc>
                <w:tcPr>
                  <w:tcW w:w="1218" w:type="pct"/>
                  <w:gridSpan w:val="3"/>
                  <w:tcBorders>
                    <w:tl2br w:val="nil"/>
                    <w:tr2bl w:val="nil"/>
                  </w:tcBorders>
                  <w:noWrap w:val="0"/>
                  <w:vAlign w:val="center"/>
                </w:tcPr>
                <w:p w14:paraId="06013F6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sz w:val="21"/>
                      <w:szCs w:val="21"/>
                      <w:highlight w:val="none"/>
                    </w:rPr>
                  </w:pPr>
                  <w:r>
                    <w:rPr>
                      <w:rFonts w:hint="eastAsia" w:ascii="宋体" w:hAnsi="宋体" w:eastAsia="宋体" w:cs="宋体"/>
                      <w:b/>
                      <w:bCs/>
                      <w:caps w:val="0"/>
                      <w:color w:val="auto"/>
                      <w:spacing w:val="0"/>
                      <w:sz w:val="21"/>
                      <w:szCs w:val="21"/>
                      <w:highlight w:val="none"/>
                    </w:rPr>
                    <w:t>污染治理设施</w:t>
                  </w:r>
                </w:p>
              </w:tc>
              <w:tc>
                <w:tcPr>
                  <w:tcW w:w="444" w:type="pct"/>
                  <w:vMerge w:val="restart"/>
                  <w:tcBorders>
                    <w:tl2br w:val="nil"/>
                    <w:tr2bl w:val="nil"/>
                  </w:tcBorders>
                  <w:noWrap w:val="0"/>
                  <w:vAlign w:val="center"/>
                </w:tcPr>
                <w:p w14:paraId="532B274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排放口编号</w:t>
                  </w:r>
                </w:p>
              </w:tc>
              <w:tc>
                <w:tcPr>
                  <w:tcW w:w="373" w:type="pct"/>
                  <w:vMerge w:val="restart"/>
                  <w:tcBorders>
                    <w:tl2br w:val="nil"/>
                    <w:tr2bl w:val="nil"/>
                  </w:tcBorders>
                  <w:noWrap w:val="0"/>
                  <w:vAlign w:val="center"/>
                </w:tcPr>
                <w:p w14:paraId="6FC39B3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
                      <w:bCs/>
                      <w:caps w:val="0"/>
                      <w:color w:val="auto"/>
                      <w:spacing w:val="0"/>
                      <w:sz w:val="21"/>
                      <w:szCs w:val="21"/>
                      <w:highlight w:val="none"/>
                      <w:lang w:val="en-US" w:eastAsia="zh-CN"/>
                    </w:rPr>
                  </w:pPr>
                  <w:r>
                    <w:rPr>
                      <w:rFonts w:hint="eastAsia" w:cs="宋体"/>
                      <w:b/>
                      <w:bCs/>
                      <w:caps w:val="0"/>
                      <w:color w:val="auto"/>
                      <w:spacing w:val="0"/>
                      <w:sz w:val="21"/>
                      <w:szCs w:val="21"/>
                      <w:highlight w:val="none"/>
                      <w:lang w:val="en-US" w:eastAsia="zh-CN"/>
                    </w:rPr>
                    <w:t>排放形式</w:t>
                  </w:r>
                </w:p>
              </w:tc>
              <w:tc>
                <w:tcPr>
                  <w:tcW w:w="489" w:type="pct"/>
                  <w:vMerge w:val="restart"/>
                  <w:tcBorders>
                    <w:tl2br w:val="nil"/>
                    <w:tr2bl w:val="nil"/>
                  </w:tcBorders>
                  <w:noWrap w:val="0"/>
                  <w:vAlign w:val="center"/>
                </w:tcPr>
                <w:p w14:paraId="00ADFF5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排放口设置是否符合要求</w:t>
                  </w:r>
                </w:p>
              </w:tc>
              <w:tc>
                <w:tcPr>
                  <w:tcW w:w="514" w:type="pct"/>
                  <w:vMerge w:val="restart"/>
                  <w:tcBorders>
                    <w:tl2br w:val="nil"/>
                    <w:tr2bl w:val="nil"/>
                  </w:tcBorders>
                  <w:noWrap w:val="0"/>
                  <w:vAlign w:val="center"/>
                </w:tcPr>
                <w:p w14:paraId="1F2EFEC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sz w:val="21"/>
                      <w:szCs w:val="21"/>
                      <w:highlight w:val="none"/>
                    </w:rPr>
                  </w:pPr>
                  <w:r>
                    <w:rPr>
                      <w:rFonts w:hint="eastAsia" w:ascii="宋体" w:hAnsi="宋体" w:eastAsia="宋体" w:cs="宋体"/>
                      <w:b/>
                      <w:bCs/>
                      <w:caps w:val="0"/>
                      <w:color w:val="auto"/>
                      <w:spacing w:val="0"/>
                      <w:sz w:val="21"/>
                      <w:szCs w:val="21"/>
                      <w:highlight w:val="none"/>
                    </w:rPr>
                    <w:t>排放口</w:t>
                  </w:r>
                </w:p>
                <w:p w14:paraId="6E85276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类型</w:t>
                  </w:r>
                </w:p>
              </w:tc>
            </w:tr>
            <w:tr w14:paraId="7DACDD47">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vMerge w:val="continue"/>
                  <w:tcBorders>
                    <w:tl2br w:val="nil"/>
                    <w:tr2bl w:val="nil"/>
                  </w:tcBorders>
                  <w:noWrap w:val="0"/>
                  <w:vAlign w:val="center"/>
                </w:tcPr>
                <w:p w14:paraId="718C02C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p>
              </w:tc>
              <w:tc>
                <w:tcPr>
                  <w:tcW w:w="398" w:type="pct"/>
                  <w:vMerge w:val="continue"/>
                  <w:tcBorders>
                    <w:tl2br w:val="nil"/>
                    <w:tr2bl w:val="nil"/>
                  </w:tcBorders>
                  <w:noWrap w:val="0"/>
                  <w:vAlign w:val="center"/>
                </w:tcPr>
                <w:p w14:paraId="3DE3FE0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p>
              </w:tc>
              <w:tc>
                <w:tcPr>
                  <w:tcW w:w="450" w:type="pct"/>
                  <w:vMerge w:val="continue"/>
                  <w:tcBorders>
                    <w:tl2br w:val="nil"/>
                    <w:tr2bl w:val="nil"/>
                  </w:tcBorders>
                  <w:noWrap w:val="0"/>
                  <w:vAlign w:val="center"/>
                </w:tcPr>
                <w:p w14:paraId="4A453B8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p>
              </w:tc>
              <w:tc>
                <w:tcPr>
                  <w:tcW w:w="412" w:type="pct"/>
                  <w:vMerge w:val="continue"/>
                  <w:tcBorders>
                    <w:tl2br w:val="nil"/>
                    <w:tr2bl w:val="nil"/>
                  </w:tcBorders>
                  <w:noWrap w:val="0"/>
                  <w:vAlign w:val="center"/>
                </w:tcPr>
                <w:p w14:paraId="4E92EAE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p>
              </w:tc>
              <w:tc>
                <w:tcPr>
                  <w:tcW w:w="426" w:type="pct"/>
                  <w:vMerge w:val="continue"/>
                  <w:tcBorders>
                    <w:tl2br w:val="nil"/>
                    <w:tr2bl w:val="nil"/>
                  </w:tcBorders>
                  <w:noWrap w:val="0"/>
                  <w:vAlign w:val="center"/>
                </w:tcPr>
                <w:p w14:paraId="3BF9441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p>
              </w:tc>
              <w:tc>
                <w:tcPr>
                  <w:tcW w:w="405" w:type="pct"/>
                  <w:tcBorders>
                    <w:tl2br w:val="nil"/>
                    <w:tr2bl w:val="nil"/>
                  </w:tcBorders>
                  <w:noWrap w:val="0"/>
                  <w:vAlign w:val="center"/>
                </w:tcPr>
                <w:p w14:paraId="3A4A44C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sz w:val="21"/>
                      <w:szCs w:val="21"/>
                      <w:highlight w:val="none"/>
                    </w:rPr>
                  </w:pPr>
                  <w:r>
                    <w:rPr>
                      <w:rFonts w:hint="eastAsia" w:ascii="宋体" w:hAnsi="宋体" w:eastAsia="宋体" w:cs="宋体"/>
                      <w:b/>
                      <w:bCs/>
                      <w:caps w:val="0"/>
                      <w:color w:val="auto"/>
                      <w:spacing w:val="0"/>
                      <w:sz w:val="21"/>
                      <w:szCs w:val="21"/>
                      <w:highlight w:val="none"/>
                    </w:rPr>
                    <w:t>污染治理设施</w:t>
                  </w:r>
                </w:p>
                <w:p w14:paraId="65EACC6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编号</w:t>
                  </w:r>
                </w:p>
              </w:tc>
              <w:tc>
                <w:tcPr>
                  <w:tcW w:w="387" w:type="pct"/>
                  <w:tcBorders>
                    <w:tl2br w:val="nil"/>
                    <w:tr2bl w:val="nil"/>
                  </w:tcBorders>
                  <w:noWrap w:val="0"/>
                  <w:vAlign w:val="center"/>
                </w:tcPr>
                <w:p w14:paraId="6E330A5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sz w:val="21"/>
                      <w:szCs w:val="21"/>
                      <w:highlight w:val="none"/>
                    </w:rPr>
                  </w:pPr>
                  <w:r>
                    <w:rPr>
                      <w:rFonts w:hint="eastAsia" w:ascii="宋体" w:hAnsi="宋体" w:eastAsia="宋体" w:cs="宋体"/>
                      <w:b/>
                      <w:bCs/>
                      <w:caps w:val="0"/>
                      <w:color w:val="auto"/>
                      <w:spacing w:val="0"/>
                      <w:sz w:val="21"/>
                      <w:szCs w:val="21"/>
                      <w:highlight w:val="none"/>
                    </w:rPr>
                    <w:t>污染治理设施</w:t>
                  </w:r>
                </w:p>
                <w:p w14:paraId="34741CE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名称</w:t>
                  </w:r>
                </w:p>
              </w:tc>
              <w:tc>
                <w:tcPr>
                  <w:tcW w:w="426" w:type="pct"/>
                  <w:tcBorders>
                    <w:tl2br w:val="nil"/>
                    <w:tr2bl w:val="nil"/>
                  </w:tcBorders>
                  <w:noWrap w:val="0"/>
                  <w:vAlign w:val="center"/>
                </w:tcPr>
                <w:p w14:paraId="1765C47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污染治理设施工艺</w:t>
                  </w:r>
                </w:p>
              </w:tc>
              <w:tc>
                <w:tcPr>
                  <w:tcW w:w="444" w:type="pct"/>
                  <w:vMerge w:val="continue"/>
                  <w:tcBorders>
                    <w:tl2br w:val="nil"/>
                    <w:tr2bl w:val="nil"/>
                  </w:tcBorders>
                  <w:noWrap w:val="0"/>
                  <w:vAlign w:val="center"/>
                </w:tcPr>
                <w:p w14:paraId="73D5F81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p>
              </w:tc>
              <w:tc>
                <w:tcPr>
                  <w:tcW w:w="373" w:type="pct"/>
                  <w:vMerge w:val="continue"/>
                  <w:tcBorders>
                    <w:tl2br w:val="nil"/>
                    <w:tr2bl w:val="nil"/>
                  </w:tcBorders>
                  <w:noWrap w:val="0"/>
                  <w:vAlign w:val="center"/>
                </w:tcPr>
                <w:p w14:paraId="4D65FBF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p>
              </w:tc>
              <w:tc>
                <w:tcPr>
                  <w:tcW w:w="489" w:type="pct"/>
                  <w:vMerge w:val="continue"/>
                  <w:tcBorders>
                    <w:tl2br w:val="nil"/>
                    <w:tr2bl w:val="nil"/>
                  </w:tcBorders>
                  <w:noWrap w:val="0"/>
                  <w:vAlign w:val="center"/>
                </w:tcPr>
                <w:p w14:paraId="2F5E72F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p>
              </w:tc>
              <w:tc>
                <w:tcPr>
                  <w:tcW w:w="514" w:type="pct"/>
                  <w:vMerge w:val="continue"/>
                  <w:tcBorders>
                    <w:tl2br w:val="nil"/>
                    <w:tr2bl w:val="nil"/>
                  </w:tcBorders>
                  <w:noWrap w:val="0"/>
                  <w:vAlign w:val="center"/>
                </w:tcPr>
                <w:p w14:paraId="6A6AE38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p>
              </w:tc>
            </w:tr>
            <w:tr w14:paraId="3AA4C751">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2" w:type="pct"/>
                  <w:tcBorders>
                    <w:tl2br w:val="nil"/>
                    <w:tr2bl w:val="nil"/>
                  </w:tcBorders>
                  <w:noWrap w:val="0"/>
                  <w:vAlign w:val="center"/>
                </w:tcPr>
                <w:p w14:paraId="64A3BC0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sz w:val="21"/>
                      <w:szCs w:val="21"/>
                      <w:highlight w:val="none"/>
                    </w:rPr>
                  </w:pPr>
                  <w:r>
                    <w:rPr>
                      <w:rFonts w:hint="eastAsia" w:ascii="宋体" w:hAnsi="宋体" w:eastAsia="宋体" w:cs="宋体"/>
                      <w:caps w:val="0"/>
                      <w:color w:val="auto"/>
                      <w:spacing w:val="0"/>
                      <w:sz w:val="21"/>
                      <w:szCs w:val="21"/>
                      <w:highlight w:val="none"/>
                    </w:rPr>
                    <w:t>1</w:t>
                  </w:r>
                </w:p>
              </w:tc>
              <w:tc>
                <w:tcPr>
                  <w:tcW w:w="398" w:type="pct"/>
                  <w:tcBorders>
                    <w:tl2br w:val="nil"/>
                    <w:tr2bl w:val="nil"/>
                  </w:tcBorders>
                  <w:noWrap w:val="0"/>
                  <w:vAlign w:val="center"/>
                </w:tcPr>
                <w:p w14:paraId="6850370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aps w:val="0"/>
                      <w:color w:val="auto"/>
                      <w:spacing w:val="0"/>
                      <w:sz w:val="21"/>
                      <w:szCs w:val="21"/>
                      <w:highlight w:val="none"/>
                      <w:lang w:val="en-US" w:eastAsia="zh-CN"/>
                    </w:rPr>
                  </w:pPr>
                  <w:r>
                    <w:rPr>
                      <w:rFonts w:hint="eastAsia" w:cs="宋体"/>
                      <w:caps w:val="0"/>
                      <w:color w:val="auto"/>
                      <w:spacing w:val="0"/>
                      <w:sz w:val="21"/>
                      <w:szCs w:val="21"/>
                      <w:highlight w:val="none"/>
                      <w:lang w:val="en-US" w:eastAsia="zh-CN"/>
                    </w:rPr>
                    <w:t>锅炉排污水+软水制备废水+离子交换树脂再生水</w:t>
                  </w:r>
                </w:p>
              </w:tc>
              <w:tc>
                <w:tcPr>
                  <w:tcW w:w="450" w:type="pct"/>
                  <w:tcBorders>
                    <w:tl2br w:val="nil"/>
                    <w:tr2bl w:val="nil"/>
                  </w:tcBorders>
                  <w:noWrap w:val="0"/>
                  <w:vAlign w:val="center"/>
                </w:tcPr>
                <w:p w14:paraId="4D3858F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kern w:val="0"/>
                      <w:sz w:val="21"/>
                      <w:szCs w:val="21"/>
                      <w:highlight w:val="none"/>
                    </w:rPr>
                  </w:pPr>
                  <w:r>
                    <w:rPr>
                      <w:rFonts w:hint="eastAsia" w:ascii="宋体" w:hAnsi="宋体" w:eastAsia="宋体" w:cs="宋体"/>
                      <w:caps w:val="0"/>
                      <w:color w:val="auto"/>
                      <w:spacing w:val="0"/>
                      <w:kern w:val="0"/>
                      <w:sz w:val="21"/>
                      <w:szCs w:val="21"/>
                      <w:highlight w:val="none"/>
                    </w:rPr>
                    <w:t>SS</w:t>
                  </w:r>
                </w:p>
                <w:p w14:paraId="49E49CD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kern w:val="0"/>
                      <w:sz w:val="21"/>
                      <w:szCs w:val="21"/>
                      <w:highlight w:val="none"/>
                      <w:vertAlign w:val="subscript"/>
                    </w:rPr>
                  </w:pPr>
                  <w:r>
                    <w:rPr>
                      <w:rFonts w:hint="eastAsia" w:ascii="宋体" w:hAnsi="宋体" w:eastAsia="宋体" w:cs="宋体"/>
                      <w:caps w:val="0"/>
                      <w:color w:val="auto"/>
                      <w:spacing w:val="0"/>
                      <w:kern w:val="0"/>
                      <w:sz w:val="21"/>
                      <w:szCs w:val="21"/>
                      <w:highlight w:val="none"/>
                    </w:rPr>
                    <w:t>COD</w:t>
                  </w:r>
                  <w:r>
                    <w:rPr>
                      <w:rFonts w:hint="eastAsia" w:ascii="宋体" w:hAnsi="宋体" w:eastAsia="宋体" w:cs="宋体"/>
                      <w:caps w:val="0"/>
                      <w:color w:val="auto"/>
                      <w:spacing w:val="0"/>
                      <w:kern w:val="0"/>
                      <w:sz w:val="21"/>
                      <w:szCs w:val="21"/>
                      <w:highlight w:val="none"/>
                      <w:vertAlign w:val="subscript"/>
                    </w:rPr>
                    <w:t>Cr</w:t>
                  </w:r>
                </w:p>
                <w:p w14:paraId="76A042E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kern w:val="2"/>
                      <w:sz w:val="21"/>
                      <w:szCs w:val="21"/>
                      <w:highlight w:val="none"/>
                      <w:lang w:val="en-US" w:eastAsia="zh-CN" w:bidi="ar-SA"/>
                    </w:rPr>
                  </w:pPr>
                  <w:r>
                    <w:rPr>
                      <w:rFonts w:hint="eastAsia" w:ascii="宋体" w:hAnsi="宋体" w:eastAsia="宋体" w:cs="宋体"/>
                      <w:caps w:val="0"/>
                      <w:color w:val="auto"/>
                      <w:spacing w:val="0"/>
                      <w:kern w:val="2"/>
                      <w:sz w:val="21"/>
                      <w:szCs w:val="21"/>
                      <w:highlight w:val="none"/>
                      <w:lang w:val="en-US" w:eastAsia="zh-CN" w:bidi="ar-SA"/>
                    </w:rPr>
                    <w:t>TDS</w:t>
                  </w:r>
                </w:p>
                <w:p w14:paraId="39D2DC1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highlight w:val="none"/>
                      <w:lang w:val="en-US" w:eastAsia="zh-CN"/>
                    </w:rPr>
                  </w:pPr>
                  <w:r>
                    <w:rPr>
                      <w:rFonts w:hint="eastAsia" w:cs="宋体"/>
                      <w:caps w:val="0"/>
                      <w:color w:val="auto"/>
                      <w:spacing w:val="0"/>
                      <w:kern w:val="2"/>
                      <w:sz w:val="21"/>
                      <w:szCs w:val="21"/>
                      <w:highlight w:val="none"/>
                      <w:lang w:val="en-US" w:eastAsia="zh-CN" w:bidi="ar-SA"/>
                    </w:rPr>
                    <w:t>Na</w:t>
                  </w:r>
                  <w:r>
                    <w:rPr>
                      <w:rFonts w:hint="eastAsia" w:cs="宋体"/>
                      <w:caps w:val="0"/>
                      <w:color w:val="auto"/>
                      <w:spacing w:val="0"/>
                      <w:kern w:val="2"/>
                      <w:sz w:val="21"/>
                      <w:szCs w:val="21"/>
                      <w:highlight w:val="none"/>
                      <w:vertAlign w:val="superscript"/>
                      <w:lang w:val="en-US" w:eastAsia="zh-CN" w:bidi="ar-SA"/>
                    </w:rPr>
                    <w:t>+</w:t>
                  </w:r>
                </w:p>
              </w:tc>
              <w:tc>
                <w:tcPr>
                  <w:tcW w:w="412" w:type="pct"/>
                  <w:tcBorders>
                    <w:tl2br w:val="nil"/>
                    <w:tr2bl w:val="nil"/>
                  </w:tcBorders>
                  <w:noWrap w:val="0"/>
                  <w:vAlign w:val="center"/>
                </w:tcPr>
                <w:p w14:paraId="41D729A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sz w:val="21"/>
                      <w:szCs w:val="21"/>
                      <w:highlight w:val="none"/>
                    </w:rPr>
                  </w:pPr>
                  <w:r>
                    <w:rPr>
                      <w:rFonts w:hint="eastAsia" w:ascii="宋体" w:hAnsi="宋体" w:eastAsia="宋体" w:cs="宋体"/>
                      <w:caps w:val="0"/>
                      <w:color w:val="auto"/>
                      <w:spacing w:val="0"/>
                      <w:sz w:val="21"/>
                      <w:szCs w:val="21"/>
                      <w:highlight w:val="none"/>
                    </w:rPr>
                    <w:t>进入</w:t>
                  </w:r>
                  <w:r>
                    <w:rPr>
                      <w:rFonts w:hint="eastAsia" w:cs="宋体"/>
                      <w:caps w:val="0"/>
                      <w:color w:val="auto"/>
                      <w:spacing w:val="0"/>
                      <w:sz w:val="21"/>
                      <w:szCs w:val="21"/>
                      <w:highlight w:val="none"/>
                      <w:lang w:val="en-US" w:eastAsia="zh-CN"/>
                    </w:rPr>
                    <w:t>梨树工业谷污水处理厂</w:t>
                  </w:r>
                </w:p>
              </w:tc>
              <w:tc>
                <w:tcPr>
                  <w:tcW w:w="426" w:type="pct"/>
                  <w:tcBorders>
                    <w:tl2br w:val="nil"/>
                    <w:tr2bl w:val="nil"/>
                  </w:tcBorders>
                  <w:noWrap w:val="0"/>
                  <w:vAlign w:val="center"/>
                </w:tcPr>
                <w:p w14:paraId="5A5A836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sz w:val="21"/>
                      <w:szCs w:val="21"/>
                      <w:highlight w:val="none"/>
                    </w:rPr>
                  </w:pPr>
                  <w:r>
                    <w:rPr>
                      <w:rFonts w:hint="eastAsia" w:ascii="宋体" w:hAnsi="宋体" w:eastAsia="宋体" w:cs="宋体"/>
                      <w:caps w:val="0"/>
                      <w:color w:val="auto"/>
                      <w:spacing w:val="0"/>
                      <w:sz w:val="21"/>
                      <w:szCs w:val="21"/>
                      <w:highlight w:val="none"/>
                    </w:rPr>
                    <w:t>间断排放，排放期间流量不稳定，但有周期性规律</w:t>
                  </w:r>
                </w:p>
              </w:tc>
              <w:tc>
                <w:tcPr>
                  <w:tcW w:w="405" w:type="pct"/>
                  <w:tcBorders>
                    <w:tl2br w:val="nil"/>
                    <w:tr2bl w:val="nil"/>
                  </w:tcBorders>
                  <w:noWrap w:val="0"/>
                  <w:vAlign w:val="center"/>
                </w:tcPr>
                <w:p w14:paraId="4BA4AC2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sz w:val="21"/>
                      <w:szCs w:val="21"/>
                      <w:highlight w:val="none"/>
                    </w:rPr>
                  </w:pPr>
                  <w:r>
                    <w:rPr>
                      <w:rFonts w:hint="eastAsia" w:ascii="宋体" w:hAnsi="宋体" w:eastAsia="宋体" w:cs="宋体"/>
                      <w:caps w:val="0"/>
                      <w:color w:val="auto"/>
                      <w:spacing w:val="0"/>
                      <w:sz w:val="21"/>
                      <w:szCs w:val="21"/>
                      <w:highlight w:val="none"/>
                    </w:rPr>
                    <w:t>/</w:t>
                  </w:r>
                </w:p>
              </w:tc>
              <w:tc>
                <w:tcPr>
                  <w:tcW w:w="387" w:type="pct"/>
                  <w:tcBorders>
                    <w:tl2br w:val="nil"/>
                    <w:tr2bl w:val="nil"/>
                  </w:tcBorders>
                  <w:noWrap w:val="0"/>
                  <w:vAlign w:val="center"/>
                </w:tcPr>
                <w:p w14:paraId="03034DA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sz w:val="21"/>
                      <w:szCs w:val="21"/>
                      <w:highlight w:val="none"/>
                    </w:rPr>
                  </w:pPr>
                  <w:r>
                    <w:rPr>
                      <w:rFonts w:hint="eastAsia" w:ascii="宋体" w:hAnsi="宋体" w:eastAsia="宋体" w:cs="宋体"/>
                      <w:caps w:val="0"/>
                      <w:color w:val="auto"/>
                      <w:spacing w:val="0"/>
                      <w:sz w:val="21"/>
                      <w:szCs w:val="21"/>
                      <w:highlight w:val="none"/>
                    </w:rPr>
                    <w:t>/</w:t>
                  </w:r>
                </w:p>
              </w:tc>
              <w:tc>
                <w:tcPr>
                  <w:tcW w:w="426" w:type="pct"/>
                  <w:tcBorders>
                    <w:tl2br w:val="nil"/>
                    <w:tr2bl w:val="nil"/>
                  </w:tcBorders>
                  <w:noWrap w:val="0"/>
                  <w:vAlign w:val="center"/>
                </w:tcPr>
                <w:p w14:paraId="4FD1CE6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sz w:val="21"/>
                      <w:szCs w:val="21"/>
                      <w:highlight w:val="none"/>
                    </w:rPr>
                  </w:pPr>
                  <w:r>
                    <w:rPr>
                      <w:rFonts w:hint="eastAsia" w:ascii="宋体" w:hAnsi="宋体" w:eastAsia="宋体" w:cs="宋体"/>
                      <w:caps w:val="0"/>
                      <w:color w:val="auto"/>
                      <w:spacing w:val="0"/>
                      <w:sz w:val="21"/>
                      <w:szCs w:val="21"/>
                      <w:highlight w:val="none"/>
                    </w:rPr>
                    <w:t>/</w:t>
                  </w:r>
                </w:p>
              </w:tc>
              <w:tc>
                <w:tcPr>
                  <w:tcW w:w="444" w:type="pct"/>
                  <w:tcBorders>
                    <w:tl2br w:val="nil"/>
                    <w:tr2bl w:val="nil"/>
                  </w:tcBorders>
                  <w:noWrap w:val="0"/>
                  <w:vAlign w:val="center"/>
                </w:tcPr>
                <w:p w14:paraId="6FF8EF9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sz w:val="21"/>
                      <w:szCs w:val="21"/>
                      <w:highlight w:val="none"/>
                    </w:rPr>
                  </w:pPr>
                  <w:r>
                    <w:rPr>
                      <w:rFonts w:hint="eastAsia" w:ascii="宋体" w:hAnsi="宋体" w:eastAsia="宋体" w:cs="宋体"/>
                      <w:caps w:val="0"/>
                      <w:color w:val="auto"/>
                      <w:spacing w:val="0"/>
                      <w:sz w:val="21"/>
                      <w:szCs w:val="21"/>
                      <w:highlight w:val="none"/>
                      <w:lang w:val="en-US" w:eastAsia="zh-CN"/>
                    </w:rPr>
                    <w:t>W1</w:t>
                  </w:r>
                </w:p>
              </w:tc>
              <w:tc>
                <w:tcPr>
                  <w:tcW w:w="373" w:type="pct"/>
                  <w:tcBorders>
                    <w:tl2br w:val="nil"/>
                    <w:tr2bl w:val="nil"/>
                  </w:tcBorders>
                  <w:noWrap w:val="0"/>
                  <w:vAlign w:val="center"/>
                </w:tcPr>
                <w:p w14:paraId="4AEA759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aps w:val="0"/>
                      <w:color w:val="auto"/>
                      <w:spacing w:val="0"/>
                      <w:sz w:val="21"/>
                      <w:szCs w:val="21"/>
                      <w:highlight w:val="none"/>
                      <w:lang w:val="en-US" w:eastAsia="zh-CN"/>
                    </w:rPr>
                  </w:pPr>
                  <w:r>
                    <w:rPr>
                      <w:rFonts w:hint="eastAsia" w:cs="宋体"/>
                      <w:caps w:val="0"/>
                      <w:color w:val="auto"/>
                      <w:spacing w:val="0"/>
                      <w:sz w:val="21"/>
                      <w:szCs w:val="21"/>
                      <w:highlight w:val="none"/>
                      <w:lang w:val="en-US" w:eastAsia="zh-CN"/>
                    </w:rPr>
                    <w:t>间接排放</w:t>
                  </w:r>
                </w:p>
              </w:tc>
              <w:tc>
                <w:tcPr>
                  <w:tcW w:w="489" w:type="pct"/>
                  <w:tcBorders>
                    <w:tl2br w:val="nil"/>
                    <w:tr2bl w:val="nil"/>
                  </w:tcBorders>
                  <w:noWrap w:val="0"/>
                  <w:vAlign w:val="center"/>
                </w:tcPr>
                <w:p w14:paraId="56CCE69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snapToGrid w:val="0"/>
                      <w:color w:val="auto"/>
                      <w:spacing w:val="0"/>
                      <w:kern w:val="20"/>
                      <w:sz w:val="21"/>
                      <w:szCs w:val="21"/>
                      <w:highlight w:val="none"/>
                    </w:rPr>
                  </w:pPr>
                  <w:r>
                    <w:rPr>
                      <w:rFonts w:hint="eastAsia" w:ascii="宋体" w:hAnsi="宋体" w:eastAsia="宋体" w:cs="宋体"/>
                      <w:caps w:val="0"/>
                      <w:color w:val="auto"/>
                      <w:spacing w:val="0"/>
                      <w:sz w:val="21"/>
                      <w:szCs w:val="21"/>
                      <w:highlight w:val="none"/>
                    </w:rPr>
                    <w:sym w:font="Wingdings 2" w:char="F052"/>
                  </w:r>
                  <w:r>
                    <w:rPr>
                      <w:rFonts w:hint="eastAsia" w:ascii="宋体" w:hAnsi="宋体" w:eastAsia="宋体" w:cs="宋体"/>
                      <w:caps w:val="0"/>
                      <w:color w:val="auto"/>
                      <w:spacing w:val="0"/>
                      <w:sz w:val="21"/>
                      <w:szCs w:val="21"/>
                      <w:highlight w:val="none"/>
                    </w:rPr>
                    <w:t>是</w:t>
                  </w:r>
                </w:p>
                <w:p w14:paraId="2D3929C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aps w:val="0"/>
                      <w:color w:val="auto"/>
                      <w:spacing w:val="0"/>
                      <w:sz w:val="21"/>
                      <w:szCs w:val="21"/>
                      <w:highlight w:val="none"/>
                    </w:rPr>
                  </w:pPr>
                  <w:r>
                    <w:rPr>
                      <w:rFonts w:hint="eastAsia" w:ascii="宋体" w:hAnsi="宋体" w:eastAsia="宋体" w:cs="宋体"/>
                      <w:caps w:val="0"/>
                      <w:color w:val="auto"/>
                      <w:spacing w:val="0"/>
                      <w:sz w:val="21"/>
                      <w:szCs w:val="21"/>
                      <w:highlight w:val="none"/>
                    </w:rPr>
                    <w:t>□否</w:t>
                  </w:r>
                </w:p>
              </w:tc>
              <w:tc>
                <w:tcPr>
                  <w:tcW w:w="514" w:type="pct"/>
                  <w:tcBorders>
                    <w:tl2br w:val="nil"/>
                    <w:tr2bl w:val="nil"/>
                  </w:tcBorders>
                  <w:noWrap w:val="0"/>
                  <w:vAlign w:val="center"/>
                </w:tcPr>
                <w:p w14:paraId="3A89791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snapToGrid w:val="0"/>
                      <w:color w:val="auto"/>
                      <w:spacing w:val="0"/>
                      <w:kern w:val="20"/>
                      <w:sz w:val="21"/>
                      <w:szCs w:val="21"/>
                      <w:highlight w:val="none"/>
                    </w:rPr>
                  </w:pPr>
                  <w:r>
                    <w:rPr>
                      <w:rFonts w:hint="eastAsia" w:ascii="宋体" w:hAnsi="宋体" w:eastAsia="宋体" w:cs="宋体"/>
                      <w:caps w:val="0"/>
                      <w:color w:val="auto"/>
                      <w:spacing w:val="0"/>
                      <w:sz w:val="21"/>
                      <w:szCs w:val="21"/>
                      <w:highlight w:val="none"/>
                    </w:rPr>
                    <w:sym w:font="Wingdings 2" w:char="F052"/>
                  </w:r>
                  <w:r>
                    <w:rPr>
                      <w:rFonts w:hint="eastAsia" w:ascii="宋体" w:hAnsi="宋体" w:eastAsia="宋体" w:cs="宋体"/>
                      <w:caps w:val="0"/>
                      <w:color w:val="auto"/>
                      <w:spacing w:val="0"/>
                      <w:sz w:val="21"/>
                      <w:szCs w:val="21"/>
                      <w:highlight w:val="none"/>
                    </w:rPr>
                    <w:t>企业总排</w:t>
                  </w:r>
                </w:p>
                <w:p w14:paraId="2B53735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sz w:val="21"/>
                      <w:szCs w:val="21"/>
                      <w:highlight w:val="none"/>
                    </w:rPr>
                  </w:pPr>
                  <w:r>
                    <w:rPr>
                      <w:rFonts w:hint="eastAsia" w:ascii="宋体" w:hAnsi="宋体" w:eastAsia="宋体" w:cs="宋体"/>
                      <w:caps w:val="0"/>
                      <w:color w:val="auto"/>
                      <w:spacing w:val="0"/>
                      <w:sz w:val="21"/>
                      <w:szCs w:val="21"/>
                      <w:highlight w:val="none"/>
                    </w:rPr>
                    <w:t>□雨水排放</w:t>
                  </w:r>
                </w:p>
                <w:p w14:paraId="3ADF07C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sz w:val="21"/>
                      <w:szCs w:val="21"/>
                      <w:highlight w:val="none"/>
                    </w:rPr>
                  </w:pPr>
                  <w:r>
                    <w:rPr>
                      <w:rFonts w:hint="eastAsia" w:ascii="宋体" w:hAnsi="宋体" w:eastAsia="宋体" w:cs="宋体"/>
                      <w:caps w:val="0"/>
                      <w:color w:val="auto"/>
                      <w:spacing w:val="0"/>
                      <w:sz w:val="21"/>
                      <w:szCs w:val="21"/>
                      <w:highlight w:val="none"/>
                    </w:rPr>
                    <w:t>□清净下水排放</w:t>
                  </w:r>
                </w:p>
                <w:p w14:paraId="32E7E4B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sz w:val="21"/>
                      <w:szCs w:val="21"/>
                      <w:highlight w:val="none"/>
                    </w:rPr>
                  </w:pPr>
                  <w:r>
                    <w:rPr>
                      <w:rFonts w:hint="eastAsia" w:ascii="宋体" w:hAnsi="宋体" w:eastAsia="宋体" w:cs="宋体"/>
                      <w:caps w:val="0"/>
                      <w:color w:val="auto"/>
                      <w:spacing w:val="0"/>
                      <w:sz w:val="21"/>
                      <w:szCs w:val="21"/>
                      <w:highlight w:val="none"/>
                    </w:rPr>
                    <w:t>□温排水排放</w:t>
                  </w:r>
                </w:p>
                <w:p w14:paraId="68B39D8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aps w:val="0"/>
                      <w:color w:val="auto"/>
                      <w:spacing w:val="0"/>
                      <w:sz w:val="21"/>
                      <w:szCs w:val="21"/>
                      <w:highlight w:val="none"/>
                    </w:rPr>
                  </w:pPr>
                  <w:r>
                    <w:rPr>
                      <w:rFonts w:hint="eastAsia" w:ascii="宋体" w:hAnsi="宋体" w:eastAsia="宋体" w:cs="宋体"/>
                      <w:caps w:val="0"/>
                      <w:color w:val="auto"/>
                      <w:spacing w:val="0"/>
                      <w:sz w:val="21"/>
                      <w:szCs w:val="21"/>
                      <w:highlight w:val="none"/>
                    </w:rPr>
                    <w:t>□车间或车间处理设施排放口</w:t>
                  </w:r>
                </w:p>
              </w:tc>
            </w:tr>
          </w:tbl>
          <w:p w14:paraId="77CB8108">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s="宋体"/>
                <w:b/>
                <w:color w:val="auto"/>
                <w:spacing w:val="0"/>
                <w:sz w:val="24"/>
                <w:highlight w:val="none"/>
                <w:lang w:bidi="ar"/>
              </w:rPr>
            </w:pPr>
            <w:r>
              <w:rPr>
                <w:rFonts w:hint="eastAsia" w:ascii="宋体" w:hAnsi="宋体" w:eastAsia="宋体" w:cs="宋体"/>
                <w:bCs/>
                <w:color w:val="auto"/>
                <w:spacing w:val="0"/>
                <w:sz w:val="24"/>
                <w:highlight w:val="none"/>
                <w:lang w:bidi="ar"/>
              </w:rPr>
              <w:t>废水排放口情况如下：</w:t>
            </w:r>
          </w:p>
          <w:p w14:paraId="25BE05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r>
              <w:rPr>
                <w:rFonts w:hint="eastAsia" w:ascii="宋体" w:hAnsi="宋体" w:eastAsia="宋体" w:cs="宋体"/>
                <w:b/>
                <w:color w:val="auto"/>
                <w:spacing w:val="0"/>
                <w:sz w:val="21"/>
                <w:szCs w:val="21"/>
                <w:highlight w:val="none"/>
                <w:lang w:bidi="ar"/>
              </w:rPr>
              <w:t>表</w:t>
            </w:r>
            <w:r>
              <w:rPr>
                <w:rFonts w:hint="eastAsia" w:ascii="宋体" w:hAnsi="宋体" w:eastAsia="宋体" w:cs="宋体"/>
                <w:b/>
                <w:color w:val="auto"/>
                <w:spacing w:val="0"/>
                <w:sz w:val="21"/>
                <w:szCs w:val="21"/>
                <w:highlight w:val="none"/>
                <w:lang w:val="en-US" w:eastAsia="zh-CN" w:bidi="ar"/>
              </w:rPr>
              <w:t>4-</w:t>
            </w:r>
            <w:r>
              <w:rPr>
                <w:rFonts w:hint="eastAsia" w:cs="宋体"/>
                <w:b/>
                <w:color w:val="auto"/>
                <w:spacing w:val="0"/>
                <w:sz w:val="21"/>
                <w:szCs w:val="21"/>
                <w:highlight w:val="none"/>
                <w:lang w:val="en-US" w:eastAsia="zh-CN" w:bidi="ar"/>
              </w:rPr>
              <w:t>10</w:t>
            </w:r>
            <w:r>
              <w:rPr>
                <w:rFonts w:hint="eastAsia" w:ascii="宋体" w:hAnsi="宋体" w:eastAsia="宋体" w:cs="宋体"/>
                <w:b/>
                <w:color w:val="auto"/>
                <w:spacing w:val="0"/>
                <w:sz w:val="21"/>
                <w:szCs w:val="21"/>
                <w:highlight w:val="none"/>
                <w:lang w:val="en-US" w:eastAsia="zh-CN" w:bidi="ar"/>
              </w:rPr>
              <w:t xml:space="preserve"> </w:t>
            </w:r>
            <w:r>
              <w:rPr>
                <w:rFonts w:hint="eastAsia" w:ascii="宋体" w:hAnsi="宋体" w:eastAsia="宋体" w:cs="宋体"/>
                <w:b/>
                <w:color w:val="auto"/>
                <w:spacing w:val="0"/>
                <w:sz w:val="21"/>
                <w:szCs w:val="21"/>
                <w:highlight w:val="none"/>
                <w:lang w:bidi="ar"/>
              </w:rPr>
              <w:t>废水排放口基本情况一览表</w:t>
            </w:r>
          </w:p>
          <w:tbl>
            <w:tblPr>
              <w:tblStyle w:val="37"/>
              <w:tblW w:w="5000"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1264"/>
              <w:gridCol w:w="1324"/>
              <w:gridCol w:w="1532"/>
              <w:gridCol w:w="1041"/>
              <w:gridCol w:w="820"/>
              <w:gridCol w:w="1031"/>
            </w:tblGrid>
            <w:tr w14:paraId="14064D83">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158" w:type="pct"/>
                  <w:gridSpan w:val="4"/>
                  <w:tcBorders>
                    <w:tl2br w:val="nil"/>
                    <w:tr2bl w:val="nil"/>
                  </w:tcBorders>
                  <w:noWrap w:val="0"/>
                  <w:vAlign w:val="center"/>
                </w:tcPr>
                <w:p w14:paraId="3F3649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r>
                    <w:rPr>
                      <w:rFonts w:hint="eastAsia" w:ascii="宋体" w:hAnsi="宋体" w:eastAsia="宋体" w:cs="宋体"/>
                      <w:b/>
                      <w:color w:val="auto"/>
                      <w:spacing w:val="0"/>
                      <w:sz w:val="21"/>
                      <w:szCs w:val="21"/>
                      <w:highlight w:val="none"/>
                      <w:lang w:bidi="ar"/>
                    </w:rPr>
                    <w:t>排放口基本情况</w:t>
                  </w:r>
                </w:p>
              </w:tc>
              <w:tc>
                <w:tcPr>
                  <w:tcW w:w="663" w:type="pct"/>
                  <w:vMerge w:val="restart"/>
                  <w:tcBorders>
                    <w:tl2br w:val="nil"/>
                    <w:tr2bl w:val="nil"/>
                  </w:tcBorders>
                  <w:noWrap w:val="0"/>
                  <w:vAlign w:val="center"/>
                </w:tcPr>
                <w:p w14:paraId="417CCA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r>
                    <w:rPr>
                      <w:rFonts w:hint="eastAsia" w:ascii="宋体" w:hAnsi="宋体" w:eastAsia="宋体" w:cs="宋体"/>
                      <w:b/>
                      <w:color w:val="auto"/>
                      <w:spacing w:val="0"/>
                      <w:sz w:val="21"/>
                      <w:szCs w:val="21"/>
                      <w:highlight w:val="none"/>
                      <w:lang w:bidi="ar"/>
                    </w:rPr>
                    <w:t>污染物种类</w:t>
                  </w:r>
                </w:p>
              </w:tc>
              <w:tc>
                <w:tcPr>
                  <w:tcW w:w="522" w:type="pct"/>
                  <w:vMerge w:val="restart"/>
                  <w:tcBorders>
                    <w:tl2br w:val="nil"/>
                    <w:tr2bl w:val="nil"/>
                  </w:tcBorders>
                  <w:noWrap w:val="0"/>
                  <w:vAlign w:val="center"/>
                </w:tcPr>
                <w:p w14:paraId="39B646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r>
                    <w:rPr>
                      <w:rFonts w:hint="eastAsia" w:ascii="宋体" w:hAnsi="宋体" w:eastAsia="宋体" w:cs="宋体"/>
                      <w:b/>
                      <w:color w:val="auto"/>
                      <w:spacing w:val="0"/>
                      <w:sz w:val="21"/>
                      <w:szCs w:val="21"/>
                      <w:highlight w:val="none"/>
                      <w:lang w:bidi="ar"/>
                    </w:rPr>
                    <w:t>排放标准</w:t>
                  </w:r>
                </w:p>
              </w:tc>
              <w:tc>
                <w:tcPr>
                  <w:tcW w:w="656" w:type="pct"/>
                  <w:vMerge w:val="restart"/>
                  <w:tcBorders>
                    <w:tl2br w:val="nil"/>
                    <w:tr2bl w:val="nil"/>
                  </w:tcBorders>
                  <w:noWrap w:val="0"/>
                  <w:vAlign w:val="center"/>
                </w:tcPr>
                <w:p w14:paraId="434669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val="en-US" w:eastAsia="zh-CN" w:bidi="ar"/>
                    </w:rPr>
                  </w:pPr>
                  <w:r>
                    <w:rPr>
                      <w:rFonts w:hint="eastAsia" w:cs="宋体"/>
                      <w:b/>
                      <w:color w:val="auto"/>
                      <w:spacing w:val="0"/>
                      <w:sz w:val="21"/>
                      <w:szCs w:val="21"/>
                      <w:highlight w:val="none"/>
                      <w:lang w:val="en-US" w:eastAsia="zh-CN" w:bidi="ar"/>
                    </w:rPr>
                    <w:t>梨树工业谷污水处理厂</w:t>
                  </w:r>
                  <w:r>
                    <w:rPr>
                      <w:rFonts w:hint="eastAsia" w:ascii="宋体" w:hAnsi="宋体" w:eastAsia="宋体" w:cs="宋体"/>
                      <w:b/>
                      <w:color w:val="auto"/>
                      <w:spacing w:val="0"/>
                      <w:sz w:val="21"/>
                      <w:szCs w:val="21"/>
                      <w:highlight w:val="none"/>
                      <w:lang w:val="en-US" w:eastAsia="zh-CN" w:bidi="ar"/>
                    </w:rPr>
                    <w:t>收水标准</w:t>
                  </w:r>
                </w:p>
              </w:tc>
            </w:tr>
            <w:tr w14:paraId="12606800">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5" w:type="pct"/>
                  <w:vMerge w:val="restart"/>
                  <w:tcBorders>
                    <w:tl2br w:val="nil"/>
                    <w:tr2bl w:val="nil"/>
                  </w:tcBorders>
                  <w:noWrap w:val="0"/>
                  <w:vAlign w:val="center"/>
                </w:tcPr>
                <w:p w14:paraId="11F8A7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r>
                    <w:rPr>
                      <w:rFonts w:hint="eastAsia" w:ascii="宋体" w:hAnsi="宋体" w:eastAsia="宋体" w:cs="宋体"/>
                      <w:b/>
                      <w:color w:val="auto"/>
                      <w:spacing w:val="0"/>
                      <w:sz w:val="21"/>
                      <w:szCs w:val="21"/>
                      <w:highlight w:val="none"/>
                      <w:lang w:bidi="ar"/>
                    </w:rPr>
                    <w:t>编号及名称</w:t>
                  </w:r>
                </w:p>
              </w:tc>
              <w:tc>
                <w:tcPr>
                  <w:tcW w:w="805" w:type="pct"/>
                  <w:vMerge w:val="restart"/>
                  <w:tcBorders>
                    <w:tl2br w:val="nil"/>
                    <w:tr2bl w:val="nil"/>
                  </w:tcBorders>
                  <w:noWrap w:val="0"/>
                  <w:vAlign w:val="center"/>
                </w:tcPr>
                <w:p w14:paraId="468C26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r>
                    <w:rPr>
                      <w:rFonts w:hint="eastAsia" w:ascii="宋体" w:hAnsi="宋体" w:eastAsia="宋体" w:cs="宋体"/>
                      <w:b/>
                      <w:color w:val="auto"/>
                      <w:spacing w:val="0"/>
                      <w:sz w:val="21"/>
                      <w:szCs w:val="21"/>
                      <w:highlight w:val="none"/>
                      <w:lang w:bidi="ar"/>
                    </w:rPr>
                    <w:t>类型</w:t>
                  </w:r>
                </w:p>
              </w:tc>
              <w:tc>
                <w:tcPr>
                  <w:tcW w:w="1817" w:type="pct"/>
                  <w:gridSpan w:val="2"/>
                  <w:tcBorders>
                    <w:tl2br w:val="nil"/>
                    <w:tr2bl w:val="nil"/>
                  </w:tcBorders>
                  <w:noWrap w:val="0"/>
                  <w:vAlign w:val="center"/>
                </w:tcPr>
                <w:p w14:paraId="5BEF92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r>
                    <w:rPr>
                      <w:rFonts w:hint="eastAsia" w:ascii="宋体" w:hAnsi="宋体" w:eastAsia="宋体" w:cs="宋体"/>
                      <w:b/>
                      <w:color w:val="auto"/>
                      <w:spacing w:val="0"/>
                      <w:sz w:val="21"/>
                      <w:szCs w:val="21"/>
                      <w:highlight w:val="none"/>
                      <w:lang w:bidi="ar"/>
                    </w:rPr>
                    <w:t>地理坐标/°</w:t>
                  </w:r>
                </w:p>
              </w:tc>
              <w:tc>
                <w:tcPr>
                  <w:tcW w:w="663" w:type="pct"/>
                  <w:vMerge w:val="continue"/>
                  <w:tcBorders>
                    <w:tl2br w:val="nil"/>
                    <w:tr2bl w:val="nil"/>
                  </w:tcBorders>
                  <w:noWrap w:val="0"/>
                  <w:vAlign w:val="center"/>
                </w:tcPr>
                <w:p w14:paraId="336809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p>
              </w:tc>
              <w:tc>
                <w:tcPr>
                  <w:tcW w:w="522" w:type="pct"/>
                  <w:vMerge w:val="continue"/>
                  <w:tcBorders>
                    <w:tl2br w:val="nil"/>
                    <w:tr2bl w:val="nil"/>
                  </w:tcBorders>
                  <w:noWrap w:val="0"/>
                  <w:vAlign w:val="center"/>
                </w:tcPr>
                <w:p w14:paraId="1251E5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p>
              </w:tc>
              <w:tc>
                <w:tcPr>
                  <w:tcW w:w="656" w:type="pct"/>
                  <w:vMerge w:val="continue"/>
                  <w:tcBorders>
                    <w:tl2br w:val="nil"/>
                    <w:tr2bl w:val="nil"/>
                  </w:tcBorders>
                  <w:noWrap w:val="0"/>
                  <w:vAlign w:val="center"/>
                </w:tcPr>
                <w:p w14:paraId="73FC4A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p>
              </w:tc>
            </w:tr>
            <w:tr w14:paraId="44D85FFC">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5" w:type="pct"/>
                  <w:vMerge w:val="continue"/>
                  <w:tcBorders>
                    <w:tl2br w:val="nil"/>
                    <w:tr2bl w:val="nil"/>
                  </w:tcBorders>
                  <w:noWrap w:val="0"/>
                  <w:vAlign w:val="center"/>
                </w:tcPr>
                <w:p w14:paraId="74548CA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p>
              </w:tc>
              <w:tc>
                <w:tcPr>
                  <w:tcW w:w="805" w:type="pct"/>
                  <w:vMerge w:val="continue"/>
                  <w:tcBorders>
                    <w:tl2br w:val="nil"/>
                    <w:tr2bl w:val="nil"/>
                  </w:tcBorders>
                  <w:noWrap w:val="0"/>
                  <w:vAlign w:val="center"/>
                </w:tcPr>
                <w:p w14:paraId="6B6885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p>
              </w:tc>
              <w:tc>
                <w:tcPr>
                  <w:tcW w:w="843" w:type="pct"/>
                  <w:tcBorders>
                    <w:tl2br w:val="nil"/>
                    <w:tr2bl w:val="nil"/>
                  </w:tcBorders>
                  <w:noWrap w:val="0"/>
                  <w:vAlign w:val="center"/>
                </w:tcPr>
                <w:p w14:paraId="29A250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r>
                    <w:rPr>
                      <w:rFonts w:hint="eastAsia" w:ascii="宋体" w:hAnsi="宋体" w:eastAsia="宋体" w:cs="宋体"/>
                      <w:b/>
                      <w:color w:val="auto"/>
                      <w:spacing w:val="0"/>
                      <w:sz w:val="21"/>
                      <w:szCs w:val="21"/>
                      <w:highlight w:val="none"/>
                      <w:lang w:bidi="ar"/>
                    </w:rPr>
                    <w:t>经度</w:t>
                  </w:r>
                </w:p>
              </w:tc>
              <w:tc>
                <w:tcPr>
                  <w:tcW w:w="973" w:type="pct"/>
                  <w:tcBorders>
                    <w:tl2br w:val="nil"/>
                    <w:tr2bl w:val="nil"/>
                  </w:tcBorders>
                  <w:noWrap w:val="0"/>
                  <w:vAlign w:val="center"/>
                </w:tcPr>
                <w:p w14:paraId="27FDE24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r>
                    <w:rPr>
                      <w:rFonts w:hint="eastAsia" w:ascii="宋体" w:hAnsi="宋体" w:eastAsia="宋体" w:cs="宋体"/>
                      <w:b/>
                      <w:color w:val="auto"/>
                      <w:spacing w:val="0"/>
                      <w:sz w:val="21"/>
                      <w:szCs w:val="21"/>
                      <w:highlight w:val="none"/>
                      <w:lang w:bidi="ar"/>
                    </w:rPr>
                    <w:t>纬度</w:t>
                  </w:r>
                </w:p>
              </w:tc>
              <w:tc>
                <w:tcPr>
                  <w:tcW w:w="663" w:type="pct"/>
                  <w:vMerge w:val="continue"/>
                  <w:tcBorders>
                    <w:tl2br w:val="nil"/>
                    <w:tr2bl w:val="nil"/>
                  </w:tcBorders>
                  <w:noWrap w:val="0"/>
                  <w:vAlign w:val="center"/>
                </w:tcPr>
                <w:p w14:paraId="19BACFA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p>
              </w:tc>
              <w:tc>
                <w:tcPr>
                  <w:tcW w:w="522" w:type="pct"/>
                  <w:vMerge w:val="continue"/>
                  <w:tcBorders>
                    <w:tl2br w:val="nil"/>
                    <w:tr2bl w:val="nil"/>
                  </w:tcBorders>
                  <w:noWrap w:val="0"/>
                  <w:vAlign w:val="center"/>
                </w:tcPr>
                <w:p w14:paraId="5453B9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p>
              </w:tc>
              <w:tc>
                <w:tcPr>
                  <w:tcW w:w="656" w:type="pct"/>
                  <w:vMerge w:val="continue"/>
                  <w:tcBorders>
                    <w:tl2br w:val="nil"/>
                    <w:tr2bl w:val="nil"/>
                  </w:tcBorders>
                  <w:noWrap w:val="0"/>
                  <w:vAlign w:val="center"/>
                </w:tcPr>
                <w:p w14:paraId="25F8105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lang w:bidi="ar"/>
                    </w:rPr>
                  </w:pPr>
                </w:p>
              </w:tc>
            </w:tr>
            <w:tr w14:paraId="28840FFF">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5" w:hRule="exact"/>
                <w:jc w:val="center"/>
              </w:trPr>
              <w:tc>
                <w:tcPr>
                  <w:tcW w:w="535" w:type="pct"/>
                  <w:vMerge w:val="restart"/>
                  <w:tcBorders>
                    <w:tl2br w:val="nil"/>
                    <w:tr2bl w:val="nil"/>
                  </w:tcBorders>
                  <w:noWrap w:val="0"/>
                  <w:vAlign w:val="center"/>
                </w:tcPr>
                <w:p w14:paraId="61CB1D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DW</w:t>
                  </w:r>
                </w:p>
                <w:p w14:paraId="260431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kern w:val="0"/>
                      <w:sz w:val="21"/>
                      <w:szCs w:val="21"/>
                      <w:highlight w:val="none"/>
                    </w:rPr>
                    <w:t>001</w:t>
                  </w:r>
                </w:p>
              </w:tc>
              <w:tc>
                <w:tcPr>
                  <w:tcW w:w="805" w:type="pct"/>
                  <w:vMerge w:val="restart"/>
                  <w:tcBorders>
                    <w:tl2br w:val="nil"/>
                    <w:tr2bl w:val="nil"/>
                  </w:tcBorders>
                  <w:noWrap w:val="0"/>
                  <w:vAlign w:val="center"/>
                </w:tcPr>
                <w:p w14:paraId="4DD092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color w:val="auto"/>
                      <w:spacing w:val="0"/>
                      <w:sz w:val="21"/>
                      <w:szCs w:val="21"/>
                      <w:highlight w:val="none"/>
                      <w:lang w:bidi="ar"/>
                    </w:rPr>
                  </w:pPr>
                  <w:r>
                    <w:rPr>
                      <w:rFonts w:hint="eastAsia" w:ascii="宋体" w:hAnsi="宋体" w:eastAsia="宋体" w:cs="宋体"/>
                      <w:bCs/>
                      <w:color w:val="auto"/>
                      <w:spacing w:val="0"/>
                      <w:sz w:val="21"/>
                      <w:szCs w:val="21"/>
                      <w:highlight w:val="none"/>
                      <w:lang w:bidi="ar"/>
                    </w:rPr>
                    <w:t>厂区污水总排口</w:t>
                  </w:r>
                </w:p>
              </w:tc>
              <w:tc>
                <w:tcPr>
                  <w:tcW w:w="843" w:type="pct"/>
                  <w:vMerge w:val="restart"/>
                  <w:tcBorders>
                    <w:tl2br w:val="nil"/>
                    <w:tr2bl w:val="nil"/>
                  </w:tcBorders>
                  <w:noWrap w:val="0"/>
                  <w:vAlign w:val="center"/>
                </w:tcPr>
                <w:p w14:paraId="764240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130.588693</w:t>
                  </w:r>
                </w:p>
              </w:tc>
              <w:tc>
                <w:tcPr>
                  <w:tcW w:w="973" w:type="pct"/>
                  <w:vMerge w:val="restart"/>
                  <w:tcBorders>
                    <w:tl2br w:val="nil"/>
                    <w:tr2bl w:val="nil"/>
                  </w:tcBorders>
                  <w:noWrap w:val="0"/>
                  <w:vAlign w:val="center"/>
                </w:tcPr>
                <w:p w14:paraId="2929B64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45.088431</w:t>
                  </w:r>
                </w:p>
              </w:tc>
              <w:tc>
                <w:tcPr>
                  <w:tcW w:w="663" w:type="pct"/>
                  <w:tcBorders>
                    <w:tl2br w:val="nil"/>
                    <w:tr2bl w:val="nil"/>
                  </w:tcBorders>
                  <w:noWrap w:val="0"/>
                  <w:vAlign w:val="center"/>
                </w:tcPr>
                <w:p w14:paraId="593B4B1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COD</w:t>
                  </w:r>
                  <w:r>
                    <w:rPr>
                      <w:rFonts w:hint="eastAsia" w:ascii="宋体" w:hAnsi="宋体" w:eastAsia="宋体" w:cs="宋体"/>
                      <w:color w:val="auto"/>
                      <w:spacing w:val="0"/>
                      <w:kern w:val="0"/>
                      <w:sz w:val="21"/>
                      <w:szCs w:val="21"/>
                      <w:highlight w:val="none"/>
                      <w:vertAlign w:val="subscript"/>
                    </w:rPr>
                    <w:t>cr</w:t>
                  </w:r>
                </w:p>
              </w:tc>
              <w:tc>
                <w:tcPr>
                  <w:tcW w:w="522" w:type="pct"/>
                  <w:tcBorders>
                    <w:tl2br w:val="nil"/>
                    <w:tr2bl w:val="nil"/>
                  </w:tcBorders>
                  <w:noWrap w:val="0"/>
                  <w:vAlign w:val="center"/>
                </w:tcPr>
                <w:p w14:paraId="6048A3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500</w:t>
                  </w:r>
                </w:p>
              </w:tc>
              <w:tc>
                <w:tcPr>
                  <w:tcW w:w="656" w:type="pct"/>
                  <w:tcBorders>
                    <w:tl2br w:val="nil"/>
                    <w:tr2bl w:val="nil"/>
                  </w:tcBorders>
                  <w:noWrap w:val="0"/>
                  <w:vAlign w:val="center"/>
                </w:tcPr>
                <w:p w14:paraId="4E723E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500</w:t>
                  </w:r>
                </w:p>
              </w:tc>
            </w:tr>
            <w:tr w14:paraId="3FC0C2CF">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35" w:type="pct"/>
                  <w:vMerge w:val="continue"/>
                  <w:tcBorders>
                    <w:tl2br w:val="nil"/>
                    <w:tr2bl w:val="nil"/>
                  </w:tcBorders>
                  <w:noWrap w:val="0"/>
                  <w:vAlign w:val="center"/>
                </w:tcPr>
                <w:p w14:paraId="385BB2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p>
              </w:tc>
              <w:tc>
                <w:tcPr>
                  <w:tcW w:w="805" w:type="pct"/>
                  <w:vMerge w:val="continue"/>
                  <w:tcBorders>
                    <w:tl2br w:val="nil"/>
                    <w:tr2bl w:val="nil"/>
                  </w:tcBorders>
                  <w:noWrap w:val="0"/>
                  <w:vAlign w:val="center"/>
                </w:tcPr>
                <w:p w14:paraId="799D460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color w:val="auto"/>
                      <w:spacing w:val="0"/>
                      <w:sz w:val="21"/>
                      <w:szCs w:val="21"/>
                      <w:highlight w:val="none"/>
                      <w:lang w:bidi="ar"/>
                    </w:rPr>
                  </w:pPr>
                </w:p>
              </w:tc>
              <w:tc>
                <w:tcPr>
                  <w:tcW w:w="843" w:type="pct"/>
                  <w:vMerge w:val="continue"/>
                  <w:tcBorders>
                    <w:tl2br w:val="nil"/>
                    <w:tr2bl w:val="nil"/>
                  </w:tcBorders>
                  <w:noWrap w:val="0"/>
                  <w:vAlign w:val="center"/>
                </w:tcPr>
                <w:p w14:paraId="561441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p>
              </w:tc>
              <w:tc>
                <w:tcPr>
                  <w:tcW w:w="973" w:type="pct"/>
                  <w:vMerge w:val="continue"/>
                  <w:tcBorders>
                    <w:tl2br w:val="nil"/>
                    <w:tr2bl w:val="nil"/>
                  </w:tcBorders>
                  <w:noWrap w:val="0"/>
                  <w:vAlign w:val="center"/>
                </w:tcPr>
                <w:p w14:paraId="7F76D0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p>
              </w:tc>
              <w:tc>
                <w:tcPr>
                  <w:tcW w:w="663" w:type="pct"/>
                  <w:tcBorders>
                    <w:tl2br w:val="nil"/>
                    <w:tr2bl w:val="nil"/>
                  </w:tcBorders>
                  <w:noWrap w:val="0"/>
                  <w:vAlign w:val="center"/>
                </w:tcPr>
                <w:p w14:paraId="074950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SS</w:t>
                  </w:r>
                </w:p>
              </w:tc>
              <w:tc>
                <w:tcPr>
                  <w:tcW w:w="522" w:type="pct"/>
                  <w:tcBorders>
                    <w:tl2br w:val="nil"/>
                    <w:tr2bl w:val="nil"/>
                  </w:tcBorders>
                  <w:noWrap w:val="0"/>
                  <w:vAlign w:val="center"/>
                </w:tcPr>
                <w:p w14:paraId="642A1E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400</w:t>
                  </w:r>
                </w:p>
              </w:tc>
              <w:tc>
                <w:tcPr>
                  <w:tcW w:w="656" w:type="pct"/>
                  <w:tcBorders>
                    <w:tl2br w:val="nil"/>
                    <w:tr2bl w:val="nil"/>
                  </w:tcBorders>
                  <w:noWrap w:val="0"/>
                  <w:vAlign w:val="center"/>
                </w:tcPr>
                <w:p w14:paraId="25A066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400</w:t>
                  </w:r>
                </w:p>
              </w:tc>
            </w:tr>
            <w:tr w14:paraId="62108336">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35" w:type="pct"/>
                  <w:vMerge w:val="continue"/>
                  <w:tcBorders>
                    <w:tl2br w:val="nil"/>
                    <w:tr2bl w:val="nil"/>
                  </w:tcBorders>
                  <w:noWrap w:val="0"/>
                  <w:vAlign w:val="center"/>
                </w:tcPr>
                <w:p w14:paraId="6A760B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p>
              </w:tc>
              <w:tc>
                <w:tcPr>
                  <w:tcW w:w="805" w:type="pct"/>
                  <w:vMerge w:val="continue"/>
                  <w:tcBorders>
                    <w:tl2br w:val="nil"/>
                    <w:tr2bl w:val="nil"/>
                  </w:tcBorders>
                  <w:noWrap w:val="0"/>
                  <w:vAlign w:val="center"/>
                </w:tcPr>
                <w:p w14:paraId="6ECFC63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color w:val="auto"/>
                      <w:spacing w:val="0"/>
                      <w:sz w:val="21"/>
                      <w:szCs w:val="21"/>
                      <w:highlight w:val="none"/>
                      <w:lang w:bidi="ar"/>
                    </w:rPr>
                  </w:pPr>
                </w:p>
              </w:tc>
              <w:tc>
                <w:tcPr>
                  <w:tcW w:w="843" w:type="pct"/>
                  <w:vMerge w:val="continue"/>
                  <w:tcBorders>
                    <w:tl2br w:val="nil"/>
                    <w:tr2bl w:val="nil"/>
                  </w:tcBorders>
                  <w:noWrap w:val="0"/>
                  <w:vAlign w:val="center"/>
                </w:tcPr>
                <w:p w14:paraId="2D6A0DF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p>
              </w:tc>
              <w:tc>
                <w:tcPr>
                  <w:tcW w:w="973" w:type="pct"/>
                  <w:vMerge w:val="continue"/>
                  <w:tcBorders>
                    <w:tl2br w:val="nil"/>
                    <w:tr2bl w:val="nil"/>
                  </w:tcBorders>
                  <w:noWrap w:val="0"/>
                  <w:vAlign w:val="center"/>
                </w:tcPr>
                <w:p w14:paraId="4E32D6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p>
              </w:tc>
              <w:tc>
                <w:tcPr>
                  <w:tcW w:w="663" w:type="pct"/>
                  <w:tcBorders>
                    <w:tl2br w:val="nil"/>
                    <w:tr2bl w:val="nil"/>
                  </w:tcBorders>
                  <w:noWrap w:val="0"/>
                  <w:vAlign w:val="center"/>
                </w:tcPr>
                <w:p w14:paraId="40C1E21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kern w:val="0"/>
                      <w:sz w:val="21"/>
                      <w:szCs w:val="21"/>
                      <w:highlight w:val="none"/>
                      <w:lang w:val="en-US" w:eastAsia="zh-CN"/>
                    </w:rPr>
                  </w:pPr>
                  <w:r>
                    <w:rPr>
                      <w:rFonts w:hint="eastAsia" w:cs="宋体"/>
                      <w:color w:val="auto"/>
                      <w:spacing w:val="0"/>
                      <w:kern w:val="0"/>
                      <w:sz w:val="21"/>
                      <w:szCs w:val="21"/>
                      <w:highlight w:val="none"/>
                      <w:lang w:val="en-US" w:eastAsia="zh-CN"/>
                    </w:rPr>
                    <w:t>TDS</w:t>
                  </w:r>
                </w:p>
              </w:tc>
              <w:tc>
                <w:tcPr>
                  <w:tcW w:w="522" w:type="pct"/>
                  <w:tcBorders>
                    <w:tl2br w:val="nil"/>
                    <w:tr2bl w:val="nil"/>
                  </w:tcBorders>
                  <w:noWrap w:val="0"/>
                  <w:vAlign w:val="center"/>
                </w:tcPr>
                <w:p w14:paraId="6DCDEDB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kern w:val="0"/>
                      <w:sz w:val="21"/>
                      <w:szCs w:val="21"/>
                      <w:highlight w:val="none"/>
                      <w:lang w:val="en-US" w:eastAsia="zh-CN"/>
                    </w:rPr>
                  </w:pPr>
                  <w:r>
                    <w:rPr>
                      <w:rFonts w:hint="eastAsia" w:cs="宋体"/>
                      <w:color w:val="auto"/>
                      <w:spacing w:val="0"/>
                      <w:kern w:val="0"/>
                      <w:sz w:val="21"/>
                      <w:szCs w:val="21"/>
                      <w:highlight w:val="none"/>
                      <w:lang w:val="en-US" w:eastAsia="zh-CN"/>
                    </w:rPr>
                    <w:t>--</w:t>
                  </w:r>
                </w:p>
              </w:tc>
              <w:tc>
                <w:tcPr>
                  <w:tcW w:w="656" w:type="pct"/>
                  <w:tcBorders>
                    <w:tl2br w:val="nil"/>
                    <w:tr2bl w:val="nil"/>
                  </w:tcBorders>
                  <w:noWrap w:val="0"/>
                  <w:vAlign w:val="center"/>
                </w:tcPr>
                <w:p w14:paraId="74B8E8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kern w:val="0"/>
                      <w:sz w:val="21"/>
                      <w:szCs w:val="21"/>
                      <w:highlight w:val="none"/>
                      <w:lang w:val="en-US" w:eastAsia="zh-CN"/>
                    </w:rPr>
                  </w:pPr>
                  <w:r>
                    <w:rPr>
                      <w:rFonts w:hint="eastAsia" w:cs="宋体"/>
                      <w:color w:val="auto"/>
                      <w:spacing w:val="0"/>
                      <w:kern w:val="0"/>
                      <w:sz w:val="21"/>
                      <w:szCs w:val="21"/>
                      <w:highlight w:val="none"/>
                      <w:lang w:val="en-US" w:eastAsia="zh-CN"/>
                    </w:rPr>
                    <w:t>2000</w:t>
                  </w:r>
                </w:p>
              </w:tc>
            </w:tr>
          </w:tbl>
          <w:p w14:paraId="42EEE7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eastAsia="宋体" w:cs="宋体"/>
                <w:b w:val="0"/>
                <w:bCs/>
                <w:caps w:val="0"/>
                <w:color w:val="auto"/>
                <w:spacing w:val="0"/>
                <w:sz w:val="24"/>
                <w:highlight w:val="none"/>
                <w:lang w:val="en-US" w:eastAsia="zh-CN"/>
              </w:rPr>
            </w:pPr>
            <w:r>
              <w:rPr>
                <w:rFonts w:hint="eastAsia" w:ascii="宋体" w:hAnsi="宋体" w:eastAsia="宋体" w:cs="宋体"/>
                <w:b w:val="0"/>
                <w:bCs/>
                <w:caps w:val="0"/>
                <w:color w:val="auto"/>
                <w:spacing w:val="0"/>
                <w:sz w:val="24"/>
                <w:highlight w:val="none"/>
                <w:lang w:val="en-US" w:eastAsia="zh-CN"/>
              </w:rPr>
              <w:t>废水排放达标情况如下：</w:t>
            </w:r>
          </w:p>
          <w:p w14:paraId="1AEF7A40">
            <w:pPr>
              <w:adjustRightInd w:val="0"/>
              <w:snapToGrid w:val="0"/>
              <w:spacing w:line="240" w:lineRule="auto"/>
              <w:jc w:val="center"/>
              <w:rPr>
                <w:rFonts w:hint="eastAsia" w:ascii="宋体" w:hAnsi="宋体" w:eastAsia="宋体" w:cs="宋体"/>
                <w:b/>
                <w:caps w:val="0"/>
                <w:color w:val="auto"/>
                <w:spacing w:val="0"/>
                <w:sz w:val="21"/>
                <w:szCs w:val="21"/>
                <w:highlight w:val="none"/>
              </w:rPr>
            </w:pPr>
            <w:r>
              <w:rPr>
                <w:rFonts w:hint="eastAsia" w:ascii="宋体" w:hAnsi="宋体" w:eastAsia="宋体" w:cs="宋体"/>
                <w:b/>
                <w:caps w:val="0"/>
                <w:color w:val="auto"/>
                <w:spacing w:val="0"/>
                <w:sz w:val="21"/>
                <w:szCs w:val="21"/>
                <w:highlight w:val="none"/>
              </w:rPr>
              <w:t>表4-</w:t>
            </w:r>
            <w:r>
              <w:rPr>
                <w:rFonts w:hint="eastAsia" w:ascii="宋体" w:hAnsi="宋体" w:eastAsia="宋体" w:cs="宋体"/>
                <w:b/>
                <w:caps w:val="0"/>
                <w:color w:val="auto"/>
                <w:spacing w:val="0"/>
                <w:sz w:val="21"/>
                <w:szCs w:val="21"/>
                <w:highlight w:val="none"/>
                <w:lang w:val="en-US" w:eastAsia="zh-CN"/>
              </w:rPr>
              <w:t>1</w:t>
            </w:r>
            <w:r>
              <w:rPr>
                <w:rFonts w:hint="eastAsia" w:cs="宋体"/>
                <w:b/>
                <w:caps w:val="0"/>
                <w:color w:val="auto"/>
                <w:spacing w:val="0"/>
                <w:sz w:val="21"/>
                <w:szCs w:val="21"/>
                <w:highlight w:val="none"/>
                <w:lang w:val="en-US" w:eastAsia="zh-CN"/>
              </w:rPr>
              <w:t>1</w:t>
            </w:r>
            <w:r>
              <w:rPr>
                <w:rFonts w:hint="eastAsia" w:ascii="宋体" w:hAnsi="宋体" w:eastAsia="宋体" w:cs="宋体"/>
                <w:b/>
                <w:caps w:val="0"/>
                <w:color w:val="auto"/>
                <w:spacing w:val="0"/>
                <w:sz w:val="21"/>
                <w:szCs w:val="21"/>
                <w:highlight w:val="none"/>
              </w:rPr>
              <w:t xml:space="preserve">  废水污染物排放情况一览表单位：mg/L（pH</w:t>
            </w:r>
            <w:r>
              <w:rPr>
                <w:rFonts w:hint="eastAsia" w:ascii="宋体" w:hAnsi="宋体" w:eastAsia="宋体" w:cs="宋体"/>
                <w:b/>
                <w:caps w:val="0"/>
                <w:color w:val="auto"/>
                <w:spacing w:val="0"/>
                <w:sz w:val="21"/>
                <w:szCs w:val="21"/>
                <w:highlight w:val="none"/>
                <w:lang w:val="en-US" w:eastAsia="zh-CN"/>
              </w:rPr>
              <w:t>除外</w:t>
            </w:r>
            <w:r>
              <w:rPr>
                <w:rFonts w:hint="eastAsia" w:ascii="宋体" w:hAnsi="宋体" w:eastAsia="宋体" w:cs="宋体"/>
                <w:b/>
                <w:caps w:val="0"/>
                <w:color w:val="auto"/>
                <w:spacing w:val="0"/>
                <w:sz w:val="21"/>
                <w:szCs w:val="21"/>
                <w:highlight w:val="none"/>
              </w:rPr>
              <w:t>）</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8"/>
              <w:gridCol w:w="1059"/>
              <w:gridCol w:w="1059"/>
              <w:gridCol w:w="1084"/>
              <w:gridCol w:w="1189"/>
              <w:gridCol w:w="1190"/>
            </w:tblGrid>
            <w:tr w14:paraId="1F74B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9" w:type="pct"/>
                  <w:tcBorders>
                    <w:top w:val="single" w:color="auto" w:sz="12" w:space="0"/>
                    <w:left w:val="nil"/>
                  </w:tcBorders>
                  <w:noWrap w:val="0"/>
                  <w:vAlign w:val="center"/>
                </w:tcPr>
                <w:p w14:paraId="50F72F55">
                  <w:pPr>
                    <w:keepNext w:val="0"/>
                    <w:keepLines w:val="0"/>
                    <w:pageBreakBefore w:val="0"/>
                    <w:widowControl w:val="0"/>
                    <w:kinsoku/>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水质指标</w:t>
                  </w:r>
                </w:p>
              </w:tc>
              <w:tc>
                <w:tcPr>
                  <w:tcW w:w="675" w:type="pct"/>
                  <w:tcBorders>
                    <w:top w:val="single" w:color="auto" w:sz="12" w:space="0"/>
                  </w:tcBorders>
                  <w:noWrap w:val="0"/>
                  <w:vAlign w:val="center"/>
                </w:tcPr>
                <w:p w14:paraId="59C1EF5E">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pH</w:t>
                  </w:r>
                </w:p>
              </w:tc>
              <w:tc>
                <w:tcPr>
                  <w:tcW w:w="675" w:type="pct"/>
                  <w:tcBorders>
                    <w:top w:val="single" w:color="auto" w:sz="12" w:space="0"/>
                  </w:tcBorders>
                  <w:noWrap w:val="0"/>
                  <w:vAlign w:val="center"/>
                </w:tcPr>
                <w:p w14:paraId="3B601AA9">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vertAlign w:val="subscript"/>
                      <w:lang w:val="en-US" w:eastAsia="zh-CN" w:bidi="ar-SA"/>
                    </w:rPr>
                  </w:pPr>
                  <w:r>
                    <w:rPr>
                      <w:rFonts w:hint="eastAsia" w:ascii="宋体" w:hAnsi="宋体" w:eastAsia="宋体" w:cs="宋体"/>
                      <w:b/>
                      <w:bCs/>
                      <w:caps w:val="0"/>
                      <w:color w:val="auto"/>
                      <w:spacing w:val="0"/>
                      <w:sz w:val="21"/>
                      <w:szCs w:val="21"/>
                      <w:highlight w:val="none"/>
                    </w:rPr>
                    <w:t>COD</w:t>
                  </w:r>
                  <w:r>
                    <w:rPr>
                      <w:rFonts w:hint="eastAsia" w:ascii="宋体" w:hAnsi="宋体" w:eastAsia="宋体" w:cs="宋体"/>
                      <w:b/>
                      <w:bCs/>
                      <w:caps w:val="0"/>
                      <w:color w:val="auto"/>
                      <w:spacing w:val="0"/>
                      <w:sz w:val="21"/>
                      <w:szCs w:val="21"/>
                      <w:highlight w:val="none"/>
                      <w:vertAlign w:val="subscript"/>
                      <w:lang w:val="en-US" w:eastAsia="zh-CN"/>
                    </w:rPr>
                    <w:t>cr</w:t>
                  </w:r>
                </w:p>
              </w:tc>
              <w:tc>
                <w:tcPr>
                  <w:tcW w:w="691" w:type="pct"/>
                  <w:tcBorders>
                    <w:top w:val="single" w:color="auto" w:sz="12" w:space="0"/>
                  </w:tcBorders>
                  <w:noWrap w:val="0"/>
                  <w:vAlign w:val="center"/>
                </w:tcPr>
                <w:p w14:paraId="726D1318">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aps w:val="0"/>
                      <w:color w:val="auto"/>
                      <w:spacing w:val="0"/>
                      <w:kern w:val="2"/>
                      <w:sz w:val="21"/>
                      <w:szCs w:val="21"/>
                      <w:highlight w:val="none"/>
                      <w:lang w:val="en-US" w:eastAsia="zh-CN" w:bidi="ar-SA"/>
                    </w:rPr>
                  </w:pPr>
                  <w:r>
                    <w:rPr>
                      <w:rFonts w:hint="eastAsia" w:ascii="宋体" w:hAnsi="宋体" w:eastAsia="宋体" w:cs="宋体"/>
                      <w:b/>
                      <w:bCs/>
                      <w:caps w:val="0"/>
                      <w:color w:val="auto"/>
                      <w:spacing w:val="0"/>
                      <w:sz w:val="21"/>
                      <w:szCs w:val="21"/>
                      <w:highlight w:val="none"/>
                    </w:rPr>
                    <w:t>SS</w:t>
                  </w:r>
                </w:p>
              </w:tc>
              <w:tc>
                <w:tcPr>
                  <w:tcW w:w="758" w:type="pct"/>
                  <w:tcBorders>
                    <w:top w:val="single" w:color="auto" w:sz="12" w:space="0"/>
                  </w:tcBorders>
                  <w:noWrap w:val="0"/>
                  <w:vAlign w:val="center"/>
                </w:tcPr>
                <w:p w14:paraId="678E4298">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bCs/>
                      <w:caps w:val="0"/>
                      <w:color w:val="auto"/>
                      <w:spacing w:val="0"/>
                      <w:kern w:val="2"/>
                      <w:sz w:val="21"/>
                      <w:szCs w:val="21"/>
                      <w:highlight w:val="none"/>
                      <w:lang w:val="en-US" w:eastAsia="zh-CN" w:bidi="ar-SA"/>
                    </w:rPr>
                  </w:pPr>
                  <w:r>
                    <w:rPr>
                      <w:rFonts w:hint="eastAsia" w:cs="宋体"/>
                      <w:b/>
                      <w:bCs/>
                      <w:caps w:val="0"/>
                      <w:color w:val="auto"/>
                      <w:spacing w:val="0"/>
                      <w:kern w:val="2"/>
                      <w:sz w:val="21"/>
                      <w:szCs w:val="21"/>
                      <w:highlight w:val="none"/>
                      <w:lang w:val="en-US" w:eastAsia="zh-CN" w:bidi="ar-SA"/>
                    </w:rPr>
                    <w:t>TDS</w:t>
                  </w:r>
                </w:p>
              </w:tc>
              <w:tc>
                <w:tcPr>
                  <w:tcW w:w="758" w:type="pct"/>
                  <w:tcBorders>
                    <w:top w:val="single" w:color="auto" w:sz="12" w:space="0"/>
                  </w:tcBorders>
                  <w:noWrap w:val="0"/>
                  <w:vAlign w:val="center"/>
                </w:tcPr>
                <w:p w14:paraId="4AC6F872">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eastAsia" w:cs="宋体"/>
                      <w:b/>
                      <w:bCs/>
                      <w:caps w:val="0"/>
                      <w:color w:val="auto"/>
                      <w:spacing w:val="0"/>
                      <w:kern w:val="2"/>
                      <w:sz w:val="21"/>
                      <w:szCs w:val="21"/>
                      <w:highlight w:val="none"/>
                      <w:lang w:val="en-US" w:eastAsia="zh-CN" w:bidi="ar-SA"/>
                    </w:rPr>
                  </w:pPr>
                  <w:r>
                    <w:rPr>
                      <w:rFonts w:hint="eastAsia" w:cs="宋体"/>
                      <w:b/>
                      <w:bCs w:val="0"/>
                      <w:caps w:val="0"/>
                      <w:color w:val="auto"/>
                      <w:spacing w:val="0"/>
                      <w:kern w:val="2"/>
                      <w:sz w:val="21"/>
                      <w:szCs w:val="21"/>
                      <w:highlight w:val="none"/>
                      <w:lang w:val="en-US" w:eastAsia="zh-CN" w:bidi="ar-SA"/>
                    </w:rPr>
                    <w:t>Na</w:t>
                  </w:r>
                  <w:r>
                    <w:rPr>
                      <w:rFonts w:hint="eastAsia" w:cs="宋体"/>
                      <w:b/>
                      <w:bCs w:val="0"/>
                      <w:caps w:val="0"/>
                      <w:color w:val="auto"/>
                      <w:spacing w:val="0"/>
                      <w:kern w:val="2"/>
                      <w:sz w:val="21"/>
                      <w:szCs w:val="21"/>
                      <w:highlight w:val="none"/>
                      <w:vertAlign w:val="superscript"/>
                      <w:lang w:val="en-US" w:eastAsia="zh-CN" w:bidi="ar-SA"/>
                    </w:rPr>
                    <w:t>+</w:t>
                  </w:r>
                </w:p>
              </w:tc>
            </w:tr>
            <w:tr w14:paraId="4FDAD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9" w:type="pct"/>
                  <w:tcBorders>
                    <w:left w:val="nil"/>
                  </w:tcBorders>
                  <w:noWrap w:val="0"/>
                  <w:vAlign w:val="center"/>
                </w:tcPr>
                <w:p w14:paraId="0961A3CB">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aps w:val="0"/>
                      <w:color w:val="auto"/>
                      <w:spacing w:val="0"/>
                      <w:sz w:val="21"/>
                      <w:szCs w:val="21"/>
                      <w:highlight w:val="none"/>
                      <w:lang w:val="en-US" w:eastAsia="zh-CN"/>
                    </w:rPr>
                  </w:pPr>
                  <w:r>
                    <w:rPr>
                      <w:rFonts w:hint="eastAsia" w:ascii="宋体" w:hAnsi="宋体" w:eastAsia="宋体" w:cs="宋体"/>
                      <w:caps w:val="0"/>
                      <w:color w:val="auto"/>
                      <w:spacing w:val="0"/>
                      <w:sz w:val="21"/>
                      <w:szCs w:val="21"/>
                      <w:highlight w:val="none"/>
                      <w:lang w:val="en-US" w:eastAsia="zh-CN"/>
                    </w:rPr>
                    <w:t>锅炉排污水</w:t>
                  </w:r>
                  <w:r>
                    <w:rPr>
                      <w:rFonts w:hint="eastAsia" w:cs="宋体"/>
                      <w:caps w:val="0"/>
                      <w:color w:val="auto"/>
                      <w:spacing w:val="0"/>
                      <w:sz w:val="21"/>
                      <w:szCs w:val="21"/>
                      <w:highlight w:val="none"/>
                      <w:lang w:val="en-US" w:eastAsia="zh-CN"/>
                    </w:rPr>
                    <w:t>+软水制备废水+离子交换树脂再生水</w:t>
                  </w:r>
                </w:p>
              </w:tc>
              <w:tc>
                <w:tcPr>
                  <w:tcW w:w="675" w:type="pct"/>
                  <w:noWrap w:val="0"/>
                  <w:vAlign w:val="center"/>
                </w:tcPr>
                <w:p w14:paraId="44E9238B">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aps w:val="0"/>
                      <w:color w:val="auto"/>
                      <w:spacing w:val="0"/>
                      <w:sz w:val="21"/>
                      <w:szCs w:val="21"/>
                      <w:highlight w:val="none"/>
                      <w:lang w:val="en-US" w:eastAsia="zh-CN"/>
                    </w:rPr>
                  </w:pPr>
                  <w:r>
                    <w:rPr>
                      <w:rFonts w:hint="eastAsia" w:ascii="宋体" w:hAnsi="宋体" w:eastAsia="宋体" w:cs="宋体"/>
                      <w:caps w:val="0"/>
                      <w:color w:val="auto"/>
                      <w:spacing w:val="0"/>
                      <w:sz w:val="21"/>
                      <w:szCs w:val="21"/>
                      <w:highlight w:val="none"/>
                      <w:lang w:val="en-US" w:eastAsia="zh-CN"/>
                    </w:rPr>
                    <w:t>6-9</w:t>
                  </w:r>
                </w:p>
              </w:tc>
              <w:tc>
                <w:tcPr>
                  <w:tcW w:w="675" w:type="pct"/>
                  <w:noWrap w:val="0"/>
                  <w:vAlign w:val="center"/>
                </w:tcPr>
                <w:p w14:paraId="495FE2BE">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宋体" w:hAnsi="宋体" w:eastAsia="宋体" w:cs="宋体"/>
                      <w:caps w:val="0"/>
                      <w:color w:val="auto"/>
                      <w:spacing w:val="0"/>
                      <w:sz w:val="21"/>
                      <w:szCs w:val="21"/>
                      <w:highlight w:val="none"/>
                      <w:lang w:val="en-US" w:eastAsia="zh-CN"/>
                    </w:rPr>
                  </w:pPr>
                  <w:r>
                    <w:rPr>
                      <w:rFonts w:hint="eastAsia" w:cs="宋体"/>
                      <w:bCs/>
                      <w:caps w:val="0"/>
                      <w:color w:val="auto"/>
                      <w:spacing w:val="0"/>
                      <w:sz w:val="21"/>
                      <w:szCs w:val="21"/>
                      <w:highlight w:val="none"/>
                      <w:lang w:val="en-US" w:eastAsia="zh-CN"/>
                    </w:rPr>
                    <w:t>28.756</w:t>
                  </w:r>
                </w:p>
              </w:tc>
              <w:tc>
                <w:tcPr>
                  <w:tcW w:w="691" w:type="pct"/>
                  <w:noWrap w:val="0"/>
                  <w:vAlign w:val="center"/>
                </w:tcPr>
                <w:p w14:paraId="7B8120C3">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宋体" w:hAnsi="宋体" w:eastAsia="宋体" w:cs="宋体"/>
                      <w:caps w:val="0"/>
                      <w:color w:val="auto"/>
                      <w:spacing w:val="0"/>
                      <w:sz w:val="21"/>
                      <w:szCs w:val="21"/>
                      <w:highlight w:val="none"/>
                      <w:lang w:val="en-US" w:eastAsia="zh-CN"/>
                    </w:rPr>
                  </w:pPr>
                  <w:r>
                    <w:rPr>
                      <w:rFonts w:hint="eastAsia" w:ascii="宋体" w:hAnsi="宋体" w:eastAsia="宋体" w:cs="宋体"/>
                      <w:caps w:val="0"/>
                      <w:color w:val="auto"/>
                      <w:spacing w:val="0"/>
                      <w:sz w:val="21"/>
                      <w:szCs w:val="21"/>
                      <w:highlight w:val="none"/>
                      <w:lang w:val="en-US" w:eastAsia="zh-CN"/>
                    </w:rPr>
                    <w:t>100</w:t>
                  </w:r>
                </w:p>
              </w:tc>
              <w:tc>
                <w:tcPr>
                  <w:tcW w:w="758" w:type="pct"/>
                  <w:noWrap w:val="0"/>
                  <w:vAlign w:val="center"/>
                </w:tcPr>
                <w:p w14:paraId="069F03F2">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宋体" w:hAnsi="宋体" w:eastAsia="宋体" w:cs="宋体"/>
                      <w:caps w:val="0"/>
                      <w:color w:val="auto"/>
                      <w:spacing w:val="0"/>
                      <w:sz w:val="21"/>
                      <w:szCs w:val="21"/>
                      <w:highlight w:val="none"/>
                      <w:lang w:val="en-US" w:eastAsia="zh-CN"/>
                    </w:rPr>
                  </w:pPr>
                  <w:r>
                    <w:rPr>
                      <w:rFonts w:hint="eastAsia" w:cs="宋体"/>
                      <w:caps w:val="0"/>
                      <w:color w:val="auto"/>
                      <w:spacing w:val="0"/>
                      <w:sz w:val="21"/>
                      <w:szCs w:val="21"/>
                      <w:highlight w:val="none"/>
                      <w:lang w:val="en-US" w:eastAsia="zh-CN"/>
                    </w:rPr>
                    <w:t>887</w:t>
                  </w:r>
                </w:p>
              </w:tc>
              <w:tc>
                <w:tcPr>
                  <w:tcW w:w="758" w:type="pct"/>
                  <w:noWrap w:val="0"/>
                  <w:vAlign w:val="center"/>
                </w:tcPr>
                <w:p w14:paraId="542B42CC">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cs="宋体"/>
                      <w:caps w:val="0"/>
                      <w:color w:val="auto"/>
                      <w:spacing w:val="0"/>
                      <w:sz w:val="21"/>
                      <w:szCs w:val="21"/>
                      <w:highlight w:val="none"/>
                      <w:lang w:val="en-US" w:eastAsia="zh-CN"/>
                    </w:rPr>
                  </w:pPr>
                  <w:r>
                    <w:rPr>
                      <w:rFonts w:hint="eastAsia" w:cs="宋体"/>
                      <w:caps w:val="0"/>
                      <w:color w:val="auto"/>
                      <w:spacing w:val="0"/>
                      <w:sz w:val="21"/>
                      <w:szCs w:val="21"/>
                      <w:highlight w:val="none"/>
                      <w:lang w:val="en-US" w:eastAsia="zh-CN"/>
                    </w:rPr>
                    <w:t>5.44</w:t>
                  </w:r>
                </w:p>
              </w:tc>
            </w:tr>
            <w:tr w14:paraId="7D715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9" w:type="pct"/>
                  <w:tcBorders>
                    <w:left w:val="nil"/>
                  </w:tcBorders>
                  <w:noWrap w:val="0"/>
                  <w:vAlign w:val="center"/>
                </w:tcPr>
                <w:p w14:paraId="28CD8214">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aps w:val="0"/>
                      <w:color w:val="auto"/>
                      <w:spacing w:val="0"/>
                      <w:sz w:val="21"/>
                      <w:szCs w:val="21"/>
                      <w:highlight w:val="none"/>
                      <w:lang w:val="en-US" w:eastAsia="zh-CN"/>
                    </w:rPr>
                  </w:pPr>
                  <w:r>
                    <w:rPr>
                      <w:rFonts w:hint="eastAsia" w:ascii="宋体" w:hAnsi="宋体" w:eastAsia="宋体" w:cs="宋体"/>
                      <w:caps w:val="0"/>
                      <w:snapToGrid w:val="0"/>
                      <w:color w:val="auto"/>
                      <w:spacing w:val="0"/>
                      <w:sz w:val="21"/>
                      <w:szCs w:val="21"/>
                      <w:highlight w:val="none"/>
                    </w:rPr>
                    <w:t>《污水综合排放标准》（GB8979-1996）</w:t>
                  </w:r>
                </w:p>
              </w:tc>
              <w:tc>
                <w:tcPr>
                  <w:tcW w:w="675" w:type="pct"/>
                  <w:noWrap w:val="0"/>
                  <w:vAlign w:val="center"/>
                </w:tcPr>
                <w:p w14:paraId="39822D73">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aps w:val="0"/>
                      <w:color w:val="auto"/>
                      <w:spacing w:val="0"/>
                      <w:sz w:val="21"/>
                      <w:szCs w:val="21"/>
                      <w:highlight w:val="none"/>
                    </w:rPr>
                  </w:pPr>
                  <w:r>
                    <w:rPr>
                      <w:rFonts w:hint="eastAsia" w:ascii="宋体" w:hAnsi="宋体" w:eastAsia="宋体" w:cs="宋体"/>
                      <w:caps w:val="0"/>
                      <w:color w:val="auto"/>
                      <w:spacing w:val="0"/>
                      <w:sz w:val="21"/>
                      <w:szCs w:val="21"/>
                      <w:highlight w:val="none"/>
                    </w:rPr>
                    <w:t>6</w:t>
                  </w:r>
                  <w:r>
                    <w:rPr>
                      <w:rFonts w:hint="eastAsia" w:ascii="宋体" w:hAnsi="宋体" w:eastAsia="宋体" w:cs="宋体"/>
                      <w:caps w:val="0"/>
                      <w:color w:val="auto"/>
                      <w:spacing w:val="0"/>
                      <w:sz w:val="21"/>
                      <w:szCs w:val="21"/>
                      <w:highlight w:val="none"/>
                      <w:lang w:val="en-US" w:eastAsia="zh-CN"/>
                    </w:rPr>
                    <w:t>-</w:t>
                  </w:r>
                  <w:r>
                    <w:rPr>
                      <w:rFonts w:hint="eastAsia" w:ascii="宋体" w:hAnsi="宋体" w:eastAsia="宋体" w:cs="宋体"/>
                      <w:caps w:val="0"/>
                      <w:color w:val="auto"/>
                      <w:spacing w:val="0"/>
                      <w:sz w:val="21"/>
                      <w:szCs w:val="21"/>
                      <w:highlight w:val="none"/>
                    </w:rPr>
                    <w:t>9</w:t>
                  </w:r>
                </w:p>
              </w:tc>
              <w:tc>
                <w:tcPr>
                  <w:tcW w:w="675" w:type="pct"/>
                  <w:noWrap w:val="0"/>
                  <w:vAlign w:val="center"/>
                </w:tcPr>
                <w:p w14:paraId="620963B8">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aps w:val="0"/>
                      <w:color w:val="auto"/>
                      <w:spacing w:val="0"/>
                      <w:sz w:val="21"/>
                      <w:szCs w:val="21"/>
                      <w:highlight w:val="none"/>
                      <w:lang w:val="en-US" w:eastAsia="zh-CN"/>
                    </w:rPr>
                  </w:pPr>
                  <w:r>
                    <w:rPr>
                      <w:rFonts w:hint="eastAsia" w:ascii="宋体" w:hAnsi="宋体" w:eastAsia="宋体" w:cs="宋体"/>
                      <w:caps w:val="0"/>
                      <w:color w:val="auto"/>
                      <w:spacing w:val="0"/>
                      <w:sz w:val="21"/>
                      <w:szCs w:val="21"/>
                      <w:highlight w:val="none"/>
                      <w:lang w:val="en-US" w:eastAsia="zh-CN"/>
                    </w:rPr>
                    <w:t>500</w:t>
                  </w:r>
                </w:p>
              </w:tc>
              <w:tc>
                <w:tcPr>
                  <w:tcW w:w="691" w:type="pct"/>
                  <w:noWrap w:val="0"/>
                  <w:vAlign w:val="center"/>
                </w:tcPr>
                <w:p w14:paraId="47FDC145">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aps w:val="0"/>
                      <w:color w:val="auto"/>
                      <w:spacing w:val="0"/>
                      <w:sz w:val="21"/>
                      <w:szCs w:val="21"/>
                      <w:highlight w:val="none"/>
                      <w:lang w:val="en-US" w:eastAsia="zh-CN"/>
                    </w:rPr>
                  </w:pPr>
                  <w:r>
                    <w:rPr>
                      <w:rFonts w:hint="eastAsia" w:ascii="宋体" w:hAnsi="宋体" w:eastAsia="宋体" w:cs="宋体"/>
                      <w:caps w:val="0"/>
                      <w:color w:val="auto"/>
                      <w:spacing w:val="0"/>
                      <w:sz w:val="21"/>
                      <w:szCs w:val="21"/>
                      <w:highlight w:val="none"/>
                      <w:lang w:val="en-US" w:eastAsia="zh-CN"/>
                    </w:rPr>
                    <w:t>400</w:t>
                  </w:r>
                </w:p>
              </w:tc>
              <w:tc>
                <w:tcPr>
                  <w:tcW w:w="758" w:type="pct"/>
                  <w:noWrap w:val="0"/>
                  <w:vAlign w:val="center"/>
                </w:tcPr>
                <w:p w14:paraId="25A1AE3F">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aps w:val="0"/>
                      <w:color w:val="auto"/>
                      <w:spacing w:val="0"/>
                      <w:sz w:val="21"/>
                      <w:szCs w:val="21"/>
                      <w:highlight w:val="none"/>
                      <w:lang w:val="en-US" w:eastAsia="zh-CN"/>
                    </w:rPr>
                  </w:pPr>
                  <w:r>
                    <w:rPr>
                      <w:rFonts w:hint="eastAsia" w:ascii="宋体" w:hAnsi="宋体" w:eastAsia="宋体" w:cs="宋体"/>
                      <w:caps w:val="0"/>
                      <w:color w:val="auto"/>
                      <w:spacing w:val="0"/>
                      <w:sz w:val="21"/>
                      <w:szCs w:val="21"/>
                      <w:highlight w:val="none"/>
                      <w:lang w:val="en-US" w:eastAsia="zh-CN"/>
                    </w:rPr>
                    <w:t>/</w:t>
                  </w:r>
                </w:p>
              </w:tc>
              <w:tc>
                <w:tcPr>
                  <w:tcW w:w="758" w:type="pct"/>
                  <w:noWrap w:val="0"/>
                  <w:vAlign w:val="center"/>
                </w:tcPr>
                <w:p w14:paraId="75134EEA">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aps w:val="0"/>
                      <w:color w:val="auto"/>
                      <w:spacing w:val="0"/>
                      <w:sz w:val="21"/>
                      <w:szCs w:val="21"/>
                      <w:highlight w:val="none"/>
                      <w:lang w:val="en-US" w:eastAsia="zh-CN"/>
                    </w:rPr>
                  </w:pPr>
                  <w:r>
                    <w:rPr>
                      <w:rFonts w:hint="eastAsia" w:cs="宋体"/>
                      <w:caps w:val="0"/>
                      <w:color w:val="auto"/>
                      <w:spacing w:val="0"/>
                      <w:sz w:val="21"/>
                      <w:szCs w:val="21"/>
                      <w:highlight w:val="none"/>
                      <w:lang w:val="en-US" w:eastAsia="zh-CN"/>
                    </w:rPr>
                    <w:t>/</w:t>
                  </w:r>
                </w:p>
              </w:tc>
            </w:tr>
            <w:tr w14:paraId="54D1D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9" w:type="pct"/>
                  <w:tcBorders>
                    <w:left w:val="nil"/>
                    <w:bottom w:val="single" w:color="auto" w:sz="12" w:space="0"/>
                  </w:tcBorders>
                  <w:noWrap w:val="0"/>
                  <w:vAlign w:val="center"/>
                </w:tcPr>
                <w:p w14:paraId="49C21F9C">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aps w:val="0"/>
                      <w:snapToGrid w:val="0"/>
                      <w:color w:val="auto"/>
                      <w:spacing w:val="0"/>
                      <w:sz w:val="21"/>
                      <w:szCs w:val="21"/>
                      <w:highlight w:val="none"/>
                      <w:lang w:val="en-US" w:eastAsia="zh-CN"/>
                    </w:rPr>
                  </w:pPr>
                  <w:r>
                    <w:rPr>
                      <w:rFonts w:hint="eastAsia" w:cs="宋体"/>
                      <w:caps w:val="0"/>
                      <w:snapToGrid w:val="0"/>
                      <w:color w:val="auto"/>
                      <w:spacing w:val="0"/>
                      <w:sz w:val="21"/>
                      <w:szCs w:val="21"/>
                      <w:highlight w:val="none"/>
                      <w:lang w:val="en-US" w:eastAsia="zh-CN"/>
                    </w:rPr>
                    <w:t>梨树工业谷污水处理厂</w:t>
                  </w:r>
                  <w:r>
                    <w:rPr>
                      <w:rFonts w:hint="eastAsia" w:ascii="宋体" w:hAnsi="宋体" w:eastAsia="宋体" w:cs="宋体"/>
                      <w:caps w:val="0"/>
                      <w:snapToGrid w:val="0"/>
                      <w:color w:val="auto"/>
                      <w:spacing w:val="0"/>
                      <w:sz w:val="21"/>
                      <w:szCs w:val="21"/>
                      <w:highlight w:val="none"/>
                      <w:lang w:val="en-US" w:eastAsia="zh-CN"/>
                    </w:rPr>
                    <w:t>收水标准</w:t>
                  </w:r>
                </w:p>
              </w:tc>
              <w:tc>
                <w:tcPr>
                  <w:tcW w:w="675" w:type="pct"/>
                  <w:tcBorders>
                    <w:bottom w:val="single" w:color="auto" w:sz="12" w:space="0"/>
                  </w:tcBorders>
                  <w:noWrap w:val="0"/>
                  <w:vAlign w:val="center"/>
                </w:tcPr>
                <w:p w14:paraId="0676FB92">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aps w:val="0"/>
                      <w:color w:val="auto"/>
                      <w:spacing w:val="0"/>
                      <w:sz w:val="21"/>
                      <w:szCs w:val="21"/>
                      <w:highlight w:val="none"/>
                      <w:lang w:val="en-US" w:eastAsia="zh-CN"/>
                    </w:rPr>
                  </w:pPr>
                  <w:r>
                    <w:rPr>
                      <w:rFonts w:hint="eastAsia" w:ascii="宋体" w:hAnsi="宋体" w:eastAsia="宋体" w:cs="宋体"/>
                      <w:caps w:val="0"/>
                      <w:color w:val="auto"/>
                      <w:spacing w:val="0"/>
                      <w:sz w:val="21"/>
                      <w:szCs w:val="21"/>
                      <w:highlight w:val="none"/>
                      <w:lang w:val="en-US" w:eastAsia="zh-CN"/>
                    </w:rPr>
                    <w:t>6.5-9.5</w:t>
                  </w:r>
                </w:p>
              </w:tc>
              <w:tc>
                <w:tcPr>
                  <w:tcW w:w="675" w:type="pct"/>
                  <w:tcBorders>
                    <w:bottom w:val="single" w:color="auto" w:sz="12" w:space="0"/>
                  </w:tcBorders>
                  <w:noWrap w:val="0"/>
                  <w:vAlign w:val="center"/>
                </w:tcPr>
                <w:p w14:paraId="58C58E64">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aps w:val="0"/>
                      <w:color w:val="auto"/>
                      <w:spacing w:val="0"/>
                      <w:sz w:val="21"/>
                      <w:szCs w:val="21"/>
                      <w:highlight w:val="none"/>
                      <w:lang w:val="en-US" w:eastAsia="zh-CN"/>
                    </w:rPr>
                  </w:pPr>
                  <w:r>
                    <w:rPr>
                      <w:rFonts w:hint="eastAsia" w:ascii="宋体" w:hAnsi="宋体" w:eastAsia="宋体" w:cs="宋体"/>
                      <w:caps w:val="0"/>
                      <w:color w:val="auto"/>
                      <w:spacing w:val="0"/>
                      <w:sz w:val="21"/>
                      <w:szCs w:val="21"/>
                      <w:highlight w:val="none"/>
                      <w:lang w:val="en-US" w:eastAsia="zh-CN"/>
                    </w:rPr>
                    <w:t>500</w:t>
                  </w:r>
                </w:p>
              </w:tc>
              <w:tc>
                <w:tcPr>
                  <w:tcW w:w="691" w:type="pct"/>
                  <w:tcBorders>
                    <w:bottom w:val="single" w:color="auto" w:sz="12" w:space="0"/>
                  </w:tcBorders>
                  <w:noWrap w:val="0"/>
                  <w:vAlign w:val="center"/>
                </w:tcPr>
                <w:p w14:paraId="75CAC954">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aps w:val="0"/>
                      <w:color w:val="auto"/>
                      <w:spacing w:val="0"/>
                      <w:sz w:val="21"/>
                      <w:szCs w:val="21"/>
                      <w:highlight w:val="none"/>
                      <w:lang w:val="en-US" w:eastAsia="zh-CN"/>
                    </w:rPr>
                  </w:pPr>
                  <w:r>
                    <w:rPr>
                      <w:rFonts w:hint="eastAsia" w:ascii="宋体" w:hAnsi="宋体" w:eastAsia="宋体" w:cs="宋体"/>
                      <w:caps w:val="0"/>
                      <w:color w:val="auto"/>
                      <w:spacing w:val="0"/>
                      <w:sz w:val="21"/>
                      <w:szCs w:val="21"/>
                      <w:highlight w:val="none"/>
                      <w:lang w:val="en-US" w:eastAsia="zh-CN"/>
                    </w:rPr>
                    <w:t>400</w:t>
                  </w:r>
                </w:p>
              </w:tc>
              <w:tc>
                <w:tcPr>
                  <w:tcW w:w="758" w:type="pct"/>
                  <w:tcBorders>
                    <w:bottom w:val="single" w:color="auto" w:sz="12" w:space="0"/>
                  </w:tcBorders>
                  <w:noWrap w:val="0"/>
                  <w:vAlign w:val="center"/>
                </w:tcPr>
                <w:p w14:paraId="2E87E7B2">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aps w:val="0"/>
                      <w:color w:val="auto"/>
                      <w:spacing w:val="0"/>
                      <w:sz w:val="21"/>
                      <w:szCs w:val="21"/>
                      <w:highlight w:val="none"/>
                      <w:lang w:val="en-US" w:eastAsia="zh-CN"/>
                    </w:rPr>
                  </w:pPr>
                  <w:r>
                    <w:rPr>
                      <w:rFonts w:hint="eastAsia" w:cs="宋体"/>
                      <w:caps w:val="0"/>
                      <w:color w:val="auto"/>
                      <w:spacing w:val="0"/>
                      <w:sz w:val="21"/>
                      <w:szCs w:val="21"/>
                      <w:highlight w:val="none"/>
                      <w:lang w:val="en-US" w:eastAsia="zh-CN"/>
                    </w:rPr>
                    <w:t>2000</w:t>
                  </w:r>
                </w:p>
              </w:tc>
              <w:tc>
                <w:tcPr>
                  <w:tcW w:w="758" w:type="pct"/>
                  <w:tcBorders>
                    <w:bottom w:val="single" w:color="auto" w:sz="12" w:space="0"/>
                  </w:tcBorders>
                  <w:noWrap w:val="0"/>
                  <w:vAlign w:val="center"/>
                </w:tcPr>
                <w:p w14:paraId="2F427361">
                  <w:pPr>
                    <w:keepNext w:val="0"/>
                    <w:keepLines w:val="0"/>
                    <w:pageBreakBefore w:val="0"/>
                    <w:widowControl w:val="0"/>
                    <w:kinsoku/>
                    <w:wordWrap w:val="0"/>
                    <w:overflowPunct/>
                    <w:topLinePunct w:val="0"/>
                    <w:autoSpaceDE/>
                    <w:autoSpaceDN/>
                    <w:bidi w:val="0"/>
                    <w:adjustRightInd/>
                    <w:snapToGrid/>
                    <w:spacing w:line="240" w:lineRule="auto"/>
                    <w:ind w:firstLine="0" w:firstLineChars="0"/>
                    <w:jc w:val="center"/>
                    <w:textAlignment w:val="auto"/>
                    <w:rPr>
                      <w:rFonts w:hint="default" w:cs="宋体"/>
                      <w:caps w:val="0"/>
                      <w:color w:val="auto"/>
                      <w:spacing w:val="0"/>
                      <w:sz w:val="21"/>
                      <w:szCs w:val="21"/>
                      <w:highlight w:val="none"/>
                      <w:lang w:val="en-US" w:eastAsia="zh-CN"/>
                    </w:rPr>
                  </w:pPr>
                  <w:r>
                    <w:rPr>
                      <w:rFonts w:hint="eastAsia" w:cs="宋体"/>
                      <w:caps w:val="0"/>
                      <w:color w:val="auto"/>
                      <w:spacing w:val="0"/>
                      <w:sz w:val="21"/>
                      <w:szCs w:val="21"/>
                      <w:highlight w:val="none"/>
                      <w:lang w:val="en-US" w:eastAsia="zh-CN"/>
                    </w:rPr>
                    <w:t>/</w:t>
                  </w:r>
                </w:p>
              </w:tc>
            </w:tr>
          </w:tbl>
          <w:p w14:paraId="774E70BE">
            <w:pPr>
              <w:pStyle w:val="9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jc w:val="left"/>
              <w:textAlignment w:val="baseline"/>
              <w:rPr>
                <w:rFonts w:hint="eastAsia" w:ascii="宋体" w:hAnsi="宋体" w:eastAsia="宋体" w:cs="宋体"/>
                <w:color w:val="auto"/>
                <w:spacing w:val="0"/>
                <w:sz w:val="24"/>
                <w:szCs w:val="24"/>
                <w:highlight w:val="none"/>
              </w:rPr>
            </w:pPr>
            <w:r>
              <w:rPr>
                <w:rFonts w:hint="eastAsia" w:ascii="宋体" w:hAnsi="宋体" w:eastAsia="宋体" w:cs="宋体"/>
                <w:caps w:val="0"/>
                <w:color w:val="auto"/>
                <w:spacing w:val="0"/>
                <w:sz w:val="24"/>
                <w:szCs w:val="24"/>
                <w:highlight w:val="none"/>
                <w:lang w:val="en-US" w:eastAsia="zh-CN"/>
              </w:rPr>
              <w:t>由上表可知，外排废水满足</w:t>
            </w:r>
            <w:r>
              <w:rPr>
                <w:rFonts w:hint="eastAsia" w:ascii="宋体" w:hAnsi="宋体" w:eastAsia="宋体" w:cs="宋体"/>
                <w:caps w:val="0"/>
                <w:snapToGrid w:val="0"/>
                <w:color w:val="auto"/>
                <w:spacing w:val="0"/>
                <w:sz w:val="24"/>
                <w:szCs w:val="24"/>
                <w:highlight w:val="none"/>
              </w:rPr>
              <w:t>《污水综合排放标准》（GB8979-1996）</w:t>
            </w:r>
            <w:r>
              <w:rPr>
                <w:rFonts w:hint="eastAsia" w:ascii="宋体" w:hAnsi="宋体" w:eastAsia="宋体" w:cs="宋体"/>
                <w:caps w:val="0"/>
                <w:snapToGrid w:val="0"/>
                <w:color w:val="auto"/>
                <w:spacing w:val="0"/>
                <w:sz w:val="24"/>
                <w:szCs w:val="24"/>
                <w:highlight w:val="none"/>
                <w:lang w:val="en-US" w:eastAsia="zh-CN"/>
              </w:rPr>
              <w:t>三级标准和</w:t>
            </w:r>
            <w:r>
              <w:rPr>
                <w:rFonts w:hint="eastAsia" w:ascii="宋体" w:hAnsi="宋体" w:cs="宋体"/>
                <w:caps w:val="0"/>
                <w:snapToGrid w:val="0"/>
                <w:color w:val="auto"/>
                <w:spacing w:val="0"/>
                <w:sz w:val="24"/>
                <w:szCs w:val="24"/>
                <w:highlight w:val="none"/>
                <w:lang w:val="en-US" w:eastAsia="zh-CN"/>
              </w:rPr>
              <w:t>梨树工业谷污水处理厂</w:t>
            </w:r>
            <w:r>
              <w:rPr>
                <w:rFonts w:hint="eastAsia" w:ascii="宋体" w:hAnsi="宋体" w:eastAsia="宋体" w:cs="宋体"/>
                <w:caps w:val="0"/>
                <w:snapToGrid w:val="0"/>
                <w:color w:val="auto"/>
                <w:spacing w:val="0"/>
                <w:sz w:val="24"/>
                <w:szCs w:val="24"/>
                <w:highlight w:val="none"/>
                <w:lang w:val="en-US" w:eastAsia="zh-CN"/>
              </w:rPr>
              <w:t>收水标准。外排废水去向合理，</w:t>
            </w:r>
            <w:r>
              <w:rPr>
                <w:rFonts w:hint="eastAsia" w:ascii="宋体" w:hAnsi="宋体" w:eastAsia="宋体" w:cs="宋体"/>
                <w:bCs/>
                <w:caps w:val="0"/>
                <w:color w:val="auto"/>
                <w:spacing w:val="0"/>
                <w:kern w:val="0"/>
                <w:sz w:val="24"/>
                <w:highlight w:val="none"/>
              </w:rPr>
              <w:t>不会对周围环境产生明显的不利影响。</w:t>
            </w:r>
          </w:p>
          <w:p w14:paraId="7D037F55">
            <w:pPr>
              <w:pStyle w:val="9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2" w:firstLineChars="200"/>
              <w:jc w:val="left"/>
              <w:textAlignment w:val="baseline"/>
              <w:rPr>
                <w:rFonts w:hint="eastAsia" w:ascii="宋体" w:hAnsi="宋体" w:eastAsia="宋体" w:cs="宋体"/>
                <w:b/>
                <w:bCs w:val="0"/>
                <w:color w:val="auto"/>
                <w:spacing w:val="0"/>
                <w:sz w:val="24"/>
                <w:szCs w:val="24"/>
                <w:highlight w:val="none"/>
                <w:lang w:val="en-US" w:eastAsia="zh-CN"/>
              </w:rPr>
            </w:pPr>
            <w:r>
              <w:rPr>
                <w:rFonts w:hint="eastAsia" w:ascii="宋体" w:hAnsi="宋体" w:eastAsia="宋体" w:cs="宋体"/>
                <w:b/>
                <w:bCs w:val="0"/>
                <w:color w:val="auto"/>
                <w:spacing w:val="0"/>
                <w:sz w:val="24"/>
                <w:szCs w:val="24"/>
                <w:highlight w:val="none"/>
                <w:lang w:val="en-US" w:eastAsia="zh-CN"/>
              </w:rPr>
              <w:t>2.</w:t>
            </w:r>
            <w:r>
              <w:rPr>
                <w:rFonts w:hint="eastAsia" w:ascii="宋体" w:hAnsi="宋体" w:cs="宋体"/>
                <w:b/>
                <w:bCs w:val="0"/>
                <w:color w:val="auto"/>
                <w:spacing w:val="0"/>
                <w:sz w:val="24"/>
                <w:szCs w:val="24"/>
                <w:highlight w:val="none"/>
                <w:lang w:val="en-US" w:eastAsia="zh-CN"/>
              </w:rPr>
              <w:t>3</w:t>
            </w:r>
            <w:r>
              <w:rPr>
                <w:rFonts w:hint="eastAsia" w:ascii="宋体" w:hAnsi="宋体" w:eastAsia="宋体" w:cs="宋体"/>
                <w:b/>
                <w:bCs w:val="0"/>
                <w:color w:val="auto"/>
                <w:spacing w:val="0"/>
                <w:sz w:val="24"/>
                <w:szCs w:val="24"/>
                <w:highlight w:val="none"/>
                <w:lang w:val="en-US" w:eastAsia="zh-CN"/>
              </w:rPr>
              <w:t>依托污水处理厂可行性分析</w:t>
            </w:r>
          </w:p>
          <w:p w14:paraId="6ED1FB72">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Times New Roman" w:hAnsi="Times New Roman"/>
                <w:color w:val="auto"/>
                <w:sz w:val="24"/>
                <w:highlight w:val="none"/>
              </w:rPr>
            </w:pPr>
            <w:r>
              <w:rPr>
                <w:rFonts w:ascii="Times New Roman" w:hAnsi="Times New Roman"/>
                <w:color w:val="auto"/>
                <w:sz w:val="24"/>
                <w:highlight w:val="none"/>
              </w:rPr>
              <w:t>梨树工业谷污水处理厂位于园区东南部，规划占地面积为1.43hm</w:t>
            </w:r>
            <w:r>
              <w:rPr>
                <w:rFonts w:ascii="Times New Roman" w:hAnsi="Times New Roman"/>
                <w:color w:val="auto"/>
                <w:sz w:val="24"/>
                <w:highlight w:val="none"/>
                <w:vertAlign w:val="superscript"/>
              </w:rPr>
              <w:t>2</w:t>
            </w:r>
            <w:r>
              <w:rPr>
                <w:rFonts w:ascii="Times New Roman" w:hAnsi="Times New Roman"/>
                <w:color w:val="auto"/>
                <w:sz w:val="24"/>
                <w:highlight w:val="none"/>
              </w:rPr>
              <w:t>。污水处理厂接收梨树工业谷范围内工业企业的工业废水和生活污水，污水处理厂规划总处理规模20000m</w:t>
            </w:r>
            <w:r>
              <w:rPr>
                <w:rFonts w:ascii="Times New Roman" w:hAnsi="Times New Roman"/>
                <w:color w:val="auto"/>
                <w:sz w:val="24"/>
                <w:highlight w:val="none"/>
                <w:vertAlign w:val="superscript"/>
              </w:rPr>
              <w:t>3</w:t>
            </w:r>
            <w:r>
              <w:rPr>
                <w:rFonts w:ascii="Times New Roman" w:hAnsi="Times New Roman"/>
                <w:color w:val="auto"/>
                <w:sz w:val="24"/>
                <w:highlight w:val="none"/>
              </w:rPr>
              <w:t>/d，分两期建设，其中一期建设规模8000m</w:t>
            </w:r>
            <w:r>
              <w:rPr>
                <w:rFonts w:ascii="Times New Roman" w:hAnsi="Times New Roman"/>
                <w:color w:val="auto"/>
                <w:sz w:val="24"/>
                <w:highlight w:val="none"/>
                <w:vertAlign w:val="superscript"/>
              </w:rPr>
              <w:t>3</w:t>
            </w:r>
            <w:r>
              <w:rPr>
                <w:rFonts w:ascii="Times New Roman" w:hAnsi="Times New Roman"/>
                <w:color w:val="auto"/>
                <w:sz w:val="24"/>
                <w:highlight w:val="none"/>
              </w:rPr>
              <w:t>/d，二期建设规模12000m</w:t>
            </w:r>
            <w:r>
              <w:rPr>
                <w:rFonts w:ascii="Times New Roman" w:hAnsi="Times New Roman"/>
                <w:color w:val="auto"/>
                <w:sz w:val="24"/>
                <w:highlight w:val="none"/>
                <w:vertAlign w:val="superscript"/>
              </w:rPr>
              <w:t>3</w:t>
            </w:r>
            <w:r>
              <w:rPr>
                <w:rFonts w:ascii="Times New Roman" w:hAnsi="Times New Roman"/>
                <w:color w:val="auto"/>
                <w:sz w:val="24"/>
                <w:highlight w:val="none"/>
              </w:rPr>
              <w:t>/d。污水处理厂采用</w:t>
            </w:r>
            <w:r>
              <w:rPr>
                <w:rFonts w:hint="eastAsia" w:ascii="宋体" w:hAnsi="宋体" w:eastAsia="宋体" w:cs="宋体"/>
                <w:color w:val="auto"/>
                <w:sz w:val="24"/>
                <w:highlight w:val="none"/>
              </w:rPr>
              <w:t>“</w:t>
            </w:r>
            <w:r>
              <w:rPr>
                <w:rFonts w:ascii="Times New Roman" w:hAnsi="Times New Roman"/>
                <w:color w:val="auto"/>
                <w:sz w:val="24"/>
                <w:highlight w:val="none"/>
              </w:rPr>
              <w:t>总进水—粗格栅—一次提升泵池—细格栅（阶梯网板格栅）—旋流除砂池—水量均质调节池—二次提升泵—芬顿单元—水解酸化池—AA/O生化池—矩形沉淀池—中间水池—高密度沉淀池—纤维转盘滤池—臭氧接触池—回用水池（消毒）</w:t>
            </w:r>
            <w:r>
              <w:rPr>
                <w:rFonts w:hint="eastAsia" w:ascii="宋体" w:hAnsi="宋体" w:eastAsia="宋体" w:cs="宋体"/>
                <w:color w:val="auto"/>
                <w:sz w:val="24"/>
                <w:highlight w:val="none"/>
              </w:rPr>
              <w:t>”</w:t>
            </w:r>
            <w:r>
              <w:rPr>
                <w:rFonts w:ascii="Times New Roman" w:hAnsi="Times New Roman"/>
                <w:color w:val="auto"/>
                <w:sz w:val="24"/>
                <w:highlight w:val="none"/>
              </w:rPr>
              <w:t>处理工艺，出水水质满足《城镇污水处理污染物排放标准》（GB18918-2002）一级A标准排入穆棱河干流。</w:t>
            </w:r>
          </w:p>
          <w:p w14:paraId="1E661F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auto"/>
                <w:spacing w:val="0"/>
                <w:kern w:val="0"/>
                <w:sz w:val="24"/>
                <w:szCs w:val="24"/>
                <w:highlight w:val="none"/>
                <w:lang w:val="en-US"/>
              </w:rPr>
            </w:pPr>
            <w:r>
              <w:rPr>
                <w:rFonts w:ascii="Times New Roman" w:hAnsi="Times New Roman"/>
                <w:color w:val="auto"/>
                <w:sz w:val="24"/>
                <w:highlight w:val="none"/>
              </w:rPr>
              <w:t>经现场勘查，该污水处理厂已建设完毕，并已申领排污许可证，目前正在调试，拟于近期投产运行，可接纳本项目排放的污水。本工程预计于202</w:t>
            </w:r>
            <w:r>
              <w:rPr>
                <w:rFonts w:hint="eastAsia" w:ascii="Times New Roman" w:hAnsi="Times New Roman"/>
                <w:color w:val="auto"/>
                <w:sz w:val="24"/>
                <w:highlight w:val="none"/>
                <w:lang w:val="en-US" w:eastAsia="zh-CN"/>
              </w:rPr>
              <w:t>6</w:t>
            </w:r>
            <w:r>
              <w:rPr>
                <w:rFonts w:ascii="Times New Roman" w:hAnsi="Times New Roman"/>
                <w:color w:val="auto"/>
                <w:sz w:val="24"/>
                <w:highlight w:val="none"/>
              </w:rPr>
              <w:t>年</w:t>
            </w:r>
            <w:r>
              <w:rPr>
                <w:rFonts w:hint="eastAsia" w:ascii="Times New Roman" w:hAnsi="Times New Roman"/>
                <w:color w:val="auto"/>
                <w:sz w:val="24"/>
                <w:highlight w:val="none"/>
                <w:lang w:val="en-US" w:eastAsia="zh-CN"/>
              </w:rPr>
              <w:t>2</w:t>
            </w:r>
            <w:r>
              <w:rPr>
                <w:rFonts w:ascii="Times New Roman" w:hAnsi="Times New Roman"/>
                <w:color w:val="auto"/>
                <w:sz w:val="24"/>
                <w:highlight w:val="none"/>
              </w:rPr>
              <w:t>月建成投产，废水排放量较小，且污染物浓度低，因此废水进入梨树工业谷工业污水处理厂处理是可行的。</w:t>
            </w:r>
          </w:p>
          <w:p w14:paraId="272186A7">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eastAsia" w:ascii="宋体" w:hAnsi="宋体" w:eastAsia="宋体" w:cs="宋体"/>
                <w:color w:val="auto"/>
                <w:spacing w:val="0"/>
                <w:highlight w:val="none"/>
              </w:rPr>
            </w:pPr>
            <w:r>
              <w:rPr>
                <w:rFonts w:hint="eastAsia" w:ascii="宋体" w:hAnsi="宋体" w:eastAsia="宋体" w:cs="宋体"/>
                <w:b/>
                <w:color w:val="auto"/>
                <w:spacing w:val="0"/>
                <w:kern w:val="0"/>
                <w:sz w:val="24"/>
                <w:szCs w:val="24"/>
                <w:highlight w:val="none"/>
                <w:lang w:val="en-US" w:eastAsia="zh-CN" w:bidi="ar"/>
              </w:rPr>
              <w:t>2.4废水监测计划</w:t>
            </w:r>
          </w:p>
          <w:p w14:paraId="0F8EC796">
            <w:pPr>
              <w:snapToGrid w:val="0"/>
              <w:spacing w:line="360" w:lineRule="auto"/>
              <w:ind w:firstLine="480" w:firstLineChars="200"/>
              <w:rPr>
                <w:rFonts w:hint="eastAsia" w:ascii="宋体" w:hAnsi="宋体" w:eastAsia="宋体" w:cs="宋体"/>
                <w:color w:val="auto"/>
                <w:spacing w:val="0"/>
                <w:kern w:val="0"/>
                <w:sz w:val="24"/>
                <w:szCs w:val="24"/>
                <w:highlight w:val="none"/>
                <w:lang w:val="en-US" w:eastAsia="zh-CN" w:bidi="ar"/>
              </w:rPr>
            </w:pPr>
            <w:r>
              <w:rPr>
                <w:rFonts w:hint="eastAsia" w:ascii="宋体" w:hAnsi="宋体" w:eastAsia="宋体" w:cs="宋体"/>
                <w:color w:val="auto"/>
                <w:spacing w:val="0"/>
                <w:kern w:val="0"/>
                <w:sz w:val="24"/>
                <w:szCs w:val="24"/>
                <w:highlight w:val="none"/>
                <w:lang w:val="en-US" w:eastAsia="zh-CN" w:bidi="ar"/>
              </w:rPr>
              <w:t>依据《</w:t>
            </w:r>
            <w:r>
              <w:rPr>
                <w:rFonts w:hint="eastAsia" w:ascii="宋体" w:hAnsi="宋体" w:eastAsia="宋体" w:cs="宋体"/>
                <w:color w:val="auto"/>
                <w:spacing w:val="0"/>
                <w:kern w:val="0"/>
                <w:sz w:val="24"/>
                <w:szCs w:val="24"/>
                <w:highlight w:val="none"/>
                <w:lang w:val="en-US" w:eastAsia="zh-CN" w:bidi="ar"/>
              </w:rPr>
              <w:fldChar w:fldCharType="begin"/>
            </w:r>
            <w:r>
              <w:rPr>
                <w:rFonts w:hint="eastAsia" w:ascii="宋体" w:hAnsi="宋体" w:eastAsia="宋体" w:cs="宋体"/>
                <w:color w:val="auto"/>
                <w:spacing w:val="0"/>
                <w:kern w:val="0"/>
                <w:sz w:val="24"/>
                <w:szCs w:val="24"/>
                <w:highlight w:val="none"/>
                <w:lang w:val="en-US" w:eastAsia="zh-CN" w:bidi="ar"/>
              </w:rPr>
              <w:instrText xml:space="preserve"> HYPERLINK "https://www.mee.gov.cn/ywgz/fgbz/bz/bzwb/shjbh/xgbzh/201705/W020170511332490849000.pdf" </w:instrText>
            </w:r>
            <w:r>
              <w:rPr>
                <w:rFonts w:hint="eastAsia" w:ascii="宋体" w:hAnsi="宋体" w:eastAsia="宋体" w:cs="宋体"/>
                <w:color w:val="auto"/>
                <w:spacing w:val="0"/>
                <w:kern w:val="0"/>
                <w:sz w:val="24"/>
                <w:szCs w:val="24"/>
                <w:highlight w:val="none"/>
                <w:lang w:val="en-US" w:eastAsia="zh-CN" w:bidi="ar"/>
              </w:rPr>
              <w:fldChar w:fldCharType="separate"/>
            </w:r>
            <w:r>
              <w:rPr>
                <w:rFonts w:hint="eastAsia" w:ascii="宋体" w:hAnsi="宋体" w:eastAsia="宋体" w:cs="宋体"/>
                <w:color w:val="auto"/>
                <w:spacing w:val="0"/>
                <w:kern w:val="0"/>
                <w:sz w:val="24"/>
                <w:szCs w:val="24"/>
                <w:highlight w:val="none"/>
                <w:lang w:val="en-US" w:eastAsia="zh-CN" w:bidi="ar"/>
              </w:rPr>
              <w:t>排污单位自行监测技术指南 总则》</w:t>
            </w:r>
            <w:r>
              <w:rPr>
                <w:rFonts w:hint="eastAsia" w:cs="宋体"/>
                <w:color w:val="auto"/>
                <w:spacing w:val="0"/>
                <w:kern w:val="0"/>
                <w:sz w:val="24"/>
                <w:szCs w:val="24"/>
                <w:highlight w:val="none"/>
                <w:lang w:val="en-US" w:eastAsia="zh-CN" w:bidi="ar"/>
              </w:rPr>
              <w:t>（</w:t>
            </w:r>
            <w:r>
              <w:rPr>
                <w:rFonts w:hint="eastAsia" w:ascii="宋体" w:hAnsi="宋体" w:eastAsia="宋体" w:cs="宋体"/>
                <w:color w:val="auto"/>
                <w:spacing w:val="0"/>
                <w:kern w:val="0"/>
                <w:sz w:val="24"/>
                <w:szCs w:val="24"/>
                <w:highlight w:val="none"/>
                <w:lang w:val="en-US" w:eastAsia="zh-CN" w:bidi="ar"/>
              </w:rPr>
              <w:t>HJ 819-2017</w:t>
            </w:r>
            <w:r>
              <w:rPr>
                <w:rFonts w:hint="eastAsia" w:cs="宋体"/>
                <w:color w:val="auto"/>
                <w:spacing w:val="0"/>
                <w:kern w:val="0"/>
                <w:sz w:val="24"/>
                <w:szCs w:val="24"/>
                <w:highlight w:val="none"/>
                <w:lang w:val="en-US" w:eastAsia="zh-CN" w:bidi="ar"/>
              </w:rPr>
              <w:t>）</w:t>
            </w:r>
            <w:r>
              <w:rPr>
                <w:rFonts w:hint="eastAsia" w:ascii="宋体" w:hAnsi="宋体" w:eastAsia="宋体" w:cs="宋体"/>
                <w:color w:val="auto"/>
                <w:spacing w:val="0"/>
                <w:kern w:val="0"/>
                <w:sz w:val="24"/>
                <w:szCs w:val="24"/>
                <w:highlight w:val="none"/>
                <w:lang w:val="en-US" w:eastAsia="zh-CN" w:bidi="ar"/>
              </w:rPr>
              <w:fldChar w:fldCharType="end"/>
            </w:r>
            <w:r>
              <w:rPr>
                <w:rFonts w:hint="eastAsia" w:cs="宋体"/>
                <w:color w:val="auto"/>
                <w:spacing w:val="0"/>
                <w:kern w:val="0"/>
                <w:sz w:val="24"/>
                <w:szCs w:val="24"/>
                <w:highlight w:val="none"/>
                <w:lang w:val="en-US" w:eastAsia="zh-CN" w:bidi="ar"/>
              </w:rPr>
              <w:t>、</w:t>
            </w:r>
            <w:r>
              <w:rPr>
                <w:rFonts w:hint="eastAsia"/>
                <w:color w:val="auto"/>
                <w:sz w:val="24"/>
                <w:highlight w:val="none"/>
              </w:rPr>
              <w:t>《排污单位自行监测技术指南火力发电及锅炉（</w:t>
            </w:r>
            <w:r>
              <w:rPr>
                <w:color w:val="auto"/>
                <w:sz w:val="24"/>
                <w:highlight w:val="none"/>
              </w:rPr>
              <w:t>HJ820-2017</w:t>
            </w:r>
            <w:r>
              <w:rPr>
                <w:rFonts w:hint="eastAsia"/>
                <w:color w:val="auto"/>
                <w:sz w:val="24"/>
                <w:highlight w:val="none"/>
              </w:rPr>
              <w:t>）》</w:t>
            </w:r>
            <w:r>
              <w:rPr>
                <w:rFonts w:hint="eastAsia" w:ascii="宋体" w:hAnsi="宋体" w:eastAsia="宋体" w:cs="宋体"/>
                <w:color w:val="auto"/>
                <w:spacing w:val="0"/>
                <w:kern w:val="0"/>
                <w:sz w:val="24"/>
                <w:szCs w:val="24"/>
                <w:highlight w:val="none"/>
                <w:lang w:val="en-US" w:eastAsia="zh-CN" w:bidi="ar"/>
              </w:rPr>
              <w:t>，本项目废水日常监测计划详见下表。</w:t>
            </w:r>
          </w:p>
          <w:p w14:paraId="1A431C77">
            <w:pPr>
              <w:pStyle w:val="12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bCs/>
                <w:color w:val="auto"/>
                <w:spacing w:val="0"/>
                <w:kern w:val="0"/>
                <w:sz w:val="21"/>
                <w:szCs w:val="21"/>
                <w:highlight w:val="none"/>
                <w:lang w:val="en-US" w:eastAsia="zh-CN" w:bidi="ar"/>
              </w:rPr>
            </w:pPr>
            <w:r>
              <w:rPr>
                <w:rFonts w:hint="eastAsia" w:ascii="宋体" w:hAnsi="宋体" w:eastAsia="宋体" w:cs="宋体"/>
                <w:b/>
                <w:bCs/>
                <w:color w:val="auto"/>
                <w:spacing w:val="0"/>
                <w:kern w:val="0"/>
                <w:sz w:val="21"/>
                <w:szCs w:val="21"/>
                <w:highlight w:val="none"/>
                <w:lang w:val="en-US" w:eastAsia="zh-CN" w:bidi="ar"/>
              </w:rPr>
              <w:t>表4-12  废水污染源监测计划</w:t>
            </w:r>
          </w:p>
          <w:tbl>
            <w:tblPr>
              <w:tblStyle w:val="3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6"/>
              <w:gridCol w:w="871"/>
              <w:gridCol w:w="760"/>
              <w:gridCol w:w="663"/>
              <w:gridCol w:w="1081"/>
              <w:gridCol w:w="786"/>
              <w:gridCol w:w="786"/>
              <w:gridCol w:w="979"/>
              <w:gridCol w:w="753"/>
              <w:gridCol w:w="624"/>
            </w:tblGrid>
            <w:tr w14:paraId="42462D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8" w:type="pct"/>
                  <w:tcBorders>
                    <w:tl2br w:val="nil"/>
                    <w:tr2bl w:val="nil"/>
                  </w:tcBorders>
                  <w:noWrap w:val="0"/>
                  <w:vAlign w:val="center"/>
                </w:tcPr>
                <w:p w14:paraId="44F0B96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b/>
                      <w:color w:val="auto"/>
                      <w:spacing w:val="0"/>
                      <w:kern w:val="0"/>
                      <w:sz w:val="21"/>
                      <w:szCs w:val="21"/>
                      <w:highlight w:val="none"/>
                      <w:lang w:val="en-US" w:eastAsia="zh-CN" w:bidi="ar"/>
                    </w:rPr>
                    <w:t>排放口编号</w:t>
                  </w:r>
                </w:p>
              </w:tc>
              <w:tc>
                <w:tcPr>
                  <w:tcW w:w="555" w:type="pct"/>
                  <w:tcBorders>
                    <w:tl2br w:val="nil"/>
                    <w:tr2bl w:val="nil"/>
                  </w:tcBorders>
                  <w:noWrap w:val="0"/>
                  <w:vAlign w:val="center"/>
                </w:tcPr>
                <w:p w14:paraId="6CF1764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b/>
                      <w:color w:val="auto"/>
                      <w:spacing w:val="0"/>
                      <w:kern w:val="0"/>
                      <w:sz w:val="21"/>
                      <w:szCs w:val="21"/>
                      <w:highlight w:val="none"/>
                      <w:lang w:val="en-US" w:eastAsia="zh-CN" w:bidi="ar"/>
                    </w:rPr>
                    <w:t>污染物名称</w:t>
                  </w:r>
                </w:p>
              </w:tc>
              <w:tc>
                <w:tcPr>
                  <w:tcW w:w="484" w:type="pct"/>
                  <w:tcBorders>
                    <w:tl2br w:val="nil"/>
                    <w:tr2bl w:val="nil"/>
                  </w:tcBorders>
                  <w:noWrap w:val="0"/>
                  <w:vAlign w:val="center"/>
                </w:tcPr>
                <w:p w14:paraId="0E852F2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b/>
                      <w:color w:val="auto"/>
                      <w:spacing w:val="0"/>
                      <w:kern w:val="0"/>
                      <w:sz w:val="21"/>
                      <w:szCs w:val="21"/>
                      <w:highlight w:val="none"/>
                      <w:lang w:val="en-US" w:eastAsia="zh-CN" w:bidi="ar"/>
                    </w:rPr>
                    <w:t>监测设施</w:t>
                  </w:r>
                </w:p>
              </w:tc>
              <w:tc>
                <w:tcPr>
                  <w:tcW w:w="422" w:type="pct"/>
                  <w:tcBorders>
                    <w:tl2br w:val="nil"/>
                    <w:tr2bl w:val="nil"/>
                  </w:tcBorders>
                  <w:noWrap w:val="0"/>
                  <w:vAlign w:val="center"/>
                </w:tcPr>
                <w:p w14:paraId="478FEF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b/>
                      <w:color w:val="auto"/>
                      <w:spacing w:val="0"/>
                      <w:kern w:val="0"/>
                      <w:sz w:val="21"/>
                      <w:szCs w:val="21"/>
                      <w:highlight w:val="none"/>
                      <w:lang w:val="en-US" w:eastAsia="zh-CN" w:bidi="ar"/>
                    </w:rPr>
                    <w:t>自动监测设施安装位置</w:t>
                  </w:r>
                </w:p>
              </w:tc>
              <w:tc>
                <w:tcPr>
                  <w:tcW w:w="688" w:type="pct"/>
                  <w:tcBorders>
                    <w:tl2br w:val="nil"/>
                    <w:tr2bl w:val="nil"/>
                  </w:tcBorders>
                  <w:noWrap w:val="0"/>
                  <w:vAlign w:val="center"/>
                </w:tcPr>
                <w:p w14:paraId="6BE822C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b/>
                      <w:color w:val="auto"/>
                      <w:spacing w:val="0"/>
                      <w:kern w:val="0"/>
                      <w:sz w:val="21"/>
                      <w:szCs w:val="21"/>
                      <w:highlight w:val="none"/>
                      <w:lang w:val="en-US" w:eastAsia="zh-CN" w:bidi="ar"/>
                    </w:rPr>
                    <w:t>自动监测设施的安装、运行、维护等相关管理要求</w:t>
                  </w:r>
                </w:p>
              </w:tc>
              <w:tc>
                <w:tcPr>
                  <w:tcW w:w="500" w:type="pct"/>
                  <w:tcBorders>
                    <w:tl2br w:val="nil"/>
                    <w:tr2bl w:val="nil"/>
                  </w:tcBorders>
                  <w:noWrap w:val="0"/>
                  <w:vAlign w:val="center"/>
                </w:tcPr>
                <w:p w14:paraId="463A562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b/>
                      <w:color w:val="auto"/>
                      <w:spacing w:val="0"/>
                      <w:kern w:val="0"/>
                      <w:sz w:val="21"/>
                      <w:szCs w:val="21"/>
                      <w:highlight w:val="none"/>
                      <w:lang w:val="en-US" w:eastAsia="zh-CN" w:bidi="ar"/>
                    </w:rPr>
                    <w:t>自动监测是否联网</w:t>
                  </w:r>
                </w:p>
              </w:tc>
              <w:tc>
                <w:tcPr>
                  <w:tcW w:w="500" w:type="pct"/>
                  <w:tcBorders>
                    <w:tl2br w:val="nil"/>
                    <w:tr2bl w:val="nil"/>
                  </w:tcBorders>
                  <w:noWrap w:val="0"/>
                  <w:vAlign w:val="center"/>
                </w:tcPr>
                <w:p w14:paraId="137AE98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b/>
                      <w:color w:val="auto"/>
                      <w:spacing w:val="0"/>
                      <w:kern w:val="0"/>
                      <w:sz w:val="21"/>
                      <w:szCs w:val="21"/>
                      <w:highlight w:val="none"/>
                      <w:lang w:val="en-US" w:eastAsia="zh-CN" w:bidi="ar"/>
                    </w:rPr>
                    <w:t>自动监测仪器名称</w:t>
                  </w:r>
                </w:p>
              </w:tc>
              <w:tc>
                <w:tcPr>
                  <w:tcW w:w="623" w:type="pct"/>
                  <w:tcBorders>
                    <w:tl2br w:val="nil"/>
                    <w:tr2bl w:val="nil"/>
                  </w:tcBorders>
                  <w:noWrap w:val="0"/>
                  <w:vAlign w:val="center"/>
                </w:tcPr>
                <w:p w14:paraId="0FA767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b/>
                      <w:color w:val="auto"/>
                      <w:spacing w:val="0"/>
                      <w:kern w:val="0"/>
                      <w:sz w:val="21"/>
                      <w:szCs w:val="21"/>
                      <w:highlight w:val="none"/>
                      <w:lang w:val="en-US" w:eastAsia="zh-CN" w:bidi="ar"/>
                    </w:rPr>
                    <w:t>手工监测采样方法及个数</w:t>
                  </w:r>
                </w:p>
              </w:tc>
              <w:tc>
                <w:tcPr>
                  <w:tcW w:w="479" w:type="pct"/>
                  <w:tcBorders>
                    <w:tl2br w:val="nil"/>
                    <w:tr2bl w:val="nil"/>
                  </w:tcBorders>
                  <w:noWrap w:val="0"/>
                  <w:vAlign w:val="center"/>
                </w:tcPr>
                <w:p w14:paraId="1A86F3E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b/>
                      <w:color w:val="auto"/>
                      <w:spacing w:val="0"/>
                      <w:kern w:val="0"/>
                      <w:sz w:val="21"/>
                      <w:szCs w:val="21"/>
                      <w:highlight w:val="none"/>
                      <w:lang w:val="en-US" w:eastAsia="zh-CN" w:bidi="ar"/>
                    </w:rPr>
                    <w:t>手工监测频次</w:t>
                  </w:r>
                </w:p>
              </w:tc>
              <w:tc>
                <w:tcPr>
                  <w:tcW w:w="397" w:type="pct"/>
                  <w:tcBorders>
                    <w:tl2br w:val="nil"/>
                    <w:tr2bl w:val="nil"/>
                  </w:tcBorders>
                  <w:noWrap w:val="0"/>
                  <w:vAlign w:val="center"/>
                </w:tcPr>
                <w:p w14:paraId="5207D24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b/>
                      <w:color w:val="auto"/>
                      <w:spacing w:val="0"/>
                      <w:kern w:val="0"/>
                      <w:sz w:val="21"/>
                      <w:szCs w:val="21"/>
                      <w:highlight w:val="none"/>
                      <w:lang w:val="en-US" w:eastAsia="zh-CN" w:bidi="ar"/>
                    </w:rPr>
                    <w:t>手工测定方法</w:t>
                  </w:r>
                </w:p>
              </w:tc>
            </w:tr>
            <w:tr w14:paraId="699C84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8" w:type="pct"/>
                  <w:vMerge w:val="restart"/>
                  <w:tcBorders>
                    <w:tl2br w:val="nil"/>
                    <w:tr2bl w:val="nil"/>
                  </w:tcBorders>
                  <w:noWrap w:val="0"/>
                  <w:vAlign w:val="center"/>
                </w:tcPr>
                <w:p w14:paraId="63D6C29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DW</w:t>
                  </w:r>
                </w:p>
                <w:p w14:paraId="67D00F5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lang w:val="en-US"/>
                    </w:rPr>
                  </w:pPr>
                  <w:r>
                    <w:rPr>
                      <w:rFonts w:hint="eastAsia" w:ascii="宋体" w:hAnsi="宋体" w:eastAsia="宋体" w:cs="宋体"/>
                      <w:color w:val="auto"/>
                      <w:spacing w:val="0"/>
                      <w:sz w:val="21"/>
                      <w:szCs w:val="21"/>
                      <w:highlight w:val="none"/>
                      <w:vertAlign w:val="baseline"/>
                      <w:lang w:val="en-US" w:eastAsia="zh-CN"/>
                    </w:rPr>
                    <w:t>001</w:t>
                  </w:r>
                </w:p>
              </w:tc>
              <w:tc>
                <w:tcPr>
                  <w:tcW w:w="555" w:type="pct"/>
                  <w:tcBorders>
                    <w:tl2br w:val="nil"/>
                    <w:tr2bl w:val="nil"/>
                  </w:tcBorders>
                  <w:noWrap w:val="0"/>
                  <w:vAlign w:val="center"/>
                </w:tcPr>
                <w:p w14:paraId="70B399F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2"/>
                      <w:sz w:val="21"/>
                      <w:szCs w:val="21"/>
                      <w:highlight w:val="none"/>
                      <w:lang w:val="en-US" w:eastAsia="zh-CN" w:bidi="ar-SA"/>
                    </w:rPr>
                  </w:pPr>
                  <w:r>
                    <w:rPr>
                      <w:rFonts w:hint="eastAsia" w:ascii="宋体" w:hAnsi="宋体" w:eastAsia="宋体" w:cs="宋体"/>
                      <w:color w:val="auto"/>
                      <w:spacing w:val="0"/>
                      <w:sz w:val="21"/>
                      <w:szCs w:val="21"/>
                      <w:highlight w:val="none"/>
                    </w:rPr>
                    <w:t>SS</w:t>
                  </w:r>
                </w:p>
              </w:tc>
              <w:tc>
                <w:tcPr>
                  <w:tcW w:w="484" w:type="pct"/>
                  <w:vMerge w:val="restart"/>
                  <w:tcBorders>
                    <w:tl2br w:val="nil"/>
                    <w:tr2bl w:val="nil"/>
                  </w:tcBorders>
                  <w:noWrap w:val="0"/>
                  <w:vAlign w:val="center"/>
                </w:tcPr>
                <w:p w14:paraId="52F79AE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bidi="ar"/>
                    </w:rPr>
                  </w:pPr>
                  <w:r>
                    <w:rPr>
                      <w:rFonts w:hint="eastAsia" w:ascii="宋体" w:hAnsi="宋体" w:eastAsia="宋体" w:cs="宋体"/>
                      <w:color w:val="auto"/>
                      <w:spacing w:val="0"/>
                      <w:kern w:val="0"/>
                      <w:sz w:val="21"/>
                      <w:szCs w:val="21"/>
                      <w:highlight w:val="none"/>
                      <w:lang w:val="en-US" w:eastAsia="zh-CN" w:bidi="ar"/>
                    </w:rPr>
                    <w:t>⎕自动</w:t>
                  </w:r>
                </w:p>
                <w:p w14:paraId="1AC179D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rPr>
                  </w:pPr>
                  <w:r>
                    <w:rPr>
                      <w:rFonts w:hint="eastAsia" w:ascii="宋体" w:hAnsi="宋体" w:eastAsia="宋体" w:cs="宋体"/>
                      <w:color w:val="auto"/>
                      <w:spacing w:val="0"/>
                      <w:kern w:val="0"/>
                      <w:sz w:val="21"/>
                      <w:szCs w:val="21"/>
                      <w:highlight w:val="none"/>
                      <w:lang w:val="en-US" w:eastAsia="zh-CN" w:bidi="ar"/>
                    </w:rPr>
                    <w:t>√</w:t>
                  </w:r>
                </w:p>
                <w:p w14:paraId="09359EE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rPr>
                  </w:pPr>
                  <w:r>
                    <w:rPr>
                      <w:rFonts w:hint="eastAsia" w:ascii="宋体" w:hAnsi="宋体" w:eastAsia="宋体" w:cs="宋体"/>
                      <w:color w:val="auto"/>
                      <w:spacing w:val="0"/>
                      <w:kern w:val="0"/>
                      <w:sz w:val="21"/>
                      <w:szCs w:val="21"/>
                      <w:highlight w:val="none"/>
                      <w:lang w:val="en-US" w:eastAsia="zh-CN" w:bidi="ar"/>
                    </w:rPr>
                    <w:t>手</w:t>
                  </w:r>
                </w:p>
                <w:p w14:paraId="0338D92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color w:val="auto"/>
                      <w:spacing w:val="0"/>
                      <w:kern w:val="0"/>
                      <w:sz w:val="21"/>
                      <w:szCs w:val="21"/>
                      <w:highlight w:val="none"/>
                      <w:lang w:val="en-US" w:eastAsia="zh-CN" w:bidi="ar"/>
                    </w:rPr>
                    <w:t>工</w:t>
                  </w:r>
                </w:p>
              </w:tc>
              <w:tc>
                <w:tcPr>
                  <w:tcW w:w="422" w:type="pct"/>
                  <w:vMerge w:val="restart"/>
                  <w:tcBorders>
                    <w:tl2br w:val="nil"/>
                    <w:tr2bl w:val="nil"/>
                  </w:tcBorders>
                  <w:noWrap w:val="0"/>
                  <w:vAlign w:val="center"/>
                </w:tcPr>
                <w:p w14:paraId="1AE3A05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color w:val="auto"/>
                      <w:spacing w:val="0"/>
                      <w:kern w:val="0"/>
                      <w:sz w:val="21"/>
                      <w:szCs w:val="21"/>
                      <w:highlight w:val="none"/>
                      <w:lang w:val="en-US" w:eastAsia="zh-CN" w:bidi="ar"/>
                    </w:rPr>
                    <w:t>不涉及</w:t>
                  </w:r>
                </w:p>
              </w:tc>
              <w:tc>
                <w:tcPr>
                  <w:tcW w:w="688" w:type="pct"/>
                  <w:vMerge w:val="restart"/>
                  <w:tcBorders>
                    <w:tl2br w:val="nil"/>
                    <w:tr2bl w:val="nil"/>
                  </w:tcBorders>
                  <w:noWrap w:val="0"/>
                  <w:vAlign w:val="center"/>
                </w:tcPr>
                <w:p w14:paraId="208EC17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color w:val="auto"/>
                      <w:spacing w:val="0"/>
                      <w:kern w:val="0"/>
                      <w:sz w:val="21"/>
                      <w:szCs w:val="21"/>
                      <w:highlight w:val="none"/>
                      <w:lang w:val="en-US" w:eastAsia="zh-CN" w:bidi="ar"/>
                    </w:rPr>
                    <w:t>不涉及</w:t>
                  </w:r>
                </w:p>
              </w:tc>
              <w:tc>
                <w:tcPr>
                  <w:tcW w:w="500" w:type="pct"/>
                  <w:vMerge w:val="restart"/>
                  <w:tcBorders>
                    <w:tl2br w:val="nil"/>
                    <w:tr2bl w:val="nil"/>
                  </w:tcBorders>
                  <w:noWrap w:val="0"/>
                  <w:vAlign w:val="center"/>
                </w:tcPr>
                <w:p w14:paraId="138376D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color w:val="auto"/>
                      <w:spacing w:val="0"/>
                      <w:kern w:val="0"/>
                      <w:sz w:val="21"/>
                      <w:szCs w:val="21"/>
                      <w:highlight w:val="none"/>
                      <w:lang w:val="en-US" w:eastAsia="zh-CN" w:bidi="ar"/>
                    </w:rPr>
                    <w:t>不涉及</w:t>
                  </w:r>
                </w:p>
              </w:tc>
              <w:tc>
                <w:tcPr>
                  <w:tcW w:w="500" w:type="pct"/>
                  <w:vMerge w:val="restart"/>
                  <w:tcBorders>
                    <w:tl2br w:val="nil"/>
                    <w:tr2bl w:val="nil"/>
                  </w:tcBorders>
                  <w:noWrap w:val="0"/>
                  <w:vAlign w:val="center"/>
                </w:tcPr>
                <w:p w14:paraId="42783FD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color w:val="auto"/>
                      <w:spacing w:val="0"/>
                      <w:kern w:val="0"/>
                      <w:sz w:val="21"/>
                      <w:szCs w:val="21"/>
                      <w:highlight w:val="none"/>
                      <w:lang w:val="en-US" w:eastAsia="zh-CN" w:bidi="ar"/>
                    </w:rPr>
                    <w:t>不涉及</w:t>
                  </w:r>
                </w:p>
              </w:tc>
              <w:tc>
                <w:tcPr>
                  <w:tcW w:w="623" w:type="pct"/>
                  <w:vMerge w:val="restart"/>
                  <w:tcBorders>
                    <w:tl2br w:val="nil"/>
                    <w:tr2bl w:val="nil"/>
                  </w:tcBorders>
                  <w:noWrap w:val="0"/>
                  <w:vAlign w:val="center"/>
                </w:tcPr>
                <w:p w14:paraId="187AE2F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rPr>
                  </w:pPr>
                  <w:r>
                    <w:rPr>
                      <w:rFonts w:hint="eastAsia" w:ascii="宋体" w:hAnsi="宋体" w:eastAsia="宋体" w:cs="宋体"/>
                      <w:color w:val="auto"/>
                      <w:spacing w:val="0"/>
                      <w:kern w:val="0"/>
                      <w:sz w:val="21"/>
                      <w:szCs w:val="21"/>
                      <w:highlight w:val="none"/>
                      <w:lang w:val="en-US" w:eastAsia="zh-CN" w:bidi="ar"/>
                    </w:rPr>
                    <w:t>瞬时采</w:t>
                  </w:r>
                </w:p>
                <w:p w14:paraId="31D4BF2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color w:val="auto"/>
                      <w:spacing w:val="0"/>
                      <w:kern w:val="0"/>
                      <w:sz w:val="21"/>
                      <w:szCs w:val="21"/>
                      <w:highlight w:val="none"/>
                      <w:lang w:val="en-US" w:eastAsia="zh-CN" w:bidi="ar"/>
                    </w:rPr>
                    <w:t>样（三个瞬时样）</w:t>
                  </w:r>
                </w:p>
              </w:tc>
              <w:tc>
                <w:tcPr>
                  <w:tcW w:w="479" w:type="pct"/>
                  <w:vMerge w:val="restart"/>
                  <w:tcBorders>
                    <w:tl2br w:val="nil"/>
                    <w:tr2bl w:val="nil"/>
                  </w:tcBorders>
                  <w:noWrap w:val="0"/>
                  <w:vAlign w:val="center"/>
                </w:tcPr>
                <w:p w14:paraId="4DACC73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r>
                    <w:rPr>
                      <w:rFonts w:hint="eastAsia" w:ascii="宋体" w:hAnsi="宋体" w:eastAsia="宋体" w:cs="宋体"/>
                      <w:bCs/>
                      <w:color w:val="auto"/>
                      <w:spacing w:val="0"/>
                      <w:sz w:val="21"/>
                      <w:szCs w:val="21"/>
                      <w:highlight w:val="none"/>
                    </w:rPr>
                    <w:t>1次/</w:t>
                  </w:r>
                  <w:r>
                    <w:rPr>
                      <w:rFonts w:hint="eastAsia" w:cs="宋体"/>
                      <w:bCs/>
                      <w:color w:val="auto"/>
                      <w:spacing w:val="0"/>
                      <w:sz w:val="21"/>
                      <w:szCs w:val="21"/>
                      <w:highlight w:val="none"/>
                      <w:lang w:val="en-US" w:eastAsia="zh-CN"/>
                    </w:rPr>
                    <w:t>年</w:t>
                  </w:r>
                </w:p>
              </w:tc>
              <w:tc>
                <w:tcPr>
                  <w:tcW w:w="397" w:type="pct"/>
                  <w:vMerge w:val="restart"/>
                  <w:tcBorders>
                    <w:tl2br w:val="nil"/>
                    <w:tr2bl w:val="nil"/>
                  </w:tcBorders>
                  <w:noWrap w:val="0"/>
                  <w:vAlign w:val="center"/>
                </w:tcPr>
                <w:p w14:paraId="450F890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lang w:val="en-US" w:eastAsia="zh-CN"/>
                    </w:rPr>
                  </w:pPr>
                  <w:r>
                    <w:rPr>
                      <w:rFonts w:hint="eastAsia" w:ascii="宋体" w:hAnsi="宋体" w:eastAsia="宋体" w:cs="宋体"/>
                      <w:color w:val="auto"/>
                      <w:spacing w:val="0"/>
                      <w:highlight w:val="none"/>
                      <w:vertAlign w:val="baseline"/>
                      <w:lang w:val="en-US" w:eastAsia="zh-CN"/>
                    </w:rPr>
                    <w:t>/</w:t>
                  </w:r>
                </w:p>
              </w:tc>
            </w:tr>
            <w:tr w14:paraId="42CF2F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8" w:type="pct"/>
                  <w:vMerge w:val="continue"/>
                  <w:tcBorders>
                    <w:tl2br w:val="nil"/>
                    <w:tr2bl w:val="nil"/>
                  </w:tcBorders>
                  <w:noWrap w:val="0"/>
                  <w:vAlign w:val="center"/>
                </w:tcPr>
                <w:p w14:paraId="1272F81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555" w:type="pct"/>
                  <w:tcBorders>
                    <w:tl2br w:val="nil"/>
                    <w:tr2bl w:val="nil"/>
                  </w:tcBorders>
                  <w:noWrap w:val="0"/>
                  <w:vAlign w:val="center"/>
                </w:tcPr>
                <w:p w14:paraId="7E673D5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2"/>
                      <w:sz w:val="21"/>
                      <w:szCs w:val="21"/>
                      <w:highlight w:val="none"/>
                      <w:lang w:val="en-US" w:eastAsia="zh-CN" w:bidi="ar-SA"/>
                    </w:rPr>
                  </w:pPr>
                  <w:r>
                    <w:rPr>
                      <w:rFonts w:hint="eastAsia" w:ascii="宋体" w:hAnsi="宋体" w:eastAsia="宋体" w:cs="宋体"/>
                      <w:color w:val="auto"/>
                      <w:spacing w:val="0"/>
                      <w:sz w:val="21"/>
                      <w:szCs w:val="21"/>
                      <w:highlight w:val="none"/>
                    </w:rPr>
                    <w:t>COD</w:t>
                  </w:r>
                  <w:r>
                    <w:rPr>
                      <w:rFonts w:hint="eastAsia" w:ascii="宋体" w:hAnsi="宋体" w:eastAsia="宋体" w:cs="宋体"/>
                      <w:color w:val="auto"/>
                      <w:spacing w:val="0"/>
                      <w:sz w:val="21"/>
                      <w:szCs w:val="21"/>
                      <w:highlight w:val="none"/>
                      <w:vertAlign w:val="subscript"/>
                    </w:rPr>
                    <w:t>cr</w:t>
                  </w:r>
                </w:p>
              </w:tc>
              <w:tc>
                <w:tcPr>
                  <w:tcW w:w="484" w:type="pct"/>
                  <w:vMerge w:val="continue"/>
                  <w:tcBorders>
                    <w:tl2br w:val="nil"/>
                    <w:tr2bl w:val="nil"/>
                  </w:tcBorders>
                  <w:noWrap w:val="0"/>
                  <w:vAlign w:val="center"/>
                </w:tcPr>
                <w:p w14:paraId="5E313A6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422" w:type="pct"/>
                  <w:vMerge w:val="continue"/>
                  <w:tcBorders>
                    <w:tl2br w:val="nil"/>
                    <w:tr2bl w:val="nil"/>
                  </w:tcBorders>
                  <w:noWrap w:val="0"/>
                  <w:vAlign w:val="center"/>
                </w:tcPr>
                <w:p w14:paraId="3074DD2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688" w:type="pct"/>
                  <w:vMerge w:val="continue"/>
                  <w:tcBorders>
                    <w:tl2br w:val="nil"/>
                    <w:tr2bl w:val="nil"/>
                  </w:tcBorders>
                  <w:noWrap w:val="0"/>
                  <w:vAlign w:val="center"/>
                </w:tcPr>
                <w:p w14:paraId="5127347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500" w:type="pct"/>
                  <w:vMerge w:val="continue"/>
                  <w:tcBorders>
                    <w:tl2br w:val="nil"/>
                    <w:tr2bl w:val="nil"/>
                  </w:tcBorders>
                  <w:noWrap w:val="0"/>
                  <w:vAlign w:val="center"/>
                </w:tcPr>
                <w:p w14:paraId="6B2BBB6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500" w:type="pct"/>
                  <w:vMerge w:val="continue"/>
                  <w:tcBorders>
                    <w:tl2br w:val="nil"/>
                    <w:tr2bl w:val="nil"/>
                  </w:tcBorders>
                  <w:noWrap w:val="0"/>
                  <w:vAlign w:val="center"/>
                </w:tcPr>
                <w:p w14:paraId="3499E83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623" w:type="pct"/>
                  <w:vMerge w:val="continue"/>
                  <w:tcBorders>
                    <w:tl2br w:val="nil"/>
                    <w:tr2bl w:val="nil"/>
                  </w:tcBorders>
                  <w:noWrap w:val="0"/>
                  <w:vAlign w:val="center"/>
                </w:tcPr>
                <w:p w14:paraId="5C07F5A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479" w:type="pct"/>
                  <w:vMerge w:val="continue"/>
                  <w:tcBorders>
                    <w:tl2br w:val="nil"/>
                    <w:tr2bl w:val="nil"/>
                  </w:tcBorders>
                  <w:noWrap w:val="0"/>
                  <w:vAlign w:val="center"/>
                </w:tcPr>
                <w:p w14:paraId="050DA11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397" w:type="pct"/>
                  <w:vMerge w:val="continue"/>
                  <w:tcBorders>
                    <w:tl2br w:val="nil"/>
                    <w:tr2bl w:val="nil"/>
                  </w:tcBorders>
                  <w:noWrap w:val="0"/>
                  <w:vAlign w:val="center"/>
                </w:tcPr>
                <w:p w14:paraId="552569B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r>
            <w:tr w14:paraId="17A71C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8" w:type="pct"/>
                  <w:vMerge w:val="continue"/>
                  <w:tcBorders>
                    <w:tl2br w:val="nil"/>
                    <w:tr2bl w:val="nil"/>
                  </w:tcBorders>
                  <w:noWrap w:val="0"/>
                  <w:vAlign w:val="center"/>
                </w:tcPr>
                <w:p w14:paraId="7E28415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555" w:type="pct"/>
                  <w:tcBorders>
                    <w:tl2br w:val="nil"/>
                    <w:tr2bl w:val="nil"/>
                  </w:tcBorders>
                  <w:noWrap w:val="0"/>
                  <w:vAlign w:val="center"/>
                </w:tcPr>
                <w:p w14:paraId="1367292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pH</w:t>
                  </w:r>
                </w:p>
              </w:tc>
              <w:tc>
                <w:tcPr>
                  <w:tcW w:w="484" w:type="pct"/>
                  <w:vMerge w:val="continue"/>
                  <w:tcBorders>
                    <w:tl2br w:val="nil"/>
                    <w:tr2bl w:val="nil"/>
                  </w:tcBorders>
                  <w:noWrap w:val="0"/>
                  <w:vAlign w:val="center"/>
                </w:tcPr>
                <w:p w14:paraId="14B3390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422" w:type="pct"/>
                  <w:vMerge w:val="continue"/>
                  <w:tcBorders>
                    <w:tl2br w:val="nil"/>
                    <w:tr2bl w:val="nil"/>
                  </w:tcBorders>
                  <w:noWrap w:val="0"/>
                  <w:vAlign w:val="center"/>
                </w:tcPr>
                <w:p w14:paraId="12F04EB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688" w:type="pct"/>
                  <w:vMerge w:val="continue"/>
                  <w:tcBorders>
                    <w:tl2br w:val="nil"/>
                    <w:tr2bl w:val="nil"/>
                  </w:tcBorders>
                  <w:noWrap w:val="0"/>
                  <w:vAlign w:val="center"/>
                </w:tcPr>
                <w:p w14:paraId="414F469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500" w:type="pct"/>
                  <w:vMerge w:val="continue"/>
                  <w:tcBorders>
                    <w:tl2br w:val="nil"/>
                    <w:tr2bl w:val="nil"/>
                  </w:tcBorders>
                  <w:noWrap w:val="0"/>
                  <w:vAlign w:val="center"/>
                </w:tcPr>
                <w:p w14:paraId="1C80900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500" w:type="pct"/>
                  <w:vMerge w:val="continue"/>
                  <w:tcBorders>
                    <w:tl2br w:val="nil"/>
                    <w:tr2bl w:val="nil"/>
                  </w:tcBorders>
                  <w:noWrap w:val="0"/>
                  <w:vAlign w:val="center"/>
                </w:tcPr>
                <w:p w14:paraId="03C3F04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623" w:type="pct"/>
                  <w:vMerge w:val="continue"/>
                  <w:tcBorders>
                    <w:tl2br w:val="nil"/>
                    <w:tr2bl w:val="nil"/>
                  </w:tcBorders>
                  <w:noWrap w:val="0"/>
                  <w:vAlign w:val="center"/>
                </w:tcPr>
                <w:p w14:paraId="12B7C08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479" w:type="pct"/>
                  <w:vMerge w:val="continue"/>
                  <w:tcBorders>
                    <w:tl2br w:val="nil"/>
                    <w:tr2bl w:val="nil"/>
                  </w:tcBorders>
                  <w:noWrap w:val="0"/>
                  <w:vAlign w:val="center"/>
                </w:tcPr>
                <w:p w14:paraId="3A0FA3A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c>
                <w:tcPr>
                  <w:tcW w:w="397" w:type="pct"/>
                  <w:vMerge w:val="continue"/>
                  <w:tcBorders>
                    <w:tl2br w:val="nil"/>
                    <w:tr2bl w:val="nil"/>
                  </w:tcBorders>
                  <w:noWrap w:val="0"/>
                  <w:vAlign w:val="center"/>
                </w:tcPr>
                <w:p w14:paraId="157BCDB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highlight w:val="none"/>
                      <w:vertAlign w:val="baseline"/>
                    </w:rPr>
                  </w:pPr>
                </w:p>
              </w:tc>
            </w:tr>
          </w:tbl>
          <w:p w14:paraId="6AF5154E">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color w:val="auto"/>
                <w:spacing w:val="0"/>
                <w:sz w:val="24"/>
                <w:highlight w:val="none"/>
                <w:lang w:val="en-US" w:eastAsia="zh-CN"/>
              </w:rPr>
            </w:pPr>
            <w:r>
              <w:rPr>
                <w:rFonts w:hint="eastAsia" w:ascii="宋体" w:hAnsi="宋体" w:eastAsia="宋体" w:cs="宋体"/>
                <w:b/>
                <w:color w:val="auto"/>
                <w:spacing w:val="0"/>
                <w:sz w:val="24"/>
                <w:highlight w:val="none"/>
                <w:lang w:val="en-US" w:eastAsia="zh-CN"/>
              </w:rPr>
              <w:t>2.5废水排放环境影响分析</w:t>
            </w:r>
          </w:p>
          <w:p w14:paraId="5146EB15">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宋体" w:hAnsi="宋体" w:eastAsia="宋体" w:cs="宋体"/>
                <w:b w:val="0"/>
                <w:bCs/>
                <w:color w:val="auto"/>
                <w:spacing w:val="0"/>
                <w:highlight w:val="none"/>
                <w:lang w:val="en-US" w:eastAsia="zh-CN"/>
              </w:rPr>
            </w:pPr>
            <w:r>
              <w:rPr>
                <w:rFonts w:hint="default" w:ascii="宋体" w:hAnsi="宋体" w:eastAsia="宋体" w:cs="宋体"/>
                <w:b w:val="0"/>
                <w:bCs/>
                <w:color w:val="auto"/>
                <w:spacing w:val="0"/>
                <w:highlight w:val="none"/>
                <w:lang w:val="en-US" w:eastAsia="zh-CN"/>
              </w:rPr>
              <w:t>本项目产生的废水主要包括锅炉排污水、软水制备废水及离子交换树脂再生废水。其中，锅炉排污水与软水制备废水直接通过厂区污水总排口接入污水管网，最终进入梨树工业谷污水处理厂集中处理；离子交换树脂再生废水的主要污染物为TDS和Na⁺，该部分废水依托在建工程污水处理站的预处理工艺，采用蒸发除盐系统处理（处理效率达98%），处理达标后同样经厂区污水总排口排入污水管网，最终汇入梨树工业谷污水处理厂集中处置。</w:t>
            </w:r>
          </w:p>
          <w:p w14:paraId="7681C2FB">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eastAsia="宋体" w:cs="宋体"/>
                <w:b/>
                <w:bCs w:val="0"/>
                <w:color w:val="auto"/>
                <w:spacing w:val="0"/>
                <w:sz w:val="28"/>
                <w:szCs w:val="28"/>
                <w:highlight w:val="none"/>
                <w:lang w:val="en-US" w:eastAsia="zh-CN"/>
              </w:rPr>
            </w:pPr>
            <w:r>
              <w:rPr>
                <w:rFonts w:hint="default" w:ascii="宋体" w:hAnsi="宋体" w:eastAsia="宋体" w:cs="宋体"/>
                <w:b w:val="0"/>
                <w:bCs/>
                <w:color w:val="auto"/>
                <w:spacing w:val="0"/>
                <w:highlight w:val="none"/>
                <w:lang w:val="en-US" w:eastAsia="zh-CN"/>
              </w:rPr>
              <w:t>本项目外排废水均满足《污水综合排放标准》（GB8978-1996）表4中三级标准及梨树工业谷污水处理厂纳管要求，属于间接排放模式。经集中处理后，废水排放不会对地表水环境造成影响。</w:t>
            </w:r>
          </w:p>
          <w:p w14:paraId="1002CA58">
            <w:pPr>
              <w:ind w:left="0" w:leftChars="0" w:firstLine="0" w:firstLineChars="0"/>
              <w:rPr>
                <w:rFonts w:hint="eastAsia" w:ascii="宋体" w:hAnsi="宋体" w:eastAsia="宋体" w:cs="宋体"/>
                <w:b/>
                <w:bCs w:val="0"/>
                <w:color w:val="auto"/>
                <w:spacing w:val="0"/>
                <w:sz w:val="28"/>
                <w:szCs w:val="28"/>
                <w:highlight w:val="none"/>
                <w:lang w:val="en-US" w:eastAsia="zh-CN"/>
              </w:rPr>
            </w:pPr>
            <w:r>
              <w:rPr>
                <w:rFonts w:hint="eastAsia" w:cs="宋体"/>
                <w:b/>
                <w:bCs w:val="0"/>
                <w:color w:val="auto"/>
                <w:spacing w:val="0"/>
                <w:sz w:val="28"/>
                <w:szCs w:val="28"/>
                <w:highlight w:val="none"/>
                <w:lang w:val="en-US" w:eastAsia="zh-CN"/>
              </w:rPr>
              <w:t>3.</w:t>
            </w:r>
            <w:r>
              <w:rPr>
                <w:rFonts w:hint="eastAsia" w:ascii="宋体" w:hAnsi="宋体" w:eastAsia="宋体" w:cs="宋体"/>
                <w:b/>
                <w:bCs w:val="0"/>
                <w:color w:val="auto"/>
                <w:spacing w:val="0"/>
                <w:sz w:val="28"/>
                <w:szCs w:val="28"/>
                <w:highlight w:val="none"/>
                <w:lang w:val="en-US" w:eastAsia="zh-CN"/>
              </w:rPr>
              <w:t>噪声</w:t>
            </w:r>
          </w:p>
          <w:p w14:paraId="5EDD2F6A">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b w:val="0"/>
                <w:bCs/>
                <w:color w:val="auto"/>
                <w:spacing w:val="0"/>
                <w:highlight w:val="none"/>
                <w:lang w:val="en-US" w:eastAsia="zh-CN"/>
              </w:rPr>
            </w:pPr>
            <w:r>
              <w:rPr>
                <w:rFonts w:hint="eastAsia" w:ascii="宋体" w:hAnsi="宋体" w:eastAsia="宋体" w:cs="宋体"/>
                <w:b w:val="0"/>
                <w:bCs/>
                <w:color w:val="auto"/>
                <w:spacing w:val="0"/>
                <w:highlight w:val="none"/>
                <w:lang w:val="en-US" w:eastAsia="zh-CN"/>
              </w:rPr>
              <w:t>根据《环境影响评价技术导则声环境》（HJ2.4-2021），由于厂界周边50m范围内没有声环境保护敏感目标，故仅进行噪声厂界达标分析。</w:t>
            </w:r>
          </w:p>
          <w:p w14:paraId="43C6FB95">
            <w:pPr>
              <w:pStyle w:val="13"/>
              <w:keepNext w:val="0"/>
              <w:keepLines w:val="0"/>
              <w:pageBreakBefore w:val="0"/>
              <w:widowControl/>
              <w:kinsoku/>
              <w:wordWrap/>
              <w:overflowPunct/>
              <w:topLinePunct w:val="0"/>
              <w:autoSpaceDE/>
              <w:autoSpaceDN/>
              <w:bidi w:val="0"/>
              <w:adjustRightInd w:val="0"/>
              <w:snapToGrid w:val="0"/>
              <w:spacing w:before="0" w:after="0" w:line="360" w:lineRule="auto"/>
              <w:ind w:left="0" w:leftChars="0" w:right="0" w:firstLine="482" w:firstLineChars="200"/>
              <w:textAlignment w:val="auto"/>
              <w:rPr>
                <w:rFonts w:hint="eastAsia" w:ascii="宋体" w:hAnsi="宋体" w:eastAsia="宋体" w:cs="宋体"/>
                <w:b/>
                <w:bCs w:val="0"/>
                <w:color w:val="auto"/>
                <w:spacing w:val="0"/>
                <w:sz w:val="24"/>
                <w:szCs w:val="24"/>
                <w:highlight w:val="none"/>
                <w:lang w:val="en-US" w:eastAsia="zh-CN"/>
              </w:rPr>
            </w:pPr>
            <w:r>
              <w:rPr>
                <w:rFonts w:hint="eastAsia" w:ascii="宋体" w:hAnsi="宋体" w:eastAsia="宋体" w:cs="宋体"/>
                <w:b/>
                <w:bCs w:val="0"/>
                <w:color w:val="auto"/>
                <w:spacing w:val="0"/>
                <w:sz w:val="24"/>
                <w:szCs w:val="24"/>
                <w:highlight w:val="none"/>
                <w:lang w:val="en-US" w:eastAsia="zh-CN"/>
              </w:rPr>
              <w:t>3.1 噪声预测方法</w:t>
            </w:r>
          </w:p>
          <w:p w14:paraId="51E3D52B">
            <w:pPr>
              <w:pStyle w:val="14"/>
              <w:rPr>
                <w:rFonts w:hint="eastAsia" w:ascii="宋体" w:hAnsi="宋体" w:eastAsia="宋体" w:cs="宋体"/>
                <w:b w:val="0"/>
                <w:bCs/>
                <w:color w:val="auto"/>
                <w:spacing w:val="0"/>
                <w:highlight w:val="none"/>
                <w:lang w:val="en-US" w:eastAsia="zh-CN"/>
              </w:rPr>
            </w:pPr>
            <w:r>
              <w:rPr>
                <w:rFonts w:hint="eastAsia" w:ascii="宋体" w:hAnsi="宋体" w:eastAsia="宋体" w:cs="宋体"/>
                <w:b w:val="0"/>
                <w:bCs/>
                <w:color w:val="auto"/>
                <w:spacing w:val="0"/>
                <w:highlight w:val="none"/>
                <w:lang w:val="en-US" w:eastAsia="zh-CN"/>
              </w:rPr>
              <w:t>本评价采用《环境影响评价技术导则 声环境》（HJ2.4-2021）中的噪声距离衰减和叠加模式进行预测，具体预测公式如下：</w:t>
            </w:r>
          </w:p>
          <w:p w14:paraId="37B54B6D">
            <w:pPr>
              <w:pStyle w:val="15"/>
              <w:keepNext w:val="0"/>
              <w:keepLines w:val="0"/>
              <w:pageBreakBefore w:val="0"/>
              <w:widowControl w:val="0"/>
              <w:numPr>
                <w:ilvl w:val="0"/>
                <w:numId w:val="7"/>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噪声距离衰减公式：</w:t>
            </w:r>
          </w:p>
          <w:p w14:paraId="602AE6CA">
            <w:pPr>
              <w:pStyle w:val="15"/>
              <w:keepNext w:val="0"/>
              <w:keepLines w:val="0"/>
              <w:pageBreakBefore w:val="0"/>
              <w:widowControl w:val="0"/>
              <w:numPr>
                <w:ilvl w:val="0"/>
                <w:numId w:val="0"/>
              </w:numPr>
              <w:kinsoku/>
              <w:wordWrap/>
              <w:overflowPunct/>
              <w:topLinePunct w:val="0"/>
              <w:autoSpaceDE/>
              <w:autoSpaceDN/>
              <w:bidi w:val="0"/>
              <w:adjustRightInd w:val="0"/>
              <w:snapToGrid w:val="0"/>
              <w:ind w:left="2400" w:leftChars="1000"/>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LP</w:t>
            </w:r>
            <w:r>
              <w:rPr>
                <w:rFonts w:hint="eastAsia" w:cs="宋体"/>
                <w:color w:val="auto"/>
                <w:spacing w:val="0"/>
                <w:sz w:val="24"/>
                <w:szCs w:val="24"/>
                <w:highlight w:val="none"/>
                <w:lang w:eastAsia="zh-CN"/>
              </w:rPr>
              <w:t>(</w:t>
            </w:r>
            <w:r>
              <w:rPr>
                <w:rFonts w:hint="eastAsia" w:ascii="宋体" w:hAnsi="宋体" w:eastAsia="宋体" w:cs="宋体"/>
                <w:color w:val="auto"/>
                <w:spacing w:val="0"/>
                <w:sz w:val="24"/>
                <w:szCs w:val="24"/>
                <w:highlight w:val="none"/>
              </w:rPr>
              <w:t>r</w:t>
            </w:r>
            <w:r>
              <w:rPr>
                <w:rFonts w:hint="eastAsia" w:cs="宋体"/>
                <w:color w:val="auto"/>
                <w:spacing w:val="0"/>
                <w:sz w:val="24"/>
                <w:szCs w:val="24"/>
                <w:highlight w:val="none"/>
                <w:lang w:eastAsia="zh-CN"/>
              </w:rPr>
              <w:t>)</w:t>
            </w:r>
            <w:r>
              <w:rPr>
                <w:rFonts w:hint="eastAsia" w:ascii="宋体" w:hAnsi="宋体" w:eastAsia="宋体" w:cs="宋体"/>
                <w:color w:val="auto"/>
                <w:spacing w:val="0"/>
                <w:sz w:val="24"/>
                <w:szCs w:val="24"/>
                <w:highlight w:val="none"/>
              </w:rPr>
              <w:t>=LP(r0)-20lg(r/r0)-a(r-r0)</w:t>
            </w:r>
          </w:p>
          <w:p w14:paraId="5DB42A17">
            <w:pPr>
              <w:pStyle w:val="15"/>
              <w:keepNext w:val="0"/>
              <w:keepLines w:val="0"/>
              <w:pageBreakBefore w:val="0"/>
              <w:widowControl w:val="0"/>
              <w:numPr>
                <w:ilvl w:val="0"/>
                <w:numId w:val="0"/>
              </w:numPr>
              <w:kinsoku/>
              <w:wordWrap/>
              <w:overflowPunct/>
              <w:topLinePunct w:val="0"/>
              <w:autoSpaceDE/>
              <w:autoSpaceDN/>
              <w:bidi w:val="0"/>
              <w:adjustRightInd w:val="0"/>
              <w:snapToGrid w:val="0"/>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式中</w:t>
            </w:r>
            <w:r>
              <w:rPr>
                <w:rFonts w:hint="eastAsia" w:ascii="宋体" w:hAnsi="宋体" w:eastAsia="宋体" w:cs="宋体"/>
                <w:color w:val="auto"/>
                <w:spacing w:val="0"/>
                <w:sz w:val="24"/>
                <w:szCs w:val="24"/>
                <w:highlight w:val="none"/>
                <w:lang w:eastAsia="zh-CN"/>
              </w:rPr>
              <w:t>：</w:t>
            </w:r>
            <w:r>
              <w:rPr>
                <w:rFonts w:hint="eastAsia" w:ascii="宋体" w:hAnsi="宋体" w:eastAsia="宋体" w:cs="宋体"/>
                <w:color w:val="auto"/>
                <w:spacing w:val="0"/>
                <w:sz w:val="24"/>
                <w:szCs w:val="24"/>
                <w:highlight w:val="none"/>
              </w:rPr>
              <w:t>LP（r）—预测点所接受的声压级，dB(A</w:t>
            </w:r>
            <w:r>
              <w:rPr>
                <w:rFonts w:hint="eastAsia" w:cs="宋体"/>
                <w:color w:val="auto"/>
                <w:spacing w:val="0"/>
                <w:sz w:val="24"/>
                <w:szCs w:val="24"/>
                <w:highlight w:val="none"/>
                <w:lang w:eastAsia="zh-CN"/>
              </w:rPr>
              <w:t>)</w:t>
            </w:r>
            <w:r>
              <w:rPr>
                <w:rFonts w:hint="eastAsia" w:ascii="宋体" w:hAnsi="宋体" w:eastAsia="宋体" w:cs="宋体"/>
                <w:color w:val="auto"/>
                <w:spacing w:val="0"/>
                <w:sz w:val="24"/>
                <w:szCs w:val="24"/>
                <w:highlight w:val="none"/>
              </w:rPr>
              <w:t>；</w:t>
            </w:r>
          </w:p>
          <w:p w14:paraId="4E732D47">
            <w:pPr>
              <w:pStyle w:val="15"/>
              <w:keepNext w:val="0"/>
              <w:keepLines w:val="0"/>
              <w:pageBreakBefore w:val="0"/>
              <w:widowControl w:val="0"/>
              <w:numPr>
                <w:ilvl w:val="0"/>
                <w:numId w:val="0"/>
              </w:numPr>
              <w:kinsoku/>
              <w:wordWrap/>
              <w:overflowPunct/>
              <w:topLinePunct w:val="0"/>
              <w:autoSpaceDE/>
              <w:autoSpaceDN/>
              <w:bidi w:val="0"/>
              <w:adjustRightInd w:val="0"/>
              <w:snapToGrid w:val="0"/>
              <w:ind w:leftChars="0" w:firstLine="720" w:firstLineChars="300"/>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LP(r0)—参考位置r0的声压级，dB(A</w:t>
            </w:r>
            <w:r>
              <w:rPr>
                <w:rFonts w:hint="eastAsia" w:cs="宋体"/>
                <w:color w:val="auto"/>
                <w:spacing w:val="0"/>
                <w:sz w:val="24"/>
                <w:szCs w:val="24"/>
                <w:highlight w:val="none"/>
                <w:lang w:eastAsia="zh-CN"/>
              </w:rPr>
              <w:t>)</w:t>
            </w:r>
            <w:r>
              <w:rPr>
                <w:rFonts w:hint="eastAsia" w:ascii="宋体" w:hAnsi="宋体" w:eastAsia="宋体" w:cs="宋体"/>
                <w:color w:val="auto"/>
                <w:spacing w:val="0"/>
                <w:sz w:val="24"/>
                <w:szCs w:val="24"/>
                <w:highlight w:val="none"/>
              </w:rPr>
              <w:t>；</w:t>
            </w:r>
          </w:p>
          <w:p w14:paraId="22A07E9B">
            <w:pPr>
              <w:pStyle w:val="15"/>
              <w:keepNext w:val="0"/>
              <w:keepLines w:val="0"/>
              <w:pageBreakBefore w:val="0"/>
              <w:widowControl w:val="0"/>
              <w:numPr>
                <w:ilvl w:val="0"/>
                <w:numId w:val="0"/>
              </w:numPr>
              <w:kinsoku/>
              <w:wordWrap/>
              <w:overflowPunct/>
              <w:topLinePunct w:val="0"/>
              <w:autoSpaceDE/>
              <w:autoSpaceDN/>
              <w:bidi w:val="0"/>
              <w:adjustRightInd w:val="0"/>
              <w:snapToGrid w:val="0"/>
              <w:ind w:leftChars="0" w:firstLine="720" w:firstLineChars="300"/>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r—预测点至声源的距离，m；</w:t>
            </w:r>
          </w:p>
          <w:p w14:paraId="55303594">
            <w:pPr>
              <w:pStyle w:val="15"/>
              <w:keepNext w:val="0"/>
              <w:keepLines w:val="0"/>
              <w:pageBreakBefore w:val="0"/>
              <w:widowControl w:val="0"/>
              <w:numPr>
                <w:ilvl w:val="0"/>
                <w:numId w:val="0"/>
              </w:numPr>
              <w:kinsoku/>
              <w:wordWrap/>
              <w:overflowPunct/>
              <w:topLinePunct w:val="0"/>
              <w:autoSpaceDE/>
              <w:autoSpaceDN/>
              <w:bidi w:val="0"/>
              <w:adjustRightInd w:val="0"/>
              <w:snapToGrid w:val="0"/>
              <w:ind w:leftChars="0" w:firstLine="720" w:firstLineChars="300"/>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r0—参考位置距声源的距离；</w:t>
            </w:r>
          </w:p>
          <w:p w14:paraId="2BD0FE99">
            <w:pPr>
              <w:pStyle w:val="15"/>
              <w:keepNext w:val="0"/>
              <w:keepLines w:val="0"/>
              <w:pageBreakBefore w:val="0"/>
              <w:widowControl w:val="0"/>
              <w:numPr>
                <w:ilvl w:val="0"/>
                <w:numId w:val="0"/>
              </w:numPr>
              <w:kinsoku/>
              <w:wordWrap/>
              <w:overflowPunct/>
              <w:topLinePunct w:val="0"/>
              <w:autoSpaceDE/>
              <w:autoSpaceDN/>
              <w:bidi w:val="0"/>
              <w:adjustRightInd w:val="0"/>
              <w:snapToGrid w:val="0"/>
              <w:ind w:leftChars="0" w:firstLine="720" w:firstLineChars="300"/>
              <w:textAlignment w:val="auto"/>
              <w:rPr>
                <w:rFonts w:hint="eastAsia" w:ascii="宋体" w:hAnsi="宋体" w:eastAsia="宋体" w:cs="宋体"/>
                <w:b/>
                <w:bCs w:val="0"/>
                <w:color w:val="auto"/>
                <w:spacing w:val="0"/>
                <w:highlight w:val="none"/>
                <w:lang w:val="en-US" w:eastAsia="zh-CN"/>
              </w:rPr>
            </w:pPr>
            <w:r>
              <w:rPr>
                <w:rFonts w:hint="eastAsia" w:ascii="宋体" w:hAnsi="宋体" w:eastAsia="宋体" w:cs="宋体"/>
                <w:color w:val="auto"/>
                <w:spacing w:val="0"/>
                <w:sz w:val="24"/>
                <w:szCs w:val="24"/>
                <w:highlight w:val="none"/>
              </w:rPr>
              <w:t>a—大气对声波的吸收系数，dB(A)/m，平均值为0.008dB(A)/m；</w:t>
            </w:r>
          </w:p>
          <w:p w14:paraId="62A79AE6">
            <w:pPr>
              <w:keepNext w:val="0"/>
              <w:keepLines w:val="0"/>
              <w:pageBreakBefore w:val="0"/>
              <w:widowControl w:val="0"/>
              <w:numPr>
                <w:ilvl w:val="0"/>
                <w:numId w:val="7"/>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color w:val="auto"/>
                <w:spacing w:val="0"/>
                <w:highlight w:val="none"/>
                <w:lang w:val="en-US" w:eastAsia="zh-CN"/>
              </w:rPr>
            </w:pPr>
            <w:r>
              <w:rPr>
                <w:rFonts w:hint="eastAsia" w:ascii="宋体" w:hAnsi="宋体" w:eastAsia="宋体" w:cs="宋体"/>
                <w:color w:val="auto"/>
                <w:spacing w:val="0"/>
                <w:highlight w:val="none"/>
                <w:lang w:val="en-US" w:eastAsia="zh-CN"/>
              </w:rPr>
              <w:t>噪声叠加模式：</w:t>
            </w:r>
          </w:p>
          <w:p w14:paraId="57F8C77C">
            <w:pPr>
              <w:pStyle w:val="13"/>
              <w:numPr>
                <w:ilvl w:val="0"/>
                <w:numId w:val="0"/>
              </w:numPr>
              <w:ind w:leftChars="200" w:right="113" w:rightChars="0"/>
              <w:jc w:val="center"/>
              <w:rPr>
                <w:rFonts w:hint="eastAsia" w:ascii="宋体" w:hAnsi="宋体" w:eastAsia="宋体" w:cs="宋体"/>
                <w:color w:val="auto"/>
                <w:spacing w:val="0"/>
                <w:highlight w:val="none"/>
              </w:rPr>
            </w:pPr>
            <w:r>
              <w:rPr>
                <w:rFonts w:hint="eastAsia" w:ascii="宋体" w:hAnsi="宋体" w:eastAsia="宋体" w:cs="宋体"/>
                <w:color w:val="auto"/>
                <w:spacing w:val="0"/>
                <w:highlight w:val="none"/>
              </w:rPr>
              <w:drawing>
                <wp:inline distT="0" distB="0" distL="114300" distR="114300">
                  <wp:extent cx="1676400" cy="628650"/>
                  <wp:effectExtent l="0" t="0" r="0" b="0"/>
                  <wp:docPr id="21"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55"/>
                          <pic:cNvPicPr>
                            <a:picLocks noChangeAspect="1"/>
                          </pic:cNvPicPr>
                        </pic:nvPicPr>
                        <pic:blipFill>
                          <a:blip r:embed="rId31"/>
                          <a:srcRect l="25424"/>
                          <a:stretch>
                            <a:fillRect/>
                          </a:stretch>
                        </pic:blipFill>
                        <pic:spPr>
                          <a:xfrm>
                            <a:off x="0" y="0"/>
                            <a:ext cx="1676400" cy="628650"/>
                          </a:xfrm>
                          <a:prstGeom prst="rect">
                            <a:avLst/>
                          </a:prstGeom>
                          <a:noFill/>
                          <a:ln>
                            <a:noFill/>
                          </a:ln>
                        </pic:spPr>
                      </pic:pic>
                    </a:graphicData>
                  </a:graphic>
                </wp:inline>
              </w:drawing>
            </w:r>
          </w:p>
          <w:p w14:paraId="33AE142F">
            <w:pPr>
              <w:pStyle w:val="14"/>
              <w:ind w:left="0" w:leftChars="0" w:firstLine="0" w:firstLineChars="0"/>
              <w:rPr>
                <w:rFonts w:hint="eastAsia" w:ascii="宋体" w:hAnsi="宋体" w:eastAsia="宋体" w:cs="宋体"/>
                <w:color w:val="auto"/>
                <w:spacing w:val="0"/>
                <w:highlight w:val="none"/>
                <w:lang w:val="en-US" w:eastAsia="zh-CN"/>
              </w:rPr>
            </w:pPr>
            <w:r>
              <w:rPr>
                <w:rFonts w:hint="eastAsia" w:ascii="宋体" w:hAnsi="宋体" w:eastAsia="宋体" w:cs="宋体"/>
                <w:color w:val="auto"/>
                <w:spacing w:val="0"/>
                <w:highlight w:val="none"/>
                <w:lang w:val="en-US" w:eastAsia="zh-CN"/>
              </w:rPr>
              <w:t>式中：L－为n个噪声源的声级，dB（A）；</w:t>
            </w:r>
          </w:p>
          <w:p w14:paraId="63DAF621">
            <w:pPr>
              <w:pStyle w:val="14"/>
              <w:keepNext w:val="0"/>
              <w:keepLines w:val="0"/>
              <w:pageBreakBefore w:val="0"/>
              <w:kinsoku/>
              <w:wordWrap/>
              <w:overflowPunct/>
              <w:topLinePunct w:val="0"/>
              <w:autoSpaceDE/>
              <w:autoSpaceDN/>
              <w:bidi w:val="0"/>
              <w:adjustRightInd w:val="0"/>
              <w:snapToGrid w:val="0"/>
              <w:ind w:firstLine="720" w:firstLineChars="300"/>
              <w:textAlignment w:val="auto"/>
              <w:rPr>
                <w:rFonts w:hint="eastAsia" w:ascii="宋体" w:hAnsi="宋体" w:eastAsia="宋体" w:cs="宋体"/>
                <w:color w:val="auto"/>
                <w:spacing w:val="0"/>
                <w:highlight w:val="none"/>
                <w:lang w:val="en-US" w:eastAsia="zh-CN"/>
              </w:rPr>
            </w:pPr>
            <w:r>
              <w:rPr>
                <w:rFonts w:hint="eastAsia" w:ascii="宋体" w:hAnsi="宋体" w:eastAsia="宋体" w:cs="宋体"/>
                <w:color w:val="auto"/>
                <w:spacing w:val="0"/>
                <w:highlight w:val="none"/>
                <w:lang w:val="en-US" w:eastAsia="zh-CN"/>
              </w:rPr>
              <w:t>Li－第i个噪声源的声级，dB(A</w:t>
            </w:r>
            <w:r>
              <w:rPr>
                <w:rFonts w:hint="eastAsia" w:cs="宋体"/>
                <w:color w:val="auto"/>
                <w:spacing w:val="0"/>
                <w:highlight w:val="none"/>
                <w:lang w:val="en-US" w:eastAsia="zh-CN"/>
              </w:rPr>
              <w:t>)</w:t>
            </w:r>
            <w:r>
              <w:rPr>
                <w:rFonts w:hint="eastAsia" w:ascii="宋体" w:hAnsi="宋体" w:eastAsia="宋体" w:cs="宋体"/>
                <w:color w:val="auto"/>
                <w:spacing w:val="0"/>
                <w:highlight w:val="none"/>
                <w:lang w:val="en-US" w:eastAsia="zh-CN"/>
              </w:rPr>
              <w:t>；</w:t>
            </w:r>
          </w:p>
          <w:p w14:paraId="22AA97C2">
            <w:pPr>
              <w:pStyle w:val="15"/>
              <w:keepNext w:val="0"/>
              <w:keepLines w:val="0"/>
              <w:pageBreakBefore w:val="0"/>
              <w:widowControl w:val="0"/>
              <w:kinsoku/>
              <w:wordWrap/>
              <w:overflowPunct/>
              <w:topLinePunct w:val="0"/>
              <w:autoSpaceDE/>
              <w:autoSpaceDN/>
              <w:bidi w:val="0"/>
              <w:adjustRightInd w:val="0"/>
              <w:snapToGrid w:val="0"/>
              <w:ind w:left="0" w:leftChars="0" w:firstLine="720" w:firstLineChars="300"/>
              <w:textAlignment w:val="auto"/>
              <w:rPr>
                <w:rFonts w:hint="eastAsia" w:ascii="宋体" w:hAnsi="宋体" w:eastAsia="宋体" w:cs="宋体"/>
                <w:color w:val="auto"/>
                <w:spacing w:val="0"/>
                <w:highlight w:val="none"/>
                <w:lang w:val="en-US" w:eastAsia="zh-CN"/>
              </w:rPr>
            </w:pPr>
            <w:r>
              <w:rPr>
                <w:rFonts w:hint="eastAsia" w:ascii="宋体" w:hAnsi="宋体" w:eastAsia="宋体" w:cs="宋体"/>
                <w:color w:val="auto"/>
                <w:spacing w:val="0"/>
                <w:sz w:val="24"/>
                <w:szCs w:val="24"/>
                <w:highlight w:val="none"/>
              </w:rPr>
              <w:t>n—为噪声源的个数。</w:t>
            </w:r>
          </w:p>
          <w:p w14:paraId="1C2BFE9E">
            <w:pPr>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eastAsia" w:ascii="宋体" w:hAnsi="宋体" w:eastAsia="宋体" w:cs="宋体"/>
                <w:b/>
                <w:bCs w:val="0"/>
                <w:color w:val="auto"/>
                <w:spacing w:val="0"/>
                <w:highlight w:val="none"/>
                <w:lang w:val="en-US" w:eastAsia="zh-CN"/>
              </w:rPr>
            </w:pPr>
            <w:r>
              <w:rPr>
                <w:rFonts w:hint="eastAsia" w:ascii="宋体" w:hAnsi="宋体" w:eastAsia="宋体" w:cs="宋体"/>
                <w:b/>
                <w:bCs w:val="0"/>
                <w:color w:val="auto"/>
                <w:spacing w:val="0"/>
                <w:sz w:val="24"/>
                <w:szCs w:val="24"/>
                <w:highlight w:val="none"/>
              </w:rPr>
              <w:t>3.2 噪声源强及治理措施</w:t>
            </w:r>
          </w:p>
          <w:p w14:paraId="2CBCF194">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项目噪声源主要是厂房内各生产设备及</w:t>
            </w:r>
            <w:r>
              <w:rPr>
                <w:rFonts w:hint="eastAsia" w:ascii="宋体" w:hAnsi="宋体" w:eastAsia="宋体" w:cs="宋体"/>
                <w:color w:val="auto"/>
                <w:spacing w:val="0"/>
                <w:sz w:val="24"/>
                <w:szCs w:val="24"/>
                <w:highlight w:val="none"/>
                <w:lang w:val="en-US" w:eastAsia="zh-CN"/>
              </w:rPr>
              <w:t>锅炉</w:t>
            </w:r>
            <w:r>
              <w:rPr>
                <w:rFonts w:hint="eastAsia" w:ascii="宋体" w:hAnsi="宋体" w:eastAsia="宋体" w:cs="宋体"/>
                <w:color w:val="auto"/>
                <w:spacing w:val="0"/>
                <w:sz w:val="24"/>
                <w:szCs w:val="24"/>
                <w:highlight w:val="none"/>
              </w:rPr>
              <w:t>运行过程中产生的噪声，噪声源强在</w:t>
            </w:r>
            <w:r>
              <w:rPr>
                <w:rFonts w:hint="eastAsia" w:ascii="宋体" w:hAnsi="宋体" w:eastAsia="宋体" w:cs="宋体"/>
                <w:color w:val="auto"/>
                <w:spacing w:val="0"/>
                <w:sz w:val="24"/>
                <w:szCs w:val="24"/>
                <w:highlight w:val="none"/>
                <w:lang w:val="en-US" w:eastAsia="zh-CN"/>
              </w:rPr>
              <w:t>7</w:t>
            </w:r>
            <w:r>
              <w:rPr>
                <w:rFonts w:hint="eastAsia" w:cs="宋体"/>
                <w:color w:val="auto"/>
                <w:spacing w:val="0"/>
                <w:sz w:val="24"/>
                <w:szCs w:val="24"/>
                <w:highlight w:val="none"/>
                <w:lang w:val="en-US" w:eastAsia="zh-CN"/>
              </w:rPr>
              <w:t>5</w:t>
            </w:r>
            <w:r>
              <w:rPr>
                <w:rFonts w:hint="eastAsia" w:ascii="宋体" w:hAnsi="宋体" w:eastAsia="宋体" w:cs="宋体"/>
                <w:color w:val="auto"/>
                <w:spacing w:val="0"/>
                <w:sz w:val="24"/>
                <w:szCs w:val="24"/>
                <w:highlight w:val="none"/>
              </w:rPr>
              <w:t>～8</w:t>
            </w:r>
            <w:r>
              <w:rPr>
                <w:rFonts w:hint="eastAsia" w:ascii="宋体" w:hAnsi="宋体" w:eastAsia="宋体" w:cs="宋体"/>
                <w:color w:val="auto"/>
                <w:spacing w:val="0"/>
                <w:sz w:val="24"/>
                <w:szCs w:val="24"/>
                <w:highlight w:val="none"/>
                <w:lang w:val="en-US" w:eastAsia="zh-CN"/>
              </w:rPr>
              <w:t>0</w:t>
            </w:r>
            <w:r>
              <w:rPr>
                <w:rFonts w:hint="eastAsia" w:ascii="宋体" w:hAnsi="宋体" w:eastAsia="宋体" w:cs="宋体"/>
                <w:color w:val="auto"/>
                <w:spacing w:val="0"/>
                <w:sz w:val="24"/>
                <w:szCs w:val="24"/>
                <w:highlight w:val="none"/>
              </w:rPr>
              <w:t>dB（A）之间。</w:t>
            </w:r>
            <w:r>
              <w:rPr>
                <w:rFonts w:hint="eastAsia" w:cs="宋体"/>
                <w:color w:val="auto"/>
                <w:spacing w:val="0"/>
                <w:sz w:val="24"/>
                <w:szCs w:val="24"/>
                <w:highlight w:val="none"/>
                <w:lang w:val="en-US" w:eastAsia="zh-CN"/>
              </w:rPr>
              <w:t>在建工程的噪声设备主要为</w:t>
            </w:r>
            <w:r>
              <w:rPr>
                <w:rFonts w:hint="default" w:ascii="Times New Roman" w:hAnsi="Times New Roman" w:cs="Times New Roman"/>
                <w:color w:val="auto"/>
                <w:highlight w:val="none"/>
              </w:rPr>
              <w:t>物料泵</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真空泵、循环水泵、空压机</w:t>
            </w:r>
            <w:r>
              <w:rPr>
                <w:rFonts w:hint="default" w:ascii="Times New Roman" w:hAnsi="Times New Roman" w:cs="Times New Roman"/>
                <w:color w:val="auto"/>
                <w:highlight w:val="none"/>
              </w:rPr>
              <w:t>和风机等</w:t>
            </w:r>
            <w:r>
              <w:rPr>
                <w:rFonts w:hint="eastAsia" w:cs="宋体"/>
                <w:color w:val="auto"/>
                <w:spacing w:val="0"/>
                <w:sz w:val="24"/>
                <w:szCs w:val="24"/>
                <w:highlight w:val="none"/>
                <w:lang w:val="en-US" w:eastAsia="zh-CN"/>
              </w:rPr>
              <w:t>，噪声源强在75-95dB（A）之间。</w:t>
            </w:r>
            <w:r>
              <w:rPr>
                <w:rFonts w:hint="eastAsia" w:ascii="宋体" w:hAnsi="宋体" w:eastAsia="宋体" w:cs="宋体"/>
                <w:color w:val="auto"/>
                <w:spacing w:val="0"/>
                <w:sz w:val="24"/>
                <w:szCs w:val="24"/>
                <w:highlight w:val="none"/>
              </w:rPr>
              <w:t>根据工程分析，本项目主要声源设备通过采</w:t>
            </w:r>
            <w:r>
              <w:rPr>
                <w:rFonts w:hint="eastAsia" w:ascii="宋体" w:hAnsi="宋体" w:eastAsia="宋体" w:cs="宋体"/>
                <w:color w:val="auto"/>
                <w:spacing w:val="0"/>
                <w:sz w:val="24"/>
                <w:szCs w:val="24"/>
                <w:highlight w:val="none"/>
                <w:lang w:val="en-US" w:eastAsia="zh-CN"/>
              </w:rPr>
              <w:t>用</w:t>
            </w:r>
            <w:r>
              <w:rPr>
                <w:rFonts w:hint="eastAsia" w:ascii="宋体" w:hAnsi="宋体" w:eastAsia="宋体" w:cs="宋体"/>
                <w:color w:val="auto"/>
                <w:spacing w:val="0"/>
                <w:sz w:val="24"/>
                <w:szCs w:val="24"/>
                <w:highlight w:val="none"/>
              </w:rPr>
              <w:t>基础减振、安装隔声罩、厂房隔声等措施，各噪声源调查信息汇总见下表。</w:t>
            </w:r>
          </w:p>
        </w:tc>
      </w:tr>
    </w:tbl>
    <w:p w14:paraId="32FC7E68">
      <w:pPr>
        <w:rPr>
          <w:rFonts w:hint="eastAsia" w:ascii="宋体" w:hAnsi="宋体" w:eastAsia="宋体" w:cs="宋体"/>
          <w:color w:val="auto"/>
          <w:spacing w:val="0"/>
          <w:kern w:val="0"/>
          <w:highlight w:val="none"/>
        </w:rPr>
        <w:sectPr>
          <w:pgSz w:w="11907" w:h="16840"/>
          <w:pgMar w:top="1440" w:right="1803" w:bottom="1440" w:left="1803"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15BA1DFB">
      <w:pPr>
        <w:pStyle w:val="13"/>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eastAsia" w:ascii="宋体" w:hAnsi="宋体" w:eastAsia="宋体" w:cs="宋体"/>
          <w:b/>
          <w:bCs/>
          <w:color w:val="auto"/>
          <w:spacing w:val="0"/>
          <w:sz w:val="21"/>
          <w:szCs w:val="21"/>
          <w:highlight w:val="none"/>
          <w:lang w:val="en-US" w:eastAsia="zh-CN"/>
        </w:rPr>
      </w:pPr>
      <w:r>
        <w:rPr>
          <w:rFonts w:hint="eastAsia" w:ascii="宋体" w:hAnsi="宋体" w:eastAsia="宋体" w:cs="宋体"/>
          <w:b/>
          <w:bCs/>
          <w:color w:val="auto"/>
          <w:spacing w:val="0"/>
          <w:sz w:val="21"/>
          <w:szCs w:val="21"/>
          <w:highlight w:val="none"/>
          <w:lang w:val="en-US" w:eastAsia="zh-CN"/>
        </w:rPr>
        <w:t>表4-1</w:t>
      </w:r>
      <w:r>
        <w:rPr>
          <w:rFonts w:hint="eastAsia" w:ascii="宋体" w:hAnsi="宋体" w:cs="宋体"/>
          <w:b/>
          <w:bCs/>
          <w:color w:val="auto"/>
          <w:spacing w:val="0"/>
          <w:sz w:val="21"/>
          <w:szCs w:val="21"/>
          <w:highlight w:val="none"/>
          <w:lang w:val="en-US" w:eastAsia="zh-CN"/>
        </w:rPr>
        <w:t>2本项目</w:t>
      </w:r>
      <w:r>
        <w:rPr>
          <w:rFonts w:hint="eastAsia" w:ascii="宋体" w:hAnsi="宋体" w:eastAsia="宋体" w:cs="宋体"/>
          <w:b/>
          <w:bCs/>
          <w:color w:val="auto"/>
          <w:spacing w:val="0"/>
          <w:sz w:val="21"/>
          <w:szCs w:val="21"/>
          <w:highlight w:val="none"/>
          <w:lang w:val="en-US" w:eastAsia="zh-CN"/>
        </w:rPr>
        <w:t>噪声源强调查清单（室内声源）</w:t>
      </w:r>
    </w:p>
    <w:tbl>
      <w:tblPr>
        <w:tblStyle w:val="38"/>
        <w:tblW w:w="52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3"/>
        <w:gridCol w:w="429"/>
        <w:gridCol w:w="899"/>
        <w:gridCol w:w="1012"/>
        <w:gridCol w:w="760"/>
        <w:gridCol w:w="701"/>
        <w:gridCol w:w="557"/>
        <w:gridCol w:w="557"/>
        <w:gridCol w:w="557"/>
        <w:gridCol w:w="509"/>
        <w:gridCol w:w="509"/>
        <w:gridCol w:w="509"/>
        <w:gridCol w:w="520"/>
        <w:gridCol w:w="644"/>
        <w:gridCol w:w="644"/>
        <w:gridCol w:w="644"/>
        <w:gridCol w:w="650"/>
        <w:gridCol w:w="534"/>
        <w:gridCol w:w="596"/>
        <w:gridCol w:w="486"/>
        <w:gridCol w:w="531"/>
        <w:gridCol w:w="432"/>
        <w:gridCol w:w="503"/>
        <w:gridCol w:w="413"/>
      </w:tblGrid>
      <w:tr w14:paraId="103AA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8" w:type="pct"/>
            <w:vMerge w:val="restart"/>
            <w:noWrap w:val="0"/>
            <w:vAlign w:val="center"/>
          </w:tcPr>
          <w:p w14:paraId="455F7B3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序号</w:t>
            </w:r>
          </w:p>
        </w:tc>
        <w:tc>
          <w:tcPr>
            <w:tcW w:w="151" w:type="pct"/>
            <w:vMerge w:val="restart"/>
            <w:noWrap w:val="0"/>
            <w:vAlign w:val="center"/>
          </w:tcPr>
          <w:p w14:paraId="13D1740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建筑物名称</w:t>
            </w:r>
          </w:p>
        </w:tc>
        <w:tc>
          <w:tcPr>
            <w:tcW w:w="318" w:type="pct"/>
            <w:vMerge w:val="restart"/>
            <w:noWrap w:val="0"/>
            <w:vAlign w:val="center"/>
          </w:tcPr>
          <w:p w14:paraId="04F8E6E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声源名称</w:t>
            </w:r>
          </w:p>
        </w:tc>
        <w:tc>
          <w:tcPr>
            <w:tcW w:w="358" w:type="pct"/>
            <w:vMerge w:val="restart"/>
            <w:noWrap w:val="0"/>
            <w:vAlign w:val="center"/>
          </w:tcPr>
          <w:p w14:paraId="58CCB44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型号</w:t>
            </w:r>
          </w:p>
        </w:tc>
        <w:tc>
          <w:tcPr>
            <w:tcW w:w="268" w:type="pct"/>
            <w:noWrap w:val="0"/>
            <w:vAlign w:val="center"/>
          </w:tcPr>
          <w:p w14:paraId="1B74321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声源源强（任选一种）</w:t>
            </w:r>
          </w:p>
        </w:tc>
        <w:tc>
          <w:tcPr>
            <w:tcW w:w="248" w:type="pct"/>
            <w:vMerge w:val="restart"/>
            <w:noWrap w:val="0"/>
            <w:vAlign w:val="center"/>
          </w:tcPr>
          <w:p w14:paraId="660DECE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声源控制措施</w:t>
            </w:r>
          </w:p>
        </w:tc>
        <w:tc>
          <w:tcPr>
            <w:tcW w:w="591" w:type="pct"/>
            <w:gridSpan w:val="3"/>
            <w:noWrap w:val="0"/>
            <w:vAlign w:val="center"/>
          </w:tcPr>
          <w:p w14:paraId="58E0A66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空间相对位置/m</w:t>
            </w:r>
          </w:p>
        </w:tc>
        <w:tc>
          <w:tcPr>
            <w:tcW w:w="724" w:type="pct"/>
            <w:gridSpan w:val="4"/>
            <w:noWrap w:val="0"/>
            <w:vAlign w:val="center"/>
          </w:tcPr>
          <w:p w14:paraId="6A2F2BD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距室内边界距离/m</w:t>
            </w:r>
          </w:p>
        </w:tc>
        <w:tc>
          <w:tcPr>
            <w:tcW w:w="913" w:type="pct"/>
            <w:gridSpan w:val="4"/>
            <w:noWrap w:val="0"/>
            <w:vAlign w:val="center"/>
          </w:tcPr>
          <w:p w14:paraId="418688B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室内边界省级/dB（A）</w:t>
            </w:r>
          </w:p>
        </w:tc>
        <w:tc>
          <w:tcPr>
            <w:tcW w:w="188" w:type="pct"/>
            <w:vMerge w:val="restart"/>
            <w:noWrap w:val="0"/>
            <w:vAlign w:val="center"/>
          </w:tcPr>
          <w:p w14:paraId="796CF3C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运行时段</w:t>
            </w:r>
          </w:p>
        </w:tc>
        <w:tc>
          <w:tcPr>
            <w:tcW w:w="210" w:type="pct"/>
            <w:vMerge w:val="restart"/>
            <w:noWrap w:val="0"/>
            <w:vAlign w:val="center"/>
          </w:tcPr>
          <w:p w14:paraId="0987335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建筑物插入损失/dB（A）</w:t>
            </w:r>
          </w:p>
        </w:tc>
        <w:tc>
          <w:tcPr>
            <w:tcW w:w="836" w:type="pct"/>
            <w:gridSpan w:val="5"/>
            <w:noWrap w:val="0"/>
            <w:vAlign w:val="center"/>
          </w:tcPr>
          <w:p w14:paraId="0236A94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建筑物外噪声</w:t>
            </w:r>
          </w:p>
        </w:tc>
      </w:tr>
      <w:tr w14:paraId="03D01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88" w:type="pct"/>
            <w:vMerge w:val="continue"/>
            <w:noWrap w:val="0"/>
            <w:vAlign w:val="center"/>
          </w:tcPr>
          <w:p w14:paraId="011BEAA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151" w:type="pct"/>
            <w:vMerge w:val="continue"/>
            <w:noWrap w:val="0"/>
            <w:vAlign w:val="center"/>
          </w:tcPr>
          <w:p w14:paraId="37F579B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318" w:type="pct"/>
            <w:vMerge w:val="continue"/>
            <w:noWrap w:val="0"/>
            <w:vAlign w:val="center"/>
          </w:tcPr>
          <w:p w14:paraId="6E668A3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358" w:type="pct"/>
            <w:vMerge w:val="continue"/>
            <w:noWrap w:val="0"/>
            <w:vAlign w:val="center"/>
          </w:tcPr>
          <w:p w14:paraId="419E6DD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68" w:type="pct"/>
            <w:vMerge w:val="restart"/>
            <w:noWrap w:val="0"/>
            <w:vAlign w:val="center"/>
          </w:tcPr>
          <w:p w14:paraId="5E688EB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声功率级/dB（A）</w:t>
            </w:r>
          </w:p>
        </w:tc>
        <w:tc>
          <w:tcPr>
            <w:tcW w:w="248" w:type="pct"/>
            <w:vMerge w:val="continue"/>
            <w:noWrap w:val="0"/>
            <w:vAlign w:val="center"/>
          </w:tcPr>
          <w:p w14:paraId="5F88253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197" w:type="pct"/>
            <w:vMerge w:val="restart"/>
            <w:noWrap w:val="0"/>
            <w:vAlign w:val="center"/>
          </w:tcPr>
          <w:p w14:paraId="46A8678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X</w:t>
            </w:r>
          </w:p>
        </w:tc>
        <w:tc>
          <w:tcPr>
            <w:tcW w:w="197" w:type="pct"/>
            <w:vMerge w:val="restart"/>
            <w:noWrap w:val="0"/>
            <w:vAlign w:val="center"/>
          </w:tcPr>
          <w:p w14:paraId="2D18B68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Y</w:t>
            </w:r>
          </w:p>
        </w:tc>
        <w:tc>
          <w:tcPr>
            <w:tcW w:w="197" w:type="pct"/>
            <w:vMerge w:val="restart"/>
            <w:noWrap w:val="0"/>
            <w:vAlign w:val="center"/>
          </w:tcPr>
          <w:p w14:paraId="3C4F412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Z</w:t>
            </w:r>
          </w:p>
        </w:tc>
        <w:tc>
          <w:tcPr>
            <w:tcW w:w="180" w:type="pct"/>
            <w:vMerge w:val="restart"/>
            <w:noWrap w:val="0"/>
            <w:vAlign w:val="center"/>
          </w:tcPr>
          <w:p w14:paraId="362D800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东</w:t>
            </w:r>
          </w:p>
        </w:tc>
        <w:tc>
          <w:tcPr>
            <w:tcW w:w="180" w:type="pct"/>
            <w:vMerge w:val="restart"/>
            <w:noWrap w:val="0"/>
            <w:vAlign w:val="center"/>
          </w:tcPr>
          <w:p w14:paraId="737F15D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南</w:t>
            </w:r>
          </w:p>
        </w:tc>
        <w:tc>
          <w:tcPr>
            <w:tcW w:w="180" w:type="pct"/>
            <w:vMerge w:val="restart"/>
            <w:noWrap w:val="0"/>
            <w:vAlign w:val="center"/>
          </w:tcPr>
          <w:p w14:paraId="43414A8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西</w:t>
            </w:r>
          </w:p>
        </w:tc>
        <w:tc>
          <w:tcPr>
            <w:tcW w:w="184" w:type="pct"/>
            <w:vMerge w:val="restart"/>
            <w:noWrap w:val="0"/>
            <w:vAlign w:val="center"/>
          </w:tcPr>
          <w:p w14:paraId="5DF7105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北</w:t>
            </w:r>
          </w:p>
        </w:tc>
        <w:tc>
          <w:tcPr>
            <w:tcW w:w="227" w:type="pct"/>
            <w:vMerge w:val="restart"/>
            <w:noWrap w:val="0"/>
            <w:vAlign w:val="center"/>
          </w:tcPr>
          <w:p w14:paraId="11E8F23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东</w:t>
            </w:r>
          </w:p>
        </w:tc>
        <w:tc>
          <w:tcPr>
            <w:tcW w:w="227" w:type="pct"/>
            <w:vMerge w:val="restart"/>
            <w:noWrap w:val="0"/>
            <w:vAlign w:val="center"/>
          </w:tcPr>
          <w:p w14:paraId="47A83AE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南</w:t>
            </w:r>
          </w:p>
        </w:tc>
        <w:tc>
          <w:tcPr>
            <w:tcW w:w="227" w:type="pct"/>
            <w:vMerge w:val="restart"/>
            <w:noWrap w:val="0"/>
            <w:vAlign w:val="center"/>
          </w:tcPr>
          <w:p w14:paraId="4031D75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西</w:t>
            </w:r>
          </w:p>
        </w:tc>
        <w:tc>
          <w:tcPr>
            <w:tcW w:w="230" w:type="pct"/>
            <w:vMerge w:val="restart"/>
            <w:noWrap w:val="0"/>
            <w:vAlign w:val="center"/>
          </w:tcPr>
          <w:p w14:paraId="7EEE43A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北</w:t>
            </w:r>
          </w:p>
        </w:tc>
        <w:tc>
          <w:tcPr>
            <w:tcW w:w="188" w:type="pct"/>
            <w:vMerge w:val="continue"/>
            <w:noWrap w:val="0"/>
            <w:vAlign w:val="center"/>
          </w:tcPr>
          <w:p w14:paraId="1A72930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rPr>
            </w:pPr>
          </w:p>
        </w:tc>
        <w:tc>
          <w:tcPr>
            <w:tcW w:w="210" w:type="pct"/>
            <w:vMerge w:val="continue"/>
            <w:noWrap w:val="0"/>
            <w:vAlign w:val="center"/>
          </w:tcPr>
          <w:p w14:paraId="1F750E5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rPr>
            </w:pPr>
          </w:p>
        </w:tc>
        <w:tc>
          <w:tcPr>
            <w:tcW w:w="690" w:type="pct"/>
            <w:gridSpan w:val="4"/>
            <w:noWrap w:val="0"/>
            <w:vAlign w:val="center"/>
          </w:tcPr>
          <w:p w14:paraId="45189AE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声压级/dB（A）</w:t>
            </w:r>
          </w:p>
        </w:tc>
        <w:tc>
          <w:tcPr>
            <w:tcW w:w="146" w:type="pct"/>
            <w:vMerge w:val="restart"/>
            <w:noWrap w:val="0"/>
            <w:vAlign w:val="center"/>
          </w:tcPr>
          <w:p w14:paraId="0EBD4F3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建筑物外距离m</w:t>
            </w:r>
          </w:p>
        </w:tc>
      </w:tr>
      <w:tr w14:paraId="43F83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188" w:type="pct"/>
            <w:vMerge w:val="continue"/>
            <w:noWrap w:val="0"/>
            <w:vAlign w:val="center"/>
          </w:tcPr>
          <w:p w14:paraId="2FEE11E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51" w:type="pct"/>
            <w:vMerge w:val="continue"/>
            <w:noWrap w:val="0"/>
            <w:vAlign w:val="center"/>
          </w:tcPr>
          <w:p w14:paraId="4D95626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318" w:type="pct"/>
            <w:vMerge w:val="continue"/>
            <w:noWrap w:val="0"/>
            <w:vAlign w:val="center"/>
          </w:tcPr>
          <w:p w14:paraId="33FD031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358" w:type="pct"/>
            <w:vMerge w:val="continue"/>
            <w:noWrap w:val="0"/>
            <w:vAlign w:val="center"/>
          </w:tcPr>
          <w:p w14:paraId="13C36B5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68" w:type="pct"/>
            <w:vMerge w:val="continue"/>
            <w:noWrap w:val="0"/>
            <w:vAlign w:val="center"/>
          </w:tcPr>
          <w:p w14:paraId="5CF34CE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48" w:type="pct"/>
            <w:vMerge w:val="continue"/>
            <w:noWrap w:val="0"/>
            <w:vAlign w:val="center"/>
          </w:tcPr>
          <w:p w14:paraId="71D4896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97" w:type="pct"/>
            <w:vMerge w:val="continue"/>
            <w:noWrap w:val="0"/>
            <w:vAlign w:val="center"/>
          </w:tcPr>
          <w:p w14:paraId="20C6D87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97" w:type="pct"/>
            <w:vMerge w:val="continue"/>
            <w:noWrap w:val="0"/>
            <w:vAlign w:val="center"/>
          </w:tcPr>
          <w:p w14:paraId="5615623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97" w:type="pct"/>
            <w:vMerge w:val="continue"/>
            <w:noWrap w:val="0"/>
            <w:vAlign w:val="center"/>
          </w:tcPr>
          <w:p w14:paraId="4CDAAA3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80" w:type="pct"/>
            <w:vMerge w:val="continue"/>
            <w:noWrap w:val="0"/>
            <w:vAlign w:val="center"/>
          </w:tcPr>
          <w:p w14:paraId="3B2ACAB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80" w:type="pct"/>
            <w:vMerge w:val="continue"/>
            <w:noWrap w:val="0"/>
            <w:vAlign w:val="center"/>
          </w:tcPr>
          <w:p w14:paraId="4D91B67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80" w:type="pct"/>
            <w:vMerge w:val="continue"/>
            <w:noWrap w:val="0"/>
            <w:vAlign w:val="center"/>
          </w:tcPr>
          <w:p w14:paraId="2F9A4FB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84" w:type="pct"/>
            <w:vMerge w:val="continue"/>
            <w:noWrap w:val="0"/>
            <w:vAlign w:val="center"/>
          </w:tcPr>
          <w:p w14:paraId="56D7E9E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27" w:type="pct"/>
            <w:vMerge w:val="continue"/>
            <w:noWrap w:val="0"/>
            <w:vAlign w:val="center"/>
          </w:tcPr>
          <w:p w14:paraId="42F575C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27" w:type="pct"/>
            <w:vMerge w:val="continue"/>
            <w:noWrap w:val="0"/>
            <w:vAlign w:val="center"/>
          </w:tcPr>
          <w:p w14:paraId="7747604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27" w:type="pct"/>
            <w:vMerge w:val="continue"/>
            <w:noWrap w:val="0"/>
            <w:vAlign w:val="center"/>
          </w:tcPr>
          <w:p w14:paraId="0CF92F4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30" w:type="pct"/>
            <w:vMerge w:val="continue"/>
            <w:noWrap w:val="0"/>
            <w:vAlign w:val="center"/>
          </w:tcPr>
          <w:p w14:paraId="4425F72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88" w:type="pct"/>
            <w:vMerge w:val="continue"/>
            <w:noWrap w:val="0"/>
            <w:vAlign w:val="center"/>
          </w:tcPr>
          <w:p w14:paraId="4E46715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10" w:type="pct"/>
            <w:vMerge w:val="continue"/>
            <w:noWrap w:val="0"/>
            <w:vAlign w:val="center"/>
          </w:tcPr>
          <w:p w14:paraId="487782F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71" w:type="pct"/>
            <w:noWrap w:val="0"/>
            <w:vAlign w:val="center"/>
          </w:tcPr>
          <w:p w14:paraId="79E56A0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东</w:t>
            </w:r>
          </w:p>
        </w:tc>
        <w:tc>
          <w:tcPr>
            <w:tcW w:w="187" w:type="pct"/>
            <w:noWrap w:val="0"/>
            <w:vAlign w:val="center"/>
          </w:tcPr>
          <w:p w14:paraId="12A0498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南</w:t>
            </w:r>
          </w:p>
        </w:tc>
        <w:tc>
          <w:tcPr>
            <w:tcW w:w="152" w:type="pct"/>
            <w:noWrap w:val="0"/>
            <w:vAlign w:val="center"/>
          </w:tcPr>
          <w:p w14:paraId="6D8BFF6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西</w:t>
            </w:r>
          </w:p>
        </w:tc>
        <w:tc>
          <w:tcPr>
            <w:tcW w:w="178" w:type="pct"/>
            <w:noWrap w:val="0"/>
            <w:vAlign w:val="center"/>
          </w:tcPr>
          <w:p w14:paraId="40FBE31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北</w:t>
            </w:r>
          </w:p>
        </w:tc>
        <w:tc>
          <w:tcPr>
            <w:tcW w:w="146" w:type="pct"/>
            <w:vMerge w:val="continue"/>
            <w:noWrap w:val="0"/>
            <w:vAlign w:val="center"/>
          </w:tcPr>
          <w:p w14:paraId="13ED69C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p>
        </w:tc>
      </w:tr>
      <w:tr w14:paraId="6A228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jc w:val="center"/>
        </w:trPr>
        <w:tc>
          <w:tcPr>
            <w:tcW w:w="188" w:type="pct"/>
            <w:noWrap w:val="0"/>
            <w:vAlign w:val="center"/>
          </w:tcPr>
          <w:p w14:paraId="2B5F746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c>
          <w:tcPr>
            <w:tcW w:w="151" w:type="pct"/>
            <w:vMerge w:val="restart"/>
            <w:noWrap w:val="0"/>
            <w:vAlign w:val="center"/>
          </w:tcPr>
          <w:p w14:paraId="4456E7B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锅炉房</w:t>
            </w:r>
          </w:p>
        </w:tc>
        <w:tc>
          <w:tcPr>
            <w:tcW w:w="318" w:type="pct"/>
            <w:noWrap w:val="0"/>
            <w:vAlign w:val="center"/>
          </w:tcPr>
          <w:p w14:paraId="2A3B064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5"/>
                <w:rFonts w:hint="eastAsia" w:ascii="宋体" w:hAnsi="宋体" w:eastAsia="宋体" w:cs="宋体"/>
                <w:bCs w:val="0"/>
                <w:color w:val="auto"/>
                <w:spacing w:val="0"/>
                <w:sz w:val="21"/>
                <w:szCs w:val="21"/>
                <w:highlight w:val="none"/>
                <w:lang w:val="en-US" w:eastAsia="zh-CN" w:bidi="ar"/>
              </w:rPr>
            </w:pPr>
            <w:r>
              <w:rPr>
                <w:rStyle w:val="135"/>
                <w:rFonts w:hint="eastAsia" w:ascii="宋体" w:hAnsi="宋体" w:eastAsia="宋体" w:cs="宋体"/>
                <w:bCs w:val="0"/>
                <w:color w:val="auto"/>
                <w:spacing w:val="0"/>
                <w:sz w:val="21"/>
                <w:szCs w:val="21"/>
                <w:highlight w:val="none"/>
                <w:lang w:val="en-US" w:eastAsia="zh-CN" w:bidi="ar"/>
              </w:rPr>
              <w:t>锅炉</w:t>
            </w:r>
          </w:p>
        </w:tc>
        <w:tc>
          <w:tcPr>
            <w:tcW w:w="358" w:type="pct"/>
            <w:noWrap w:val="0"/>
            <w:vAlign w:val="center"/>
          </w:tcPr>
          <w:p w14:paraId="1C52D97D">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eastAsia"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vertAlign w:val="baseline"/>
                <w:lang w:val="en-US" w:eastAsia="zh-CN"/>
              </w:rPr>
              <w:t>DZL6-1.25-SCⅢ</w:t>
            </w:r>
          </w:p>
        </w:tc>
        <w:tc>
          <w:tcPr>
            <w:tcW w:w="268" w:type="pct"/>
            <w:noWrap w:val="0"/>
            <w:vAlign w:val="center"/>
          </w:tcPr>
          <w:p w14:paraId="4C055DF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color w:val="auto"/>
                <w:spacing w:val="0"/>
                <w:kern w:val="0"/>
                <w:sz w:val="21"/>
                <w:szCs w:val="21"/>
                <w:highlight w:val="none"/>
                <w:lang w:val="en-US" w:eastAsia="zh-CN" w:bidi="zh-CN"/>
              </w:rPr>
            </w:pPr>
            <w:r>
              <w:rPr>
                <w:rFonts w:hint="eastAsia" w:cs="宋体"/>
                <w:bCs/>
                <w:i w:val="0"/>
                <w:iCs w:val="0"/>
                <w:color w:val="auto"/>
                <w:kern w:val="0"/>
                <w:sz w:val="21"/>
                <w:szCs w:val="21"/>
                <w:highlight w:val="none"/>
                <w:u w:val="none"/>
                <w:lang w:val="en-US" w:eastAsia="zh-CN" w:bidi="ar"/>
              </w:rPr>
              <w:t>80</w:t>
            </w:r>
          </w:p>
        </w:tc>
        <w:tc>
          <w:tcPr>
            <w:tcW w:w="248" w:type="pct"/>
            <w:vMerge w:val="restart"/>
            <w:noWrap w:val="0"/>
            <w:vAlign w:val="center"/>
          </w:tcPr>
          <w:p w14:paraId="1FF0AE5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基础减振、厂房隔声</w:t>
            </w:r>
          </w:p>
        </w:tc>
        <w:tc>
          <w:tcPr>
            <w:tcW w:w="557" w:type="dxa"/>
            <w:noWrap w:val="0"/>
            <w:vAlign w:val="center"/>
          </w:tcPr>
          <w:p w14:paraId="40A09F2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-145.8</w:t>
            </w:r>
          </w:p>
        </w:tc>
        <w:tc>
          <w:tcPr>
            <w:tcW w:w="557" w:type="dxa"/>
            <w:noWrap w:val="0"/>
            <w:vAlign w:val="center"/>
          </w:tcPr>
          <w:p w14:paraId="63D9593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-156.9</w:t>
            </w:r>
          </w:p>
        </w:tc>
        <w:tc>
          <w:tcPr>
            <w:tcW w:w="557" w:type="dxa"/>
            <w:noWrap w:val="0"/>
            <w:vAlign w:val="center"/>
          </w:tcPr>
          <w:p w14:paraId="52931E4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w:t>
            </w:r>
          </w:p>
        </w:tc>
        <w:tc>
          <w:tcPr>
            <w:tcW w:w="180" w:type="pct"/>
            <w:noWrap w:val="0"/>
            <w:vAlign w:val="center"/>
          </w:tcPr>
          <w:p w14:paraId="25C5A5B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10</w:t>
            </w:r>
          </w:p>
        </w:tc>
        <w:tc>
          <w:tcPr>
            <w:tcW w:w="180" w:type="pct"/>
            <w:noWrap w:val="0"/>
            <w:vAlign w:val="center"/>
          </w:tcPr>
          <w:p w14:paraId="52A4681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14</w:t>
            </w:r>
          </w:p>
        </w:tc>
        <w:tc>
          <w:tcPr>
            <w:tcW w:w="180" w:type="pct"/>
            <w:noWrap w:val="0"/>
            <w:vAlign w:val="center"/>
          </w:tcPr>
          <w:p w14:paraId="26E7B66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33</w:t>
            </w:r>
          </w:p>
        </w:tc>
        <w:tc>
          <w:tcPr>
            <w:tcW w:w="184" w:type="pct"/>
            <w:noWrap w:val="0"/>
            <w:vAlign w:val="center"/>
          </w:tcPr>
          <w:p w14:paraId="2E5C61F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29</w:t>
            </w:r>
          </w:p>
        </w:tc>
        <w:tc>
          <w:tcPr>
            <w:tcW w:w="644" w:type="dxa"/>
            <w:noWrap w:val="0"/>
            <w:vAlign w:val="center"/>
          </w:tcPr>
          <w:p w14:paraId="42BF334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55.0</w:t>
            </w:r>
          </w:p>
        </w:tc>
        <w:tc>
          <w:tcPr>
            <w:tcW w:w="644" w:type="dxa"/>
            <w:noWrap w:val="0"/>
            <w:vAlign w:val="center"/>
          </w:tcPr>
          <w:p w14:paraId="5C8B52F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51.3</w:t>
            </w:r>
          </w:p>
        </w:tc>
        <w:tc>
          <w:tcPr>
            <w:tcW w:w="644" w:type="dxa"/>
            <w:noWrap w:val="0"/>
            <w:vAlign w:val="center"/>
          </w:tcPr>
          <w:p w14:paraId="11A6A73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42.0</w:t>
            </w:r>
          </w:p>
        </w:tc>
        <w:tc>
          <w:tcPr>
            <w:tcW w:w="650" w:type="dxa"/>
            <w:noWrap w:val="0"/>
            <w:vAlign w:val="center"/>
          </w:tcPr>
          <w:p w14:paraId="3854736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43.4</w:t>
            </w:r>
          </w:p>
        </w:tc>
        <w:tc>
          <w:tcPr>
            <w:tcW w:w="188" w:type="pct"/>
            <w:vMerge w:val="restart"/>
            <w:noWrap w:val="0"/>
            <w:vAlign w:val="center"/>
          </w:tcPr>
          <w:p w14:paraId="53C5983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24h</w:t>
            </w:r>
          </w:p>
        </w:tc>
        <w:tc>
          <w:tcPr>
            <w:tcW w:w="210" w:type="pct"/>
            <w:noWrap w:val="0"/>
            <w:vAlign w:val="center"/>
          </w:tcPr>
          <w:p w14:paraId="73A6FE6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bCs/>
                <w:color w:val="auto"/>
                <w:spacing w:val="0"/>
                <w:sz w:val="21"/>
                <w:szCs w:val="21"/>
                <w:highlight w:val="none"/>
                <w:vertAlign w:val="baseline"/>
                <w:lang w:val="en-US" w:eastAsia="zh-CN"/>
              </w:rPr>
            </w:pPr>
            <w:r>
              <w:rPr>
                <w:rFonts w:hint="eastAsia" w:cs="宋体"/>
                <w:bCs/>
                <w:color w:val="auto"/>
                <w:spacing w:val="0"/>
                <w:sz w:val="21"/>
                <w:szCs w:val="21"/>
                <w:highlight w:val="none"/>
                <w:vertAlign w:val="baseline"/>
                <w:lang w:val="en-US" w:eastAsia="zh-CN"/>
              </w:rPr>
              <w:t>30</w:t>
            </w:r>
          </w:p>
        </w:tc>
        <w:tc>
          <w:tcPr>
            <w:tcW w:w="486" w:type="dxa"/>
            <w:noWrap w:val="0"/>
            <w:vAlign w:val="center"/>
          </w:tcPr>
          <w:p w14:paraId="6EA0199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sz w:val="21"/>
                <w:szCs w:val="21"/>
                <w:highlight w:val="none"/>
                <w:vertAlign w:val="baseline"/>
                <w:lang w:val="en-US" w:eastAsia="zh-CN"/>
              </w:rPr>
            </w:pPr>
            <w:r>
              <w:rPr>
                <w:rFonts w:hint="eastAsia" w:ascii="宋体" w:hAnsi="宋体" w:eastAsia="宋体" w:cs="宋体"/>
                <w:bCs/>
                <w:color w:val="auto"/>
                <w:spacing w:val="0"/>
                <w:sz w:val="21"/>
                <w:szCs w:val="21"/>
                <w:highlight w:val="none"/>
                <w:vertAlign w:val="baseline"/>
                <w:lang w:val="en-US" w:eastAsia="zh-CN"/>
              </w:rPr>
              <w:t>25</w:t>
            </w:r>
          </w:p>
        </w:tc>
        <w:tc>
          <w:tcPr>
            <w:tcW w:w="531" w:type="dxa"/>
            <w:noWrap w:val="0"/>
            <w:vAlign w:val="center"/>
          </w:tcPr>
          <w:p w14:paraId="2805120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sz w:val="21"/>
                <w:szCs w:val="21"/>
                <w:highlight w:val="none"/>
                <w:vertAlign w:val="baseline"/>
                <w:lang w:val="en-US" w:eastAsia="zh-CN"/>
              </w:rPr>
            </w:pPr>
            <w:r>
              <w:rPr>
                <w:rFonts w:hint="eastAsia" w:ascii="宋体" w:hAnsi="宋体" w:eastAsia="宋体" w:cs="宋体"/>
                <w:bCs/>
                <w:color w:val="auto"/>
                <w:spacing w:val="0"/>
                <w:sz w:val="21"/>
                <w:szCs w:val="21"/>
                <w:highlight w:val="none"/>
                <w:vertAlign w:val="baseline"/>
                <w:lang w:val="en-US" w:eastAsia="zh-CN"/>
              </w:rPr>
              <w:t>21.3</w:t>
            </w:r>
          </w:p>
        </w:tc>
        <w:tc>
          <w:tcPr>
            <w:tcW w:w="432" w:type="dxa"/>
            <w:noWrap w:val="0"/>
            <w:vAlign w:val="center"/>
          </w:tcPr>
          <w:p w14:paraId="1466EE5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sz w:val="21"/>
                <w:szCs w:val="21"/>
                <w:highlight w:val="none"/>
                <w:vertAlign w:val="baseline"/>
                <w:lang w:val="en-US" w:eastAsia="zh-CN"/>
              </w:rPr>
            </w:pPr>
            <w:r>
              <w:rPr>
                <w:rFonts w:hint="eastAsia" w:ascii="宋体" w:hAnsi="宋体" w:eastAsia="宋体" w:cs="宋体"/>
                <w:bCs/>
                <w:color w:val="auto"/>
                <w:spacing w:val="0"/>
                <w:sz w:val="21"/>
                <w:szCs w:val="21"/>
                <w:highlight w:val="none"/>
                <w:vertAlign w:val="baseline"/>
                <w:lang w:val="en-US" w:eastAsia="zh-CN"/>
              </w:rPr>
              <w:t>12</w:t>
            </w:r>
          </w:p>
        </w:tc>
        <w:tc>
          <w:tcPr>
            <w:tcW w:w="503" w:type="dxa"/>
            <w:noWrap w:val="0"/>
            <w:vAlign w:val="center"/>
          </w:tcPr>
          <w:p w14:paraId="4889A91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sz w:val="21"/>
                <w:szCs w:val="21"/>
                <w:highlight w:val="none"/>
                <w:vertAlign w:val="baseline"/>
                <w:lang w:val="en-US" w:eastAsia="zh-CN"/>
              </w:rPr>
            </w:pPr>
            <w:r>
              <w:rPr>
                <w:rFonts w:hint="eastAsia" w:ascii="宋体" w:hAnsi="宋体" w:eastAsia="宋体" w:cs="宋体"/>
                <w:bCs/>
                <w:color w:val="auto"/>
                <w:spacing w:val="0"/>
                <w:sz w:val="21"/>
                <w:szCs w:val="21"/>
                <w:highlight w:val="none"/>
                <w:vertAlign w:val="baseline"/>
                <w:lang w:val="en-US" w:eastAsia="zh-CN"/>
              </w:rPr>
              <w:t>13.4</w:t>
            </w:r>
          </w:p>
        </w:tc>
        <w:tc>
          <w:tcPr>
            <w:tcW w:w="146" w:type="pct"/>
            <w:noWrap w:val="0"/>
            <w:vAlign w:val="center"/>
          </w:tcPr>
          <w:p w14:paraId="0883CFF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1</w:t>
            </w:r>
          </w:p>
        </w:tc>
      </w:tr>
      <w:tr w14:paraId="098F8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jc w:val="center"/>
        </w:trPr>
        <w:tc>
          <w:tcPr>
            <w:tcW w:w="188" w:type="pct"/>
            <w:noWrap w:val="0"/>
            <w:vAlign w:val="center"/>
          </w:tcPr>
          <w:p w14:paraId="1A3ADD9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2</w:t>
            </w:r>
          </w:p>
        </w:tc>
        <w:tc>
          <w:tcPr>
            <w:tcW w:w="151" w:type="pct"/>
            <w:vMerge w:val="continue"/>
            <w:noWrap w:val="0"/>
            <w:vAlign w:val="center"/>
          </w:tcPr>
          <w:p w14:paraId="7C67A22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18" w:type="pct"/>
            <w:noWrap w:val="0"/>
            <w:vAlign w:val="center"/>
          </w:tcPr>
          <w:p w14:paraId="3BF0BAC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5"/>
                <w:rFonts w:hint="default" w:ascii="宋体" w:hAnsi="宋体" w:eastAsia="宋体" w:cs="宋体"/>
                <w:bCs w:val="0"/>
                <w:color w:val="auto"/>
                <w:spacing w:val="0"/>
                <w:sz w:val="21"/>
                <w:szCs w:val="21"/>
                <w:highlight w:val="none"/>
                <w:lang w:val="en-US" w:eastAsia="zh-CN" w:bidi="ar"/>
              </w:rPr>
            </w:pPr>
            <w:r>
              <w:rPr>
                <w:rStyle w:val="135"/>
                <w:rFonts w:hint="eastAsia" w:cs="宋体"/>
                <w:bCs w:val="0"/>
                <w:color w:val="auto"/>
                <w:spacing w:val="0"/>
                <w:sz w:val="21"/>
                <w:szCs w:val="21"/>
                <w:highlight w:val="none"/>
                <w:lang w:val="en-US" w:eastAsia="zh-CN" w:bidi="ar"/>
              </w:rPr>
              <w:t>水泵</w:t>
            </w:r>
          </w:p>
        </w:tc>
        <w:tc>
          <w:tcPr>
            <w:tcW w:w="358" w:type="pct"/>
            <w:noWrap w:val="0"/>
            <w:vAlign w:val="center"/>
          </w:tcPr>
          <w:p w14:paraId="5CC5955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cs="宋体"/>
                <w:color w:val="auto"/>
                <w:spacing w:val="0"/>
                <w:sz w:val="21"/>
                <w:szCs w:val="21"/>
                <w:highlight w:val="none"/>
                <w:lang w:val="en-US" w:eastAsia="zh-CN"/>
              </w:rPr>
            </w:pPr>
            <w:r>
              <w:rPr>
                <w:rFonts w:hint="eastAsia" w:cs="宋体"/>
                <w:color w:val="auto"/>
                <w:spacing w:val="0"/>
                <w:sz w:val="21"/>
                <w:szCs w:val="21"/>
                <w:highlight w:val="none"/>
                <w:lang w:val="en-US" w:eastAsia="zh-CN"/>
              </w:rPr>
              <w:t>/</w:t>
            </w:r>
          </w:p>
        </w:tc>
        <w:tc>
          <w:tcPr>
            <w:tcW w:w="268" w:type="pct"/>
            <w:noWrap w:val="0"/>
            <w:vAlign w:val="center"/>
          </w:tcPr>
          <w:p w14:paraId="09DC835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kern w:val="0"/>
                <w:sz w:val="21"/>
                <w:szCs w:val="21"/>
                <w:highlight w:val="none"/>
                <w:lang w:val="en-US" w:eastAsia="zh-CN" w:bidi="zh-CN"/>
              </w:rPr>
            </w:pPr>
            <w:r>
              <w:rPr>
                <w:rFonts w:hint="eastAsia" w:cs="宋体"/>
                <w:color w:val="auto"/>
                <w:spacing w:val="0"/>
                <w:kern w:val="0"/>
                <w:sz w:val="21"/>
                <w:szCs w:val="21"/>
                <w:highlight w:val="none"/>
                <w:lang w:val="en-US" w:eastAsia="zh-CN" w:bidi="zh-CN"/>
              </w:rPr>
              <w:t>75</w:t>
            </w:r>
          </w:p>
        </w:tc>
        <w:tc>
          <w:tcPr>
            <w:tcW w:w="248" w:type="pct"/>
            <w:vMerge w:val="continue"/>
            <w:noWrap w:val="0"/>
            <w:vAlign w:val="center"/>
          </w:tcPr>
          <w:p w14:paraId="3261BC7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557" w:type="dxa"/>
            <w:noWrap w:val="0"/>
            <w:vAlign w:val="center"/>
          </w:tcPr>
          <w:p w14:paraId="0D68920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-101.4</w:t>
            </w:r>
          </w:p>
        </w:tc>
        <w:tc>
          <w:tcPr>
            <w:tcW w:w="557" w:type="dxa"/>
            <w:noWrap w:val="0"/>
            <w:vAlign w:val="center"/>
          </w:tcPr>
          <w:p w14:paraId="687BBD5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-149.7</w:t>
            </w:r>
          </w:p>
        </w:tc>
        <w:tc>
          <w:tcPr>
            <w:tcW w:w="557" w:type="dxa"/>
            <w:noWrap w:val="0"/>
            <w:vAlign w:val="center"/>
          </w:tcPr>
          <w:p w14:paraId="3A6A07B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2</w:t>
            </w:r>
          </w:p>
        </w:tc>
        <w:tc>
          <w:tcPr>
            <w:tcW w:w="180" w:type="pct"/>
            <w:noWrap w:val="0"/>
            <w:vAlign w:val="center"/>
          </w:tcPr>
          <w:p w14:paraId="582C8B2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6</w:t>
            </w:r>
          </w:p>
        </w:tc>
        <w:tc>
          <w:tcPr>
            <w:tcW w:w="180" w:type="pct"/>
            <w:noWrap w:val="0"/>
            <w:vAlign w:val="center"/>
          </w:tcPr>
          <w:p w14:paraId="057F46C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11</w:t>
            </w:r>
          </w:p>
        </w:tc>
        <w:tc>
          <w:tcPr>
            <w:tcW w:w="180" w:type="pct"/>
            <w:noWrap w:val="0"/>
            <w:vAlign w:val="center"/>
          </w:tcPr>
          <w:p w14:paraId="2DF5D69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37</w:t>
            </w:r>
          </w:p>
        </w:tc>
        <w:tc>
          <w:tcPr>
            <w:tcW w:w="184" w:type="pct"/>
            <w:noWrap w:val="0"/>
            <w:vAlign w:val="center"/>
          </w:tcPr>
          <w:p w14:paraId="236D875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17</w:t>
            </w:r>
          </w:p>
        </w:tc>
        <w:tc>
          <w:tcPr>
            <w:tcW w:w="644" w:type="dxa"/>
            <w:noWrap w:val="0"/>
            <w:vAlign w:val="center"/>
          </w:tcPr>
          <w:p w14:paraId="1002320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59.4</w:t>
            </w:r>
          </w:p>
        </w:tc>
        <w:tc>
          <w:tcPr>
            <w:tcW w:w="644" w:type="dxa"/>
            <w:noWrap w:val="0"/>
            <w:vAlign w:val="center"/>
          </w:tcPr>
          <w:p w14:paraId="272F050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54.2</w:t>
            </w:r>
          </w:p>
        </w:tc>
        <w:tc>
          <w:tcPr>
            <w:tcW w:w="644" w:type="dxa"/>
            <w:noWrap w:val="0"/>
            <w:vAlign w:val="center"/>
          </w:tcPr>
          <w:p w14:paraId="178C2A1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43.6</w:t>
            </w:r>
          </w:p>
        </w:tc>
        <w:tc>
          <w:tcPr>
            <w:tcW w:w="650" w:type="dxa"/>
            <w:noWrap w:val="0"/>
            <w:vAlign w:val="center"/>
          </w:tcPr>
          <w:p w14:paraId="71C9D17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50.4</w:t>
            </w:r>
          </w:p>
        </w:tc>
        <w:tc>
          <w:tcPr>
            <w:tcW w:w="188" w:type="pct"/>
            <w:vMerge w:val="continue"/>
            <w:noWrap w:val="0"/>
            <w:vAlign w:val="center"/>
          </w:tcPr>
          <w:p w14:paraId="0123E64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0" w:type="pct"/>
            <w:noWrap w:val="0"/>
            <w:vAlign w:val="center"/>
          </w:tcPr>
          <w:p w14:paraId="23AD4F9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30</w:t>
            </w:r>
          </w:p>
        </w:tc>
        <w:tc>
          <w:tcPr>
            <w:tcW w:w="486" w:type="dxa"/>
            <w:noWrap w:val="0"/>
            <w:vAlign w:val="center"/>
          </w:tcPr>
          <w:p w14:paraId="27001F4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sz w:val="21"/>
                <w:szCs w:val="21"/>
                <w:highlight w:val="none"/>
                <w:vertAlign w:val="baseline"/>
                <w:lang w:val="en-US" w:eastAsia="zh-CN"/>
              </w:rPr>
            </w:pPr>
            <w:r>
              <w:rPr>
                <w:rFonts w:hint="eastAsia" w:ascii="宋体" w:hAnsi="宋体" w:eastAsia="宋体" w:cs="宋体"/>
                <w:bCs/>
                <w:color w:val="auto"/>
                <w:spacing w:val="0"/>
                <w:sz w:val="21"/>
                <w:szCs w:val="21"/>
                <w:highlight w:val="none"/>
                <w:vertAlign w:val="baseline"/>
                <w:lang w:val="en-US" w:eastAsia="zh-CN"/>
              </w:rPr>
              <w:t>29.4</w:t>
            </w:r>
          </w:p>
        </w:tc>
        <w:tc>
          <w:tcPr>
            <w:tcW w:w="531" w:type="dxa"/>
            <w:noWrap w:val="0"/>
            <w:vAlign w:val="center"/>
          </w:tcPr>
          <w:p w14:paraId="4E08DFC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sz w:val="21"/>
                <w:szCs w:val="21"/>
                <w:highlight w:val="none"/>
                <w:vertAlign w:val="baseline"/>
                <w:lang w:val="en-US" w:eastAsia="zh-CN"/>
              </w:rPr>
            </w:pPr>
            <w:r>
              <w:rPr>
                <w:rFonts w:hint="eastAsia" w:ascii="宋体" w:hAnsi="宋体" w:eastAsia="宋体" w:cs="宋体"/>
                <w:bCs/>
                <w:color w:val="auto"/>
                <w:spacing w:val="0"/>
                <w:sz w:val="21"/>
                <w:szCs w:val="21"/>
                <w:highlight w:val="none"/>
                <w:vertAlign w:val="baseline"/>
                <w:lang w:val="en-US" w:eastAsia="zh-CN"/>
              </w:rPr>
              <w:t>24.2</w:t>
            </w:r>
          </w:p>
        </w:tc>
        <w:tc>
          <w:tcPr>
            <w:tcW w:w="432" w:type="dxa"/>
            <w:noWrap w:val="0"/>
            <w:vAlign w:val="center"/>
          </w:tcPr>
          <w:p w14:paraId="301A8A0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sz w:val="21"/>
                <w:szCs w:val="21"/>
                <w:highlight w:val="none"/>
                <w:vertAlign w:val="baseline"/>
                <w:lang w:val="en-US" w:eastAsia="zh-CN"/>
              </w:rPr>
            </w:pPr>
            <w:r>
              <w:rPr>
                <w:rFonts w:hint="eastAsia" w:ascii="宋体" w:hAnsi="宋体" w:eastAsia="宋体" w:cs="宋体"/>
                <w:bCs/>
                <w:color w:val="auto"/>
                <w:spacing w:val="0"/>
                <w:sz w:val="21"/>
                <w:szCs w:val="21"/>
                <w:highlight w:val="none"/>
                <w:vertAlign w:val="baseline"/>
                <w:lang w:val="en-US" w:eastAsia="zh-CN"/>
              </w:rPr>
              <w:t>13.6</w:t>
            </w:r>
          </w:p>
        </w:tc>
        <w:tc>
          <w:tcPr>
            <w:tcW w:w="503" w:type="dxa"/>
            <w:noWrap w:val="0"/>
            <w:vAlign w:val="center"/>
          </w:tcPr>
          <w:p w14:paraId="03D6240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sz w:val="21"/>
                <w:szCs w:val="21"/>
                <w:highlight w:val="none"/>
                <w:vertAlign w:val="baseline"/>
                <w:lang w:val="en-US" w:eastAsia="zh-CN"/>
              </w:rPr>
            </w:pPr>
            <w:r>
              <w:rPr>
                <w:rFonts w:hint="eastAsia" w:ascii="宋体" w:hAnsi="宋体" w:eastAsia="宋体" w:cs="宋体"/>
                <w:bCs/>
                <w:color w:val="auto"/>
                <w:spacing w:val="0"/>
                <w:sz w:val="21"/>
                <w:szCs w:val="21"/>
                <w:highlight w:val="none"/>
                <w:vertAlign w:val="baseline"/>
                <w:lang w:val="en-US" w:eastAsia="zh-CN"/>
              </w:rPr>
              <w:t>20.4</w:t>
            </w:r>
          </w:p>
        </w:tc>
        <w:tc>
          <w:tcPr>
            <w:tcW w:w="146" w:type="pct"/>
            <w:noWrap w:val="0"/>
            <w:vAlign w:val="center"/>
          </w:tcPr>
          <w:p w14:paraId="570715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14B2B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jc w:val="center"/>
        </w:trPr>
        <w:tc>
          <w:tcPr>
            <w:tcW w:w="188" w:type="pct"/>
            <w:noWrap w:val="0"/>
            <w:vAlign w:val="center"/>
          </w:tcPr>
          <w:p w14:paraId="1CFB27A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w:t>
            </w:r>
          </w:p>
        </w:tc>
        <w:tc>
          <w:tcPr>
            <w:tcW w:w="151" w:type="pct"/>
            <w:vMerge w:val="continue"/>
            <w:noWrap w:val="0"/>
            <w:vAlign w:val="center"/>
          </w:tcPr>
          <w:p w14:paraId="4DBA302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18" w:type="pct"/>
            <w:noWrap w:val="0"/>
            <w:vAlign w:val="center"/>
          </w:tcPr>
          <w:p w14:paraId="2536CC9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Style w:val="135"/>
                <w:rFonts w:hint="default" w:cs="宋体"/>
                <w:bCs w:val="0"/>
                <w:color w:val="auto"/>
                <w:spacing w:val="0"/>
                <w:sz w:val="21"/>
                <w:szCs w:val="21"/>
                <w:highlight w:val="none"/>
                <w:lang w:val="en-US" w:eastAsia="zh-CN" w:bidi="ar"/>
              </w:rPr>
            </w:pPr>
            <w:r>
              <w:rPr>
                <w:rStyle w:val="135"/>
                <w:rFonts w:hint="eastAsia" w:cs="宋体"/>
                <w:bCs w:val="0"/>
                <w:color w:val="auto"/>
                <w:spacing w:val="0"/>
                <w:sz w:val="21"/>
                <w:szCs w:val="21"/>
                <w:highlight w:val="none"/>
                <w:lang w:val="en-US" w:eastAsia="zh-CN" w:bidi="ar"/>
              </w:rPr>
              <w:t>风机</w:t>
            </w:r>
          </w:p>
        </w:tc>
        <w:tc>
          <w:tcPr>
            <w:tcW w:w="358" w:type="pct"/>
            <w:noWrap w:val="0"/>
            <w:vAlign w:val="center"/>
          </w:tcPr>
          <w:p w14:paraId="5FA21068">
            <w:pPr>
              <w:keepNext w:val="0"/>
              <w:keepLines w:val="0"/>
              <w:pageBreakBefore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rPr>
                <w:rFonts w:hint="default" w:cs="宋体"/>
                <w:color w:val="auto"/>
                <w:spacing w:val="0"/>
                <w:sz w:val="21"/>
                <w:szCs w:val="21"/>
                <w:highlight w:val="none"/>
                <w:lang w:val="en-US" w:eastAsia="zh-CN"/>
              </w:rPr>
            </w:pPr>
            <w:r>
              <w:rPr>
                <w:rFonts w:hint="eastAsia" w:cs="宋体"/>
                <w:color w:val="auto"/>
                <w:spacing w:val="0"/>
                <w:sz w:val="21"/>
                <w:szCs w:val="21"/>
                <w:highlight w:val="none"/>
                <w:lang w:val="en-US" w:eastAsia="zh-CN"/>
              </w:rPr>
              <w:t>/</w:t>
            </w:r>
          </w:p>
        </w:tc>
        <w:tc>
          <w:tcPr>
            <w:tcW w:w="268" w:type="pct"/>
            <w:noWrap w:val="0"/>
            <w:vAlign w:val="center"/>
          </w:tcPr>
          <w:p w14:paraId="3C1703C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kern w:val="0"/>
                <w:sz w:val="21"/>
                <w:szCs w:val="21"/>
                <w:highlight w:val="none"/>
                <w:lang w:val="en-US" w:eastAsia="zh-CN" w:bidi="zh-CN"/>
              </w:rPr>
            </w:pPr>
            <w:r>
              <w:rPr>
                <w:rFonts w:hint="eastAsia" w:cs="宋体"/>
                <w:color w:val="auto"/>
                <w:spacing w:val="0"/>
                <w:kern w:val="0"/>
                <w:sz w:val="21"/>
                <w:szCs w:val="21"/>
                <w:highlight w:val="none"/>
                <w:lang w:val="en-US" w:eastAsia="zh-CN" w:bidi="zh-CN"/>
              </w:rPr>
              <w:t>75</w:t>
            </w:r>
          </w:p>
        </w:tc>
        <w:tc>
          <w:tcPr>
            <w:tcW w:w="248" w:type="pct"/>
            <w:vMerge w:val="continue"/>
            <w:noWrap w:val="0"/>
            <w:vAlign w:val="center"/>
          </w:tcPr>
          <w:p w14:paraId="6EBE622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557" w:type="dxa"/>
            <w:noWrap w:val="0"/>
            <w:vAlign w:val="center"/>
          </w:tcPr>
          <w:p w14:paraId="44CEB0B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-88.7</w:t>
            </w:r>
          </w:p>
        </w:tc>
        <w:tc>
          <w:tcPr>
            <w:tcW w:w="557" w:type="dxa"/>
            <w:noWrap w:val="0"/>
            <w:vAlign w:val="center"/>
          </w:tcPr>
          <w:p w14:paraId="3A358FC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-142.6</w:t>
            </w:r>
          </w:p>
        </w:tc>
        <w:tc>
          <w:tcPr>
            <w:tcW w:w="557" w:type="dxa"/>
            <w:noWrap w:val="0"/>
            <w:vAlign w:val="center"/>
          </w:tcPr>
          <w:p w14:paraId="211C184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2</w:t>
            </w:r>
          </w:p>
        </w:tc>
        <w:tc>
          <w:tcPr>
            <w:tcW w:w="180" w:type="pct"/>
            <w:noWrap w:val="0"/>
            <w:vAlign w:val="center"/>
          </w:tcPr>
          <w:p w14:paraId="403CB15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3</w:t>
            </w:r>
          </w:p>
        </w:tc>
        <w:tc>
          <w:tcPr>
            <w:tcW w:w="180" w:type="pct"/>
            <w:noWrap w:val="0"/>
            <w:vAlign w:val="center"/>
          </w:tcPr>
          <w:p w14:paraId="2272C2D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4</w:t>
            </w:r>
          </w:p>
        </w:tc>
        <w:tc>
          <w:tcPr>
            <w:tcW w:w="180" w:type="pct"/>
            <w:noWrap w:val="0"/>
            <w:vAlign w:val="center"/>
          </w:tcPr>
          <w:p w14:paraId="59397EA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11</w:t>
            </w:r>
          </w:p>
        </w:tc>
        <w:tc>
          <w:tcPr>
            <w:tcW w:w="184" w:type="pct"/>
            <w:noWrap w:val="0"/>
            <w:vAlign w:val="center"/>
          </w:tcPr>
          <w:p w14:paraId="6FD9859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8</w:t>
            </w:r>
          </w:p>
        </w:tc>
        <w:tc>
          <w:tcPr>
            <w:tcW w:w="644" w:type="dxa"/>
            <w:noWrap w:val="0"/>
            <w:vAlign w:val="center"/>
          </w:tcPr>
          <w:p w14:paraId="56D8B22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65.5</w:t>
            </w:r>
          </w:p>
        </w:tc>
        <w:tc>
          <w:tcPr>
            <w:tcW w:w="644" w:type="dxa"/>
            <w:noWrap w:val="0"/>
            <w:vAlign w:val="center"/>
          </w:tcPr>
          <w:p w14:paraId="64C4B93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63.0</w:t>
            </w:r>
          </w:p>
        </w:tc>
        <w:tc>
          <w:tcPr>
            <w:tcW w:w="644" w:type="dxa"/>
            <w:noWrap w:val="0"/>
            <w:vAlign w:val="center"/>
          </w:tcPr>
          <w:p w14:paraId="2B390D4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54.2</w:t>
            </w:r>
          </w:p>
        </w:tc>
        <w:tc>
          <w:tcPr>
            <w:tcW w:w="650" w:type="dxa"/>
            <w:noWrap w:val="0"/>
            <w:vAlign w:val="center"/>
          </w:tcPr>
          <w:p w14:paraId="23FECB8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56.9</w:t>
            </w:r>
          </w:p>
        </w:tc>
        <w:tc>
          <w:tcPr>
            <w:tcW w:w="188" w:type="pct"/>
            <w:vMerge w:val="continue"/>
            <w:noWrap w:val="0"/>
            <w:vAlign w:val="center"/>
          </w:tcPr>
          <w:p w14:paraId="773AC94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0" w:type="pct"/>
            <w:noWrap w:val="0"/>
            <w:vAlign w:val="center"/>
          </w:tcPr>
          <w:p w14:paraId="17C40B2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30</w:t>
            </w:r>
          </w:p>
        </w:tc>
        <w:tc>
          <w:tcPr>
            <w:tcW w:w="486" w:type="dxa"/>
            <w:noWrap w:val="0"/>
            <w:vAlign w:val="center"/>
          </w:tcPr>
          <w:p w14:paraId="3EDA7B3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sz w:val="21"/>
                <w:szCs w:val="21"/>
                <w:highlight w:val="none"/>
                <w:vertAlign w:val="baseline"/>
                <w:lang w:val="en-US" w:eastAsia="zh-CN"/>
              </w:rPr>
            </w:pPr>
            <w:r>
              <w:rPr>
                <w:rFonts w:hint="eastAsia" w:ascii="宋体" w:hAnsi="宋体" w:eastAsia="宋体" w:cs="宋体"/>
                <w:bCs/>
                <w:color w:val="auto"/>
                <w:spacing w:val="0"/>
                <w:sz w:val="21"/>
                <w:szCs w:val="21"/>
                <w:highlight w:val="none"/>
                <w:vertAlign w:val="baseline"/>
                <w:lang w:val="en-US" w:eastAsia="zh-CN"/>
              </w:rPr>
              <w:t>35.5</w:t>
            </w:r>
          </w:p>
        </w:tc>
        <w:tc>
          <w:tcPr>
            <w:tcW w:w="531" w:type="dxa"/>
            <w:noWrap w:val="0"/>
            <w:vAlign w:val="center"/>
          </w:tcPr>
          <w:p w14:paraId="377BCA3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sz w:val="21"/>
                <w:szCs w:val="21"/>
                <w:highlight w:val="none"/>
                <w:vertAlign w:val="baseline"/>
                <w:lang w:val="en-US" w:eastAsia="zh-CN"/>
              </w:rPr>
            </w:pPr>
            <w:r>
              <w:rPr>
                <w:rFonts w:hint="eastAsia" w:ascii="宋体" w:hAnsi="宋体" w:eastAsia="宋体" w:cs="宋体"/>
                <w:bCs/>
                <w:color w:val="auto"/>
                <w:spacing w:val="0"/>
                <w:sz w:val="21"/>
                <w:szCs w:val="21"/>
                <w:highlight w:val="none"/>
                <w:vertAlign w:val="baseline"/>
                <w:lang w:val="en-US" w:eastAsia="zh-CN"/>
              </w:rPr>
              <w:t>33</w:t>
            </w:r>
          </w:p>
        </w:tc>
        <w:tc>
          <w:tcPr>
            <w:tcW w:w="432" w:type="dxa"/>
            <w:noWrap w:val="0"/>
            <w:vAlign w:val="center"/>
          </w:tcPr>
          <w:p w14:paraId="0832C91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sz w:val="21"/>
                <w:szCs w:val="21"/>
                <w:highlight w:val="none"/>
                <w:vertAlign w:val="baseline"/>
                <w:lang w:val="en-US" w:eastAsia="zh-CN"/>
              </w:rPr>
            </w:pPr>
            <w:r>
              <w:rPr>
                <w:rFonts w:hint="eastAsia" w:ascii="宋体" w:hAnsi="宋体" w:eastAsia="宋体" w:cs="宋体"/>
                <w:bCs/>
                <w:color w:val="auto"/>
                <w:spacing w:val="0"/>
                <w:sz w:val="21"/>
                <w:szCs w:val="21"/>
                <w:highlight w:val="none"/>
                <w:vertAlign w:val="baseline"/>
                <w:lang w:val="en-US" w:eastAsia="zh-CN"/>
              </w:rPr>
              <w:t>24.2</w:t>
            </w:r>
          </w:p>
        </w:tc>
        <w:tc>
          <w:tcPr>
            <w:tcW w:w="503" w:type="dxa"/>
            <w:noWrap w:val="0"/>
            <w:vAlign w:val="center"/>
          </w:tcPr>
          <w:p w14:paraId="33EB871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Cs/>
                <w:color w:val="auto"/>
                <w:spacing w:val="0"/>
                <w:sz w:val="21"/>
                <w:szCs w:val="21"/>
                <w:highlight w:val="none"/>
                <w:vertAlign w:val="baseline"/>
                <w:lang w:val="en-US" w:eastAsia="zh-CN"/>
              </w:rPr>
            </w:pPr>
            <w:r>
              <w:rPr>
                <w:rFonts w:hint="eastAsia" w:ascii="宋体" w:hAnsi="宋体" w:eastAsia="宋体" w:cs="宋体"/>
                <w:bCs/>
                <w:color w:val="auto"/>
                <w:spacing w:val="0"/>
                <w:sz w:val="21"/>
                <w:szCs w:val="21"/>
                <w:highlight w:val="none"/>
                <w:vertAlign w:val="baseline"/>
                <w:lang w:val="en-US" w:eastAsia="zh-CN"/>
              </w:rPr>
              <w:t>26.9</w:t>
            </w:r>
          </w:p>
        </w:tc>
        <w:tc>
          <w:tcPr>
            <w:tcW w:w="146" w:type="pct"/>
            <w:noWrap w:val="0"/>
            <w:vAlign w:val="center"/>
          </w:tcPr>
          <w:p w14:paraId="74AF161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77A88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853" w:type="pct"/>
            <w:gridSpan w:val="23"/>
            <w:noWrap w:val="0"/>
            <w:vAlign w:val="center"/>
          </w:tcPr>
          <w:p w14:paraId="5C15530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以厂区中心位置为坐标远点130.59010335°45.08808246°，东西向为X南北向为Y，高度为Z</w:t>
            </w:r>
          </w:p>
        </w:tc>
        <w:tc>
          <w:tcPr>
            <w:tcW w:w="146" w:type="pct"/>
            <w:noWrap w:val="0"/>
            <w:vAlign w:val="center"/>
          </w:tcPr>
          <w:p w14:paraId="7FB685F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color w:val="auto"/>
                <w:spacing w:val="0"/>
                <w:sz w:val="21"/>
                <w:szCs w:val="21"/>
                <w:highlight w:val="none"/>
                <w:vertAlign w:val="baseline"/>
                <w:lang w:val="en-US" w:eastAsia="zh-CN"/>
              </w:rPr>
            </w:pPr>
          </w:p>
        </w:tc>
      </w:tr>
    </w:tbl>
    <w:p w14:paraId="2EF03BE6">
      <w:pPr>
        <w:spacing w:line="240" w:lineRule="auto"/>
        <w:jc w:val="center"/>
        <w:rPr>
          <w:rFonts w:hint="eastAsia" w:cs="宋体"/>
          <w:color w:val="auto"/>
          <w:spacing w:val="0"/>
          <w:highlight w:val="none"/>
          <w:lang w:eastAsia="zh-CN"/>
        </w:rPr>
      </w:pPr>
      <w:r>
        <w:rPr>
          <w:rFonts w:hint="eastAsia" w:ascii="宋体" w:hAnsi="宋体" w:eastAsia="宋体" w:cs="宋体"/>
          <w:b/>
          <w:bCs/>
          <w:color w:val="auto"/>
          <w:spacing w:val="0"/>
          <w:sz w:val="21"/>
          <w:szCs w:val="21"/>
          <w:highlight w:val="none"/>
          <w:lang w:val="en-US" w:eastAsia="zh-CN"/>
        </w:rPr>
        <w:t>表4-1</w:t>
      </w:r>
      <w:r>
        <w:rPr>
          <w:rFonts w:hint="eastAsia" w:cs="宋体"/>
          <w:b/>
          <w:bCs/>
          <w:color w:val="auto"/>
          <w:spacing w:val="0"/>
          <w:sz w:val="21"/>
          <w:szCs w:val="21"/>
          <w:highlight w:val="none"/>
          <w:lang w:val="en-US" w:eastAsia="zh-CN"/>
        </w:rPr>
        <w:t>3</w:t>
      </w:r>
      <w:r>
        <w:rPr>
          <w:rFonts w:hint="eastAsia" w:ascii="宋体" w:hAnsi="宋体" w:eastAsia="宋体" w:cs="宋体"/>
          <w:b/>
          <w:bCs/>
          <w:color w:val="auto"/>
          <w:spacing w:val="0"/>
          <w:sz w:val="21"/>
          <w:szCs w:val="21"/>
          <w:highlight w:val="none"/>
          <w:lang w:val="en-US" w:eastAsia="zh-CN"/>
        </w:rPr>
        <w:t>噪声源强调查清单</w:t>
      </w:r>
      <w:r>
        <w:rPr>
          <w:rFonts w:hint="eastAsia" w:cs="宋体"/>
          <w:b/>
          <w:bCs/>
          <w:color w:val="auto"/>
          <w:spacing w:val="0"/>
          <w:sz w:val="21"/>
          <w:szCs w:val="21"/>
          <w:highlight w:val="none"/>
          <w:lang w:val="en-US" w:eastAsia="zh-CN"/>
        </w:rPr>
        <w:t>（现有工程声源）</w:t>
      </w:r>
    </w:p>
    <w:tbl>
      <w:tblPr>
        <w:tblStyle w:val="38"/>
        <w:tblW w:w="52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4"/>
        <w:gridCol w:w="461"/>
        <w:gridCol w:w="967"/>
        <w:gridCol w:w="817"/>
        <w:gridCol w:w="755"/>
        <w:gridCol w:w="600"/>
        <w:gridCol w:w="600"/>
        <w:gridCol w:w="600"/>
        <w:gridCol w:w="549"/>
        <w:gridCol w:w="549"/>
        <w:gridCol w:w="549"/>
        <w:gridCol w:w="560"/>
        <w:gridCol w:w="693"/>
        <w:gridCol w:w="693"/>
        <w:gridCol w:w="693"/>
        <w:gridCol w:w="704"/>
        <w:gridCol w:w="574"/>
        <w:gridCol w:w="642"/>
        <w:gridCol w:w="523"/>
        <w:gridCol w:w="571"/>
        <w:gridCol w:w="464"/>
        <w:gridCol w:w="546"/>
        <w:gridCol w:w="445"/>
      </w:tblGrid>
      <w:tr w14:paraId="1FC49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vMerge w:val="restart"/>
            <w:noWrap w:val="0"/>
            <w:vAlign w:val="center"/>
          </w:tcPr>
          <w:p w14:paraId="6E0D576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序号</w:t>
            </w:r>
          </w:p>
        </w:tc>
        <w:tc>
          <w:tcPr>
            <w:tcW w:w="163" w:type="pct"/>
            <w:vMerge w:val="restart"/>
            <w:noWrap w:val="0"/>
            <w:vAlign w:val="center"/>
          </w:tcPr>
          <w:p w14:paraId="302C5AF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建筑物名称</w:t>
            </w:r>
          </w:p>
        </w:tc>
        <w:tc>
          <w:tcPr>
            <w:tcW w:w="342" w:type="pct"/>
            <w:vMerge w:val="restart"/>
            <w:noWrap w:val="0"/>
            <w:vAlign w:val="center"/>
          </w:tcPr>
          <w:p w14:paraId="76E2D03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声源名称</w:t>
            </w:r>
          </w:p>
        </w:tc>
        <w:tc>
          <w:tcPr>
            <w:tcW w:w="289" w:type="pct"/>
            <w:noWrap w:val="0"/>
            <w:vAlign w:val="center"/>
          </w:tcPr>
          <w:p w14:paraId="4AF1AFA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声源源强（任选一种）</w:t>
            </w:r>
          </w:p>
        </w:tc>
        <w:tc>
          <w:tcPr>
            <w:tcW w:w="267" w:type="pct"/>
            <w:vMerge w:val="restart"/>
            <w:noWrap w:val="0"/>
            <w:vAlign w:val="center"/>
          </w:tcPr>
          <w:p w14:paraId="34BD59C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声源控制措施</w:t>
            </w:r>
          </w:p>
        </w:tc>
        <w:tc>
          <w:tcPr>
            <w:tcW w:w="636" w:type="pct"/>
            <w:gridSpan w:val="3"/>
            <w:noWrap w:val="0"/>
            <w:vAlign w:val="center"/>
          </w:tcPr>
          <w:p w14:paraId="67FBECC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空间相对位置/m</w:t>
            </w:r>
          </w:p>
        </w:tc>
        <w:tc>
          <w:tcPr>
            <w:tcW w:w="781" w:type="pct"/>
            <w:gridSpan w:val="4"/>
            <w:noWrap w:val="0"/>
            <w:vAlign w:val="center"/>
          </w:tcPr>
          <w:p w14:paraId="7A3BC1F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距室内边界距离/m</w:t>
            </w:r>
          </w:p>
        </w:tc>
        <w:tc>
          <w:tcPr>
            <w:tcW w:w="984" w:type="pct"/>
            <w:gridSpan w:val="4"/>
            <w:noWrap w:val="0"/>
            <w:vAlign w:val="center"/>
          </w:tcPr>
          <w:p w14:paraId="5A7C977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室内边界省级/dB（A）</w:t>
            </w:r>
          </w:p>
        </w:tc>
        <w:tc>
          <w:tcPr>
            <w:tcW w:w="203" w:type="pct"/>
            <w:vMerge w:val="restart"/>
            <w:noWrap w:val="0"/>
            <w:vAlign w:val="center"/>
          </w:tcPr>
          <w:p w14:paraId="24B03D6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运行时段</w:t>
            </w:r>
          </w:p>
        </w:tc>
        <w:tc>
          <w:tcPr>
            <w:tcW w:w="227" w:type="pct"/>
            <w:vMerge w:val="restart"/>
            <w:noWrap w:val="0"/>
            <w:vAlign w:val="center"/>
          </w:tcPr>
          <w:p w14:paraId="299F581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建筑物插入损失/dB（A）</w:t>
            </w:r>
          </w:p>
        </w:tc>
        <w:tc>
          <w:tcPr>
            <w:tcW w:w="902" w:type="pct"/>
            <w:gridSpan w:val="5"/>
            <w:noWrap w:val="0"/>
            <w:vAlign w:val="center"/>
          </w:tcPr>
          <w:p w14:paraId="46F9C12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建筑物外噪声</w:t>
            </w:r>
          </w:p>
        </w:tc>
      </w:tr>
      <w:tr w14:paraId="22FB0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vMerge w:val="continue"/>
            <w:noWrap w:val="0"/>
            <w:vAlign w:val="center"/>
          </w:tcPr>
          <w:p w14:paraId="31EB721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163" w:type="pct"/>
            <w:vMerge w:val="continue"/>
            <w:noWrap w:val="0"/>
            <w:vAlign w:val="center"/>
          </w:tcPr>
          <w:p w14:paraId="4320756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342" w:type="pct"/>
            <w:vMerge w:val="continue"/>
            <w:noWrap w:val="0"/>
            <w:vAlign w:val="center"/>
          </w:tcPr>
          <w:p w14:paraId="12FF1C5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89" w:type="pct"/>
            <w:vMerge w:val="restart"/>
            <w:noWrap w:val="0"/>
            <w:vAlign w:val="center"/>
          </w:tcPr>
          <w:p w14:paraId="3F728C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声功率级/dB（A）</w:t>
            </w:r>
          </w:p>
        </w:tc>
        <w:tc>
          <w:tcPr>
            <w:tcW w:w="267" w:type="pct"/>
            <w:vMerge w:val="continue"/>
            <w:noWrap w:val="0"/>
            <w:vAlign w:val="center"/>
          </w:tcPr>
          <w:p w14:paraId="66311F5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vMerge w:val="restart"/>
            <w:noWrap w:val="0"/>
            <w:vAlign w:val="center"/>
          </w:tcPr>
          <w:p w14:paraId="7366057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X</w:t>
            </w:r>
          </w:p>
        </w:tc>
        <w:tc>
          <w:tcPr>
            <w:tcW w:w="212" w:type="pct"/>
            <w:vMerge w:val="restart"/>
            <w:noWrap w:val="0"/>
            <w:vAlign w:val="center"/>
          </w:tcPr>
          <w:p w14:paraId="3F1A289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Y</w:t>
            </w:r>
          </w:p>
        </w:tc>
        <w:tc>
          <w:tcPr>
            <w:tcW w:w="212" w:type="pct"/>
            <w:vMerge w:val="restart"/>
            <w:noWrap w:val="0"/>
            <w:vAlign w:val="center"/>
          </w:tcPr>
          <w:p w14:paraId="589B271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Z</w:t>
            </w:r>
          </w:p>
        </w:tc>
        <w:tc>
          <w:tcPr>
            <w:tcW w:w="194" w:type="pct"/>
            <w:vMerge w:val="restart"/>
            <w:noWrap w:val="0"/>
            <w:vAlign w:val="center"/>
          </w:tcPr>
          <w:p w14:paraId="1A72087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东</w:t>
            </w:r>
          </w:p>
        </w:tc>
        <w:tc>
          <w:tcPr>
            <w:tcW w:w="194" w:type="pct"/>
            <w:vMerge w:val="restart"/>
            <w:noWrap w:val="0"/>
            <w:vAlign w:val="center"/>
          </w:tcPr>
          <w:p w14:paraId="22D005F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南</w:t>
            </w:r>
          </w:p>
        </w:tc>
        <w:tc>
          <w:tcPr>
            <w:tcW w:w="194" w:type="pct"/>
            <w:vMerge w:val="restart"/>
            <w:noWrap w:val="0"/>
            <w:vAlign w:val="center"/>
          </w:tcPr>
          <w:p w14:paraId="3AF7545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西</w:t>
            </w:r>
          </w:p>
        </w:tc>
        <w:tc>
          <w:tcPr>
            <w:tcW w:w="198" w:type="pct"/>
            <w:vMerge w:val="restart"/>
            <w:noWrap w:val="0"/>
            <w:vAlign w:val="center"/>
          </w:tcPr>
          <w:p w14:paraId="64972BB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北</w:t>
            </w:r>
          </w:p>
        </w:tc>
        <w:tc>
          <w:tcPr>
            <w:tcW w:w="245" w:type="pct"/>
            <w:vMerge w:val="restart"/>
            <w:noWrap w:val="0"/>
            <w:vAlign w:val="center"/>
          </w:tcPr>
          <w:p w14:paraId="5E5C677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东</w:t>
            </w:r>
          </w:p>
        </w:tc>
        <w:tc>
          <w:tcPr>
            <w:tcW w:w="245" w:type="pct"/>
            <w:vMerge w:val="restart"/>
            <w:noWrap w:val="0"/>
            <w:vAlign w:val="center"/>
          </w:tcPr>
          <w:p w14:paraId="181E739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南</w:t>
            </w:r>
          </w:p>
        </w:tc>
        <w:tc>
          <w:tcPr>
            <w:tcW w:w="245" w:type="pct"/>
            <w:vMerge w:val="restart"/>
            <w:noWrap w:val="0"/>
            <w:vAlign w:val="center"/>
          </w:tcPr>
          <w:p w14:paraId="36DCA38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西</w:t>
            </w:r>
          </w:p>
        </w:tc>
        <w:tc>
          <w:tcPr>
            <w:tcW w:w="249" w:type="pct"/>
            <w:vMerge w:val="restart"/>
            <w:noWrap w:val="0"/>
            <w:vAlign w:val="center"/>
          </w:tcPr>
          <w:p w14:paraId="6044AA2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北</w:t>
            </w:r>
          </w:p>
        </w:tc>
        <w:tc>
          <w:tcPr>
            <w:tcW w:w="203" w:type="pct"/>
            <w:vMerge w:val="continue"/>
            <w:noWrap w:val="0"/>
            <w:vAlign w:val="center"/>
          </w:tcPr>
          <w:p w14:paraId="189E373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rPr>
            </w:pPr>
          </w:p>
        </w:tc>
        <w:tc>
          <w:tcPr>
            <w:tcW w:w="227" w:type="pct"/>
            <w:vMerge w:val="continue"/>
            <w:noWrap w:val="0"/>
            <w:vAlign w:val="center"/>
          </w:tcPr>
          <w:p w14:paraId="3EC0556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rPr>
            </w:pPr>
          </w:p>
        </w:tc>
        <w:tc>
          <w:tcPr>
            <w:tcW w:w="744" w:type="pct"/>
            <w:gridSpan w:val="4"/>
            <w:noWrap w:val="0"/>
            <w:vAlign w:val="center"/>
          </w:tcPr>
          <w:p w14:paraId="57078C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声压级/dB（A）</w:t>
            </w:r>
          </w:p>
        </w:tc>
        <w:tc>
          <w:tcPr>
            <w:tcW w:w="157" w:type="pct"/>
            <w:vMerge w:val="restart"/>
            <w:noWrap w:val="0"/>
            <w:vAlign w:val="center"/>
          </w:tcPr>
          <w:p w14:paraId="5F85365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bCs/>
                <w:color w:val="auto"/>
                <w:spacing w:val="0"/>
                <w:sz w:val="21"/>
                <w:szCs w:val="21"/>
                <w:highlight w:val="none"/>
                <w:vertAlign w:val="baseline"/>
                <w:lang w:val="en-US" w:eastAsia="zh-CN"/>
              </w:rPr>
            </w:pPr>
            <w:r>
              <w:rPr>
                <w:rFonts w:hint="eastAsia" w:ascii="宋体" w:hAnsi="宋体" w:eastAsia="宋体" w:cs="宋体"/>
                <w:b/>
                <w:bCs/>
                <w:color w:val="auto"/>
                <w:spacing w:val="0"/>
                <w:sz w:val="21"/>
                <w:szCs w:val="21"/>
                <w:highlight w:val="none"/>
                <w:vertAlign w:val="baseline"/>
                <w:lang w:val="en-US" w:eastAsia="zh-CN"/>
              </w:rPr>
              <w:t>建筑物外距离m</w:t>
            </w:r>
          </w:p>
        </w:tc>
      </w:tr>
      <w:tr w14:paraId="29F59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vMerge w:val="continue"/>
            <w:noWrap w:val="0"/>
            <w:vAlign w:val="center"/>
          </w:tcPr>
          <w:p w14:paraId="0B13B4A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63" w:type="pct"/>
            <w:vMerge w:val="continue"/>
            <w:noWrap w:val="0"/>
            <w:vAlign w:val="center"/>
          </w:tcPr>
          <w:p w14:paraId="042F7CC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342" w:type="pct"/>
            <w:vMerge w:val="continue"/>
            <w:noWrap w:val="0"/>
            <w:vAlign w:val="center"/>
          </w:tcPr>
          <w:p w14:paraId="24FCAC4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89" w:type="pct"/>
            <w:vMerge w:val="continue"/>
            <w:noWrap w:val="0"/>
            <w:vAlign w:val="center"/>
          </w:tcPr>
          <w:p w14:paraId="452C4C4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67" w:type="pct"/>
            <w:vMerge w:val="continue"/>
            <w:noWrap w:val="0"/>
            <w:vAlign w:val="center"/>
          </w:tcPr>
          <w:p w14:paraId="512A3F1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12" w:type="pct"/>
            <w:vMerge w:val="continue"/>
            <w:noWrap w:val="0"/>
            <w:vAlign w:val="center"/>
          </w:tcPr>
          <w:p w14:paraId="6366B14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12" w:type="pct"/>
            <w:vMerge w:val="continue"/>
            <w:noWrap w:val="0"/>
            <w:vAlign w:val="center"/>
          </w:tcPr>
          <w:p w14:paraId="77B3180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12" w:type="pct"/>
            <w:vMerge w:val="continue"/>
            <w:noWrap w:val="0"/>
            <w:vAlign w:val="center"/>
          </w:tcPr>
          <w:p w14:paraId="2A552D5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94" w:type="pct"/>
            <w:vMerge w:val="continue"/>
            <w:noWrap w:val="0"/>
            <w:vAlign w:val="center"/>
          </w:tcPr>
          <w:p w14:paraId="018A3E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94" w:type="pct"/>
            <w:vMerge w:val="continue"/>
            <w:noWrap w:val="0"/>
            <w:vAlign w:val="center"/>
          </w:tcPr>
          <w:p w14:paraId="52F2291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94" w:type="pct"/>
            <w:vMerge w:val="continue"/>
            <w:noWrap w:val="0"/>
            <w:vAlign w:val="center"/>
          </w:tcPr>
          <w:p w14:paraId="69D7110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98" w:type="pct"/>
            <w:vMerge w:val="continue"/>
            <w:noWrap w:val="0"/>
            <w:vAlign w:val="center"/>
          </w:tcPr>
          <w:p w14:paraId="0D20C25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45" w:type="pct"/>
            <w:vMerge w:val="continue"/>
            <w:noWrap w:val="0"/>
            <w:vAlign w:val="center"/>
          </w:tcPr>
          <w:p w14:paraId="1CEA069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45" w:type="pct"/>
            <w:vMerge w:val="continue"/>
            <w:noWrap w:val="0"/>
            <w:vAlign w:val="center"/>
          </w:tcPr>
          <w:p w14:paraId="0910669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45" w:type="pct"/>
            <w:vMerge w:val="continue"/>
            <w:noWrap w:val="0"/>
            <w:vAlign w:val="center"/>
          </w:tcPr>
          <w:p w14:paraId="20D57B7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49" w:type="pct"/>
            <w:vMerge w:val="continue"/>
            <w:noWrap w:val="0"/>
            <w:vAlign w:val="center"/>
          </w:tcPr>
          <w:p w14:paraId="3A33B95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03" w:type="pct"/>
            <w:vMerge w:val="continue"/>
            <w:noWrap w:val="0"/>
            <w:vAlign w:val="center"/>
          </w:tcPr>
          <w:p w14:paraId="65FEEC8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227" w:type="pct"/>
            <w:vMerge w:val="continue"/>
            <w:noWrap w:val="0"/>
            <w:vAlign w:val="center"/>
          </w:tcPr>
          <w:p w14:paraId="05B9DF3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rPr>
            </w:pPr>
          </w:p>
        </w:tc>
        <w:tc>
          <w:tcPr>
            <w:tcW w:w="185" w:type="pct"/>
            <w:noWrap w:val="0"/>
            <w:vAlign w:val="center"/>
          </w:tcPr>
          <w:p w14:paraId="1710580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东</w:t>
            </w:r>
          </w:p>
        </w:tc>
        <w:tc>
          <w:tcPr>
            <w:tcW w:w="202" w:type="pct"/>
            <w:noWrap w:val="0"/>
            <w:vAlign w:val="center"/>
          </w:tcPr>
          <w:p w14:paraId="385C927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南</w:t>
            </w:r>
          </w:p>
        </w:tc>
        <w:tc>
          <w:tcPr>
            <w:tcW w:w="164" w:type="pct"/>
            <w:noWrap w:val="0"/>
            <w:vAlign w:val="center"/>
          </w:tcPr>
          <w:p w14:paraId="07EE6DB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西</w:t>
            </w:r>
          </w:p>
        </w:tc>
        <w:tc>
          <w:tcPr>
            <w:tcW w:w="193" w:type="pct"/>
            <w:noWrap w:val="0"/>
            <w:vAlign w:val="center"/>
          </w:tcPr>
          <w:p w14:paraId="603CE4F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r>
              <w:rPr>
                <w:rFonts w:hint="eastAsia" w:ascii="宋体" w:hAnsi="宋体" w:eastAsia="宋体" w:cs="宋体"/>
                <w:color w:val="auto"/>
                <w:spacing w:val="0"/>
                <w:sz w:val="21"/>
                <w:szCs w:val="21"/>
                <w:highlight w:val="none"/>
                <w:vertAlign w:val="baseline"/>
                <w:lang w:val="en-US" w:eastAsia="zh-CN"/>
              </w:rPr>
              <w:t>北</w:t>
            </w:r>
          </w:p>
        </w:tc>
        <w:tc>
          <w:tcPr>
            <w:tcW w:w="157" w:type="pct"/>
            <w:vMerge w:val="continue"/>
            <w:noWrap w:val="0"/>
            <w:vAlign w:val="center"/>
          </w:tcPr>
          <w:p w14:paraId="5CEA18D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bidi="zh-CN"/>
              </w:rPr>
            </w:pPr>
          </w:p>
        </w:tc>
      </w:tr>
      <w:tr w14:paraId="18CB0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shd w:val="clear" w:color="auto" w:fill="auto"/>
            <w:noWrap w:val="0"/>
            <w:vAlign w:val="center"/>
          </w:tcPr>
          <w:p w14:paraId="4BE1619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bCs/>
                <w:color w:val="auto"/>
                <w:spacing w:val="0"/>
                <w:kern w:val="2"/>
                <w:sz w:val="21"/>
                <w:szCs w:val="21"/>
                <w:highlight w:val="none"/>
                <w:vertAlign w:val="baseline"/>
                <w:lang w:val="en-US" w:eastAsia="zh-CN" w:bidi="ar-SA"/>
              </w:rPr>
            </w:pPr>
            <w:r>
              <w:rPr>
                <w:rFonts w:hint="eastAsia" w:cs="宋体"/>
                <w:color w:val="auto"/>
                <w:spacing w:val="0"/>
                <w:sz w:val="21"/>
                <w:szCs w:val="21"/>
                <w:highlight w:val="none"/>
                <w:vertAlign w:val="baseline"/>
                <w:lang w:val="en-US" w:eastAsia="zh-CN"/>
              </w:rPr>
              <w:t>1</w:t>
            </w:r>
          </w:p>
        </w:tc>
        <w:tc>
          <w:tcPr>
            <w:tcW w:w="163" w:type="pct"/>
            <w:vMerge w:val="restart"/>
            <w:noWrap w:val="0"/>
            <w:vAlign w:val="center"/>
          </w:tcPr>
          <w:p w14:paraId="59F4D08B">
            <w:pPr>
              <w:pStyle w:val="1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301</w:t>
            </w:r>
          </w:p>
          <w:p w14:paraId="589B35B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车间</w:t>
            </w:r>
          </w:p>
        </w:tc>
        <w:tc>
          <w:tcPr>
            <w:tcW w:w="342" w:type="pct"/>
            <w:shd w:val="clear" w:color="auto" w:fill="auto"/>
            <w:noWrap w:val="0"/>
            <w:vAlign w:val="center"/>
          </w:tcPr>
          <w:p w14:paraId="4C4EB4EB">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bCs w:val="0"/>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真空泵</w:t>
            </w:r>
          </w:p>
        </w:tc>
        <w:tc>
          <w:tcPr>
            <w:tcW w:w="289" w:type="pct"/>
            <w:noWrap w:val="0"/>
            <w:vAlign w:val="center"/>
          </w:tcPr>
          <w:p w14:paraId="0D78D85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restart"/>
            <w:noWrap w:val="0"/>
            <w:vAlign w:val="center"/>
          </w:tcPr>
          <w:p w14:paraId="23E79B2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r>
              <w:rPr>
                <w:rFonts w:hint="default" w:ascii="Times New Roman" w:hAnsi="Times New Roman" w:eastAsia="宋体" w:cs="Times New Roman"/>
                <w:color w:val="auto"/>
                <w:sz w:val="21"/>
                <w:szCs w:val="21"/>
                <w:highlight w:val="none"/>
                <w:u w:val="none"/>
                <w:lang w:val="en-US" w:eastAsia="zh-CN"/>
              </w:rPr>
              <w:t>低噪声设备，隔声、减振措施</w:t>
            </w:r>
            <w:r>
              <w:rPr>
                <w:rFonts w:hint="eastAsia" w:ascii="Times New Roman" w:hAnsi="Times New Roman" w:eastAsia="宋体" w:cs="Times New Roman"/>
                <w:color w:val="auto"/>
                <w:sz w:val="21"/>
                <w:szCs w:val="21"/>
                <w:highlight w:val="none"/>
                <w:u w:val="none"/>
                <w:lang w:val="en-US" w:eastAsia="zh-CN"/>
              </w:rPr>
              <w:t>、</w:t>
            </w:r>
            <w:r>
              <w:rPr>
                <w:rFonts w:hint="default" w:ascii="Times New Roman" w:hAnsi="Times New Roman" w:eastAsia="宋体" w:cs="Times New Roman"/>
                <w:color w:val="auto"/>
                <w:sz w:val="21"/>
                <w:szCs w:val="21"/>
                <w:highlight w:val="none"/>
                <w:u w:val="none"/>
                <w:lang w:val="en-US" w:eastAsia="zh-CN"/>
              </w:rPr>
              <w:t>消声器</w:t>
            </w:r>
          </w:p>
        </w:tc>
        <w:tc>
          <w:tcPr>
            <w:tcW w:w="212" w:type="pct"/>
            <w:noWrap w:val="0"/>
            <w:vAlign w:val="center"/>
          </w:tcPr>
          <w:p w14:paraId="064F870A">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-151.3</w:t>
            </w:r>
          </w:p>
        </w:tc>
        <w:tc>
          <w:tcPr>
            <w:tcW w:w="212" w:type="pct"/>
            <w:noWrap w:val="0"/>
            <w:vAlign w:val="center"/>
          </w:tcPr>
          <w:p w14:paraId="1E5EB22F">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-77.2</w:t>
            </w:r>
          </w:p>
        </w:tc>
        <w:tc>
          <w:tcPr>
            <w:tcW w:w="212" w:type="pct"/>
            <w:noWrap w:val="0"/>
            <w:vAlign w:val="center"/>
          </w:tcPr>
          <w:p w14:paraId="5991E1A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4EA12E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19FE813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18</w:t>
            </w:r>
          </w:p>
        </w:tc>
        <w:tc>
          <w:tcPr>
            <w:tcW w:w="194" w:type="pct"/>
            <w:noWrap w:val="0"/>
            <w:vAlign w:val="center"/>
          </w:tcPr>
          <w:p w14:paraId="71333B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27</w:t>
            </w:r>
          </w:p>
        </w:tc>
        <w:tc>
          <w:tcPr>
            <w:tcW w:w="198" w:type="pct"/>
            <w:noWrap w:val="0"/>
            <w:vAlign w:val="center"/>
          </w:tcPr>
          <w:p w14:paraId="61A5AF4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64</w:t>
            </w:r>
          </w:p>
        </w:tc>
        <w:tc>
          <w:tcPr>
            <w:tcW w:w="245" w:type="pct"/>
            <w:noWrap w:val="0"/>
            <w:vAlign w:val="center"/>
          </w:tcPr>
          <w:p w14:paraId="236AFA9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50.6 </w:t>
            </w:r>
          </w:p>
        </w:tc>
        <w:tc>
          <w:tcPr>
            <w:tcW w:w="245" w:type="pct"/>
            <w:noWrap w:val="0"/>
            <w:vAlign w:val="center"/>
          </w:tcPr>
          <w:p w14:paraId="1C98A29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48.6 </w:t>
            </w:r>
          </w:p>
        </w:tc>
        <w:tc>
          <w:tcPr>
            <w:tcW w:w="245" w:type="pct"/>
            <w:noWrap w:val="0"/>
            <w:vAlign w:val="center"/>
          </w:tcPr>
          <w:p w14:paraId="28C202C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44.2 </w:t>
            </w:r>
          </w:p>
        </w:tc>
        <w:tc>
          <w:tcPr>
            <w:tcW w:w="249" w:type="pct"/>
            <w:noWrap w:val="0"/>
            <w:vAlign w:val="center"/>
          </w:tcPr>
          <w:p w14:paraId="55E6156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34.8 </w:t>
            </w:r>
          </w:p>
        </w:tc>
        <w:tc>
          <w:tcPr>
            <w:tcW w:w="203" w:type="pct"/>
            <w:vMerge w:val="restart"/>
            <w:noWrap w:val="0"/>
            <w:vAlign w:val="center"/>
          </w:tcPr>
          <w:p w14:paraId="5CF52D5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间歇</w:t>
            </w:r>
          </w:p>
        </w:tc>
        <w:tc>
          <w:tcPr>
            <w:tcW w:w="227" w:type="pct"/>
            <w:noWrap w:val="0"/>
            <w:vAlign w:val="center"/>
          </w:tcPr>
          <w:p w14:paraId="5DC65EF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30</w:t>
            </w:r>
          </w:p>
        </w:tc>
        <w:tc>
          <w:tcPr>
            <w:tcW w:w="185" w:type="pct"/>
            <w:noWrap w:val="0"/>
            <w:vAlign w:val="center"/>
          </w:tcPr>
          <w:p w14:paraId="750AFA7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20.6 </w:t>
            </w:r>
          </w:p>
        </w:tc>
        <w:tc>
          <w:tcPr>
            <w:tcW w:w="202" w:type="pct"/>
            <w:noWrap w:val="0"/>
            <w:vAlign w:val="center"/>
          </w:tcPr>
          <w:p w14:paraId="28749FE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18.6 </w:t>
            </w:r>
          </w:p>
        </w:tc>
        <w:tc>
          <w:tcPr>
            <w:tcW w:w="164" w:type="pct"/>
            <w:noWrap w:val="0"/>
            <w:vAlign w:val="center"/>
          </w:tcPr>
          <w:p w14:paraId="764A035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14.2 </w:t>
            </w:r>
          </w:p>
        </w:tc>
        <w:tc>
          <w:tcPr>
            <w:tcW w:w="193" w:type="pct"/>
            <w:noWrap w:val="0"/>
            <w:vAlign w:val="center"/>
          </w:tcPr>
          <w:p w14:paraId="151406A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4.8 </w:t>
            </w:r>
          </w:p>
        </w:tc>
        <w:tc>
          <w:tcPr>
            <w:tcW w:w="157" w:type="pct"/>
            <w:noWrap w:val="0"/>
            <w:vAlign w:val="center"/>
          </w:tcPr>
          <w:p w14:paraId="42873BB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4987E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shd w:val="clear" w:color="auto" w:fill="auto"/>
            <w:noWrap w:val="0"/>
            <w:vAlign w:val="center"/>
          </w:tcPr>
          <w:p w14:paraId="34340E9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bCs/>
                <w:color w:val="auto"/>
                <w:spacing w:val="0"/>
                <w:kern w:val="2"/>
                <w:sz w:val="21"/>
                <w:szCs w:val="21"/>
                <w:highlight w:val="none"/>
                <w:vertAlign w:val="baseline"/>
                <w:lang w:val="en-US" w:eastAsia="zh-CN" w:bidi="ar-SA"/>
              </w:rPr>
            </w:pPr>
            <w:r>
              <w:rPr>
                <w:rFonts w:hint="eastAsia" w:cs="宋体"/>
                <w:color w:val="auto"/>
                <w:spacing w:val="0"/>
                <w:sz w:val="21"/>
                <w:szCs w:val="21"/>
                <w:highlight w:val="none"/>
                <w:vertAlign w:val="baseline"/>
                <w:lang w:val="en-US" w:eastAsia="zh-CN"/>
              </w:rPr>
              <w:t>2</w:t>
            </w:r>
          </w:p>
        </w:tc>
        <w:tc>
          <w:tcPr>
            <w:tcW w:w="163" w:type="pct"/>
            <w:vMerge w:val="continue"/>
            <w:noWrap w:val="0"/>
            <w:vAlign w:val="center"/>
          </w:tcPr>
          <w:p w14:paraId="4FA4ABC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shd w:val="clear" w:color="auto" w:fill="auto"/>
            <w:noWrap w:val="0"/>
            <w:vAlign w:val="center"/>
          </w:tcPr>
          <w:p w14:paraId="452DBA39">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Cs w:val="0"/>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真空泵</w:t>
            </w:r>
          </w:p>
        </w:tc>
        <w:tc>
          <w:tcPr>
            <w:tcW w:w="289" w:type="pct"/>
            <w:noWrap w:val="0"/>
            <w:vAlign w:val="center"/>
          </w:tcPr>
          <w:p w14:paraId="34B892E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continue"/>
            <w:noWrap w:val="0"/>
            <w:vAlign w:val="center"/>
          </w:tcPr>
          <w:p w14:paraId="33C5A4E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544D5E74">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-146.6</w:t>
            </w:r>
          </w:p>
        </w:tc>
        <w:tc>
          <w:tcPr>
            <w:tcW w:w="212" w:type="pct"/>
            <w:noWrap w:val="0"/>
            <w:vAlign w:val="center"/>
          </w:tcPr>
          <w:p w14:paraId="72BB2F04">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-91.9</w:t>
            </w:r>
          </w:p>
        </w:tc>
        <w:tc>
          <w:tcPr>
            <w:tcW w:w="212" w:type="pct"/>
            <w:noWrap w:val="0"/>
            <w:vAlign w:val="center"/>
          </w:tcPr>
          <w:p w14:paraId="252ADE2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41B7B1C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0DE7B93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18</w:t>
            </w:r>
          </w:p>
        </w:tc>
        <w:tc>
          <w:tcPr>
            <w:tcW w:w="194" w:type="pct"/>
            <w:noWrap w:val="0"/>
            <w:vAlign w:val="center"/>
          </w:tcPr>
          <w:p w14:paraId="636B40A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26</w:t>
            </w:r>
          </w:p>
        </w:tc>
        <w:tc>
          <w:tcPr>
            <w:tcW w:w="198" w:type="pct"/>
            <w:noWrap w:val="0"/>
            <w:vAlign w:val="center"/>
          </w:tcPr>
          <w:p w14:paraId="12A648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64</w:t>
            </w:r>
          </w:p>
        </w:tc>
        <w:tc>
          <w:tcPr>
            <w:tcW w:w="245" w:type="pct"/>
            <w:noWrap w:val="0"/>
            <w:vAlign w:val="center"/>
          </w:tcPr>
          <w:p w14:paraId="5358CEA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56.5 </w:t>
            </w:r>
          </w:p>
        </w:tc>
        <w:tc>
          <w:tcPr>
            <w:tcW w:w="245" w:type="pct"/>
            <w:noWrap w:val="0"/>
            <w:vAlign w:val="center"/>
          </w:tcPr>
          <w:p w14:paraId="69419B2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54.9 </w:t>
            </w:r>
          </w:p>
        </w:tc>
        <w:tc>
          <w:tcPr>
            <w:tcW w:w="245" w:type="pct"/>
            <w:noWrap w:val="0"/>
            <w:vAlign w:val="center"/>
          </w:tcPr>
          <w:p w14:paraId="309933C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51.7 </w:t>
            </w:r>
          </w:p>
        </w:tc>
        <w:tc>
          <w:tcPr>
            <w:tcW w:w="249" w:type="pct"/>
            <w:noWrap w:val="0"/>
            <w:vAlign w:val="center"/>
          </w:tcPr>
          <w:p w14:paraId="6326DF7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43.9 </w:t>
            </w:r>
          </w:p>
        </w:tc>
        <w:tc>
          <w:tcPr>
            <w:tcW w:w="203" w:type="pct"/>
            <w:vMerge w:val="continue"/>
            <w:noWrap w:val="0"/>
            <w:vAlign w:val="center"/>
          </w:tcPr>
          <w:p w14:paraId="4BD5BD1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4B8CE07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30</w:t>
            </w:r>
          </w:p>
        </w:tc>
        <w:tc>
          <w:tcPr>
            <w:tcW w:w="185" w:type="pct"/>
            <w:noWrap w:val="0"/>
            <w:vAlign w:val="center"/>
          </w:tcPr>
          <w:p w14:paraId="4975E7A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26.5 </w:t>
            </w:r>
          </w:p>
        </w:tc>
        <w:tc>
          <w:tcPr>
            <w:tcW w:w="202" w:type="pct"/>
            <w:noWrap w:val="0"/>
            <w:vAlign w:val="center"/>
          </w:tcPr>
          <w:p w14:paraId="698E82C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24.9 </w:t>
            </w:r>
          </w:p>
        </w:tc>
        <w:tc>
          <w:tcPr>
            <w:tcW w:w="164" w:type="pct"/>
            <w:noWrap w:val="0"/>
            <w:vAlign w:val="center"/>
          </w:tcPr>
          <w:p w14:paraId="51A85B7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21.7 </w:t>
            </w:r>
          </w:p>
        </w:tc>
        <w:tc>
          <w:tcPr>
            <w:tcW w:w="193" w:type="pct"/>
            <w:noWrap w:val="0"/>
            <w:vAlign w:val="center"/>
          </w:tcPr>
          <w:p w14:paraId="777D9F3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13.9 </w:t>
            </w:r>
          </w:p>
        </w:tc>
        <w:tc>
          <w:tcPr>
            <w:tcW w:w="157" w:type="pct"/>
            <w:noWrap w:val="0"/>
            <w:vAlign w:val="center"/>
          </w:tcPr>
          <w:p w14:paraId="52EBB7B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455A4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shd w:val="clear" w:color="auto" w:fill="auto"/>
            <w:noWrap w:val="0"/>
            <w:vAlign w:val="center"/>
          </w:tcPr>
          <w:p w14:paraId="73A0927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bCs/>
                <w:color w:val="auto"/>
                <w:spacing w:val="0"/>
                <w:kern w:val="2"/>
                <w:sz w:val="21"/>
                <w:szCs w:val="21"/>
                <w:highlight w:val="none"/>
                <w:vertAlign w:val="baseline"/>
                <w:lang w:val="en-US" w:eastAsia="zh-CN" w:bidi="ar-SA"/>
              </w:rPr>
            </w:pPr>
            <w:r>
              <w:rPr>
                <w:rFonts w:hint="eastAsia" w:cs="宋体"/>
                <w:color w:val="auto"/>
                <w:spacing w:val="0"/>
                <w:sz w:val="21"/>
                <w:szCs w:val="21"/>
                <w:highlight w:val="none"/>
                <w:vertAlign w:val="baseline"/>
                <w:lang w:val="en-US" w:eastAsia="zh-CN"/>
              </w:rPr>
              <w:t>3</w:t>
            </w:r>
          </w:p>
        </w:tc>
        <w:tc>
          <w:tcPr>
            <w:tcW w:w="163" w:type="pct"/>
            <w:vMerge w:val="continue"/>
            <w:noWrap w:val="0"/>
            <w:vAlign w:val="center"/>
          </w:tcPr>
          <w:p w14:paraId="4AF1A22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shd w:val="clear" w:color="auto" w:fill="auto"/>
            <w:noWrap w:val="0"/>
            <w:vAlign w:val="center"/>
          </w:tcPr>
          <w:p w14:paraId="7E4AE460">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Cs w:val="0"/>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循环泵、（8台）</w:t>
            </w:r>
          </w:p>
        </w:tc>
        <w:tc>
          <w:tcPr>
            <w:tcW w:w="289" w:type="pct"/>
            <w:noWrap w:val="0"/>
            <w:vAlign w:val="center"/>
          </w:tcPr>
          <w:p w14:paraId="03C93C1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94</w:t>
            </w:r>
          </w:p>
        </w:tc>
        <w:tc>
          <w:tcPr>
            <w:tcW w:w="267" w:type="pct"/>
            <w:vMerge w:val="continue"/>
            <w:noWrap w:val="0"/>
            <w:vAlign w:val="center"/>
          </w:tcPr>
          <w:p w14:paraId="649056C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56B2352C">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-134.3</w:t>
            </w:r>
          </w:p>
        </w:tc>
        <w:tc>
          <w:tcPr>
            <w:tcW w:w="212" w:type="pct"/>
            <w:noWrap w:val="0"/>
            <w:vAlign w:val="center"/>
          </w:tcPr>
          <w:p w14:paraId="39022E6D">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-79.6</w:t>
            </w:r>
          </w:p>
        </w:tc>
        <w:tc>
          <w:tcPr>
            <w:tcW w:w="212" w:type="pct"/>
            <w:noWrap w:val="0"/>
            <w:vAlign w:val="center"/>
          </w:tcPr>
          <w:p w14:paraId="5D670B7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5BEAAD3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22</w:t>
            </w:r>
          </w:p>
        </w:tc>
        <w:tc>
          <w:tcPr>
            <w:tcW w:w="194" w:type="pct"/>
            <w:noWrap w:val="0"/>
            <w:vAlign w:val="center"/>
          </w:tcPr>
          <w:p w14:paraId="06E7531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17</w:t>
            </w:r>
          </w:p>
        </w:tc>
        <w:tc>
          <w:tcPr>
            <w:tcW w:w="194" w:type="pct"/>
            <w:noWrap w:val="0"/>
            <w:vAlign w:val="center"/>
          </w:tcPr>
          <w:p w14:paraId="6ACC23D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29</w:t>
            </w:r>
          </w:p>
        </w:tc>
        <w:tc>
          <w:tcPr>
            <w:tcW w:w="198" w:type="pct"/>
            <w:noWrap w:val="0"/>
            <w:vAlign w:val="center"/>
          </w:tcPr>
          <w:p w14:paraId="711DBFA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49</w:t>
            </w:r>
          </w:p>
        </w:tc>
        <w:tc>
          <w:tcPr>
            <w:tcW w:w="245" w:type="pct"/>
            <w:noWrap w:val="0"/>
            <w:vAlign w:val="center"/>
          </w:tcPr>
          <w:p w14:paraId="5E838C7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67.2 </w:t>
            </w:r>
          </w:p>
        </w:tc>
        <w:tc>
          <w:tcPr>
            <w:tcW w:w="245" w:type="pct"/>
            <w:noWrap w:val="0"/>
            <w:vAlign w:val="center"/>
          </w:tcPr>
          <w:p w14:paraId="6B4EDBE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69.4 </w:t>
            </w:r>
          </w:p>
        </w:tc>
        <w:tc>
          <w:tcPr>
            <w:tcW w:w="245" w:type="pct"/>
            <w:noWrap w:val="0"/>
            <w:vAlign w:val="center"/>
          </w:tcPr>
          <w:p w14:paraId="1D063D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64.8 </w:t>
            </w:r>
          </w:p>
        </w:tc>
        <w:tc>
          <w:tcPr>
            <w:tcW w:w="249" w:type="pct"/>
            <w:noWrap w:val="0"/>
            <w:vAlign w:val="center"/>
          </w:tcPr>
          <w:p w14:paraId="0DB12ED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60.2 </w:t>
            </w:r>
          </w:p>
        </w:tc>
        <w:tc>
          <w:tcPr>
            <w:tcW w:w="203" w:type="pct"/>
            <w:vMerge w:val="continue"/>
            <w:noWrap w:val="0"/>
            <w:vAlign w:val="center"/>
          </w:tcPr>
          <w:p w14:paraId="7ADE253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2C12BDD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45FF582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37.2 </w:t>
            </w:r>
          </w:p>
        </w:tc>
        <w:tc>
          <w:tcPr>
            <w:tcW w:w="202" w:type="pct"/>
            <w:noWrap w:val="0"/>
            <w:vAlign w:val="center"/>
          </w:tcPr>
          <w:p w14:paraId="2F54139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39.4 </w:t>
            </w:r>
          </w:p>
        </w:tc>
        <w:tc>
          <w:tcPr>
            <w:tcW w:w="164" w:type="pct"/>
            <w:noWrap w:val="0"/>
            <w:vAlign w:val="center"/>
          </w:tcPr>
          <w:p w14:paraId="51532C5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34.8 </w:t>
            </w:r>
          </w:p>
        </w:tc>
        <w:tc>
          <w:tcPr>
            <w:tcW w:w="193" w:type="pct"/>
            <w:noWrap w:val="0"/>
            <w:vAlign w:val="center"/>
          </w:tcPr>
          <w:p w14:paraId="34B9819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30.2 </w:t>
            </w:r>
          </w:p>
        </w:tc>
        <w:tc>
          <w:tcPr>
            <w:tcW w:w="157" w:type="pct"/>
            <w:noWrap w:val="0"/>
            <w:vAlign w:val="center"/>
          </w:tcPr>
          <w:p w14:paraId="398A1FB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57466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5F20930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4</w:t>
            </w:r>
          </w:p>
        </w:tc>
        <w:tc>
          <w:tcPr>
            <w:tcW w:w="163" w:type="pct"/>
            <w:vMerge w:val="continue"/>
            <w:noWrap w:val="0"/>
            <w:vAlign w:val="center"/>
          </w:tcPr>
          <w:p w14:paraId="626E3BD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shd w:val="clear" w:color="auto" w:fill="auto"/>
            <w:noWrap w:val="0"/>
            <w:vAlign w:val="center"/>
          </w:tcPr>
          <w:p w14:paraId="176B6205">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Cs w:val="0"/>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风机</w:t>
            </w:r>
          </w:p>
        </w:tc>
        <w:tc>
          <w:tcPr>
            <w:tcW w:w="289" w:type="pct"/>
            <w:noWrap w:val="0"/>
            <w:vAlign w:val="center"/>
          </w:tcPr>
          <w:p w14:paraId="737710D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75</w:t>
            </w:r>
          </w:p>
        </w:tc>
        <w:tc>
          <w:tcPr>
            <w:tcW w:w="267" w:type="pct"/>
            <w:vMerge w:val="continue"/>
            <w:noWrap w:val="0"/>
            <w:vAlign w:val="center"/>
          </w:tcPr>
          <w:p w14:paraId="586B33F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66C64E06">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-124.8</w:t>
            </w:r>
          </w:p>
        </w:tc>
        <w:tc>
          <w:tcPr>
            <w:tcW w:w="212" w:type="pct"/>
            <w:noWrap w:val="0"/>
            <w:vAlign w:val="center"/>
          </w:tcPr>
          <w:p w14:paraId="0631A59D">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-69.6</w:t>
            </w:r>
          </w:p>
        </w:tc>
        <w:tc>
          <w:tcPr>
            <w:tcW w:w="212" w:type="pct"/>
            <w:noWrap w:val="0"/>
            <w:vAlign w:val="center"/>
          </w:tcPr>
          <w:p w14:paraId="47D1503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7695AEF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10</w:t>
            </w:r>
          </w:p>
        </w:tc>
        <w:tc>
          <w:tcPr>
            <w:tcW w:w="194" w:type="pct"/>
            <w:noWrap w:val="0"/>
            <w:vAlign w:val="center"/>
          </w:tcPr>
          <w:p w14:paraId="3329D83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26</w:t>
            </w:r>
          </w:p>
        </w:tc>
        <w:tc>
          <w:tcPr>
            <w:tcW w:w="194" w:type="pct"/>
            <w:noWrap w:val="0"/>
            <w:vAlign w:val="center"/>
          </w:tcPr>
          <w:p w14:paraId="415ECE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33</w:t>
            </w:r>
          </w:p>
        </w:tc>
        <w:tc>
          <w:tcPr>
            <w:tcW w:w="198" w:type="pct"/>
            <w:noWrap w:val="0"/>
            <w:vAlign w:val="center"/>
          </w:tcPr>
          <w:p w14:paraId="79138D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42</w:t>
            </w:r>
          </w:p>
        </w:tc>
        <w:tc>
          <w:tcPr>
            <w:tcW w:w="245" w:type="pct"/>
            <w:noWrap w:val="0"/>
            <w:vAlign w:val="center"/>
          </w:tcPr>
          <w:p w14:paraId="581C36E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55.0 </w:t>
            </w:r>
          </w:p>
        </w:tc>
        <w:tc>
          <w:tcPr>
            <w:tcW w:w="245" w:type="pct"/>
            <w:noWrap w:val="0"/>
            <w:vAlign w:val="center"/>
          </w:tcPr>
          <w:p w14:paraId="201CBB4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46.7 </w:t>
            </w:r>
          </w:p>
        </w:tc>
        <w:tc>
          <w:tcPr>
            <w:tcW w:w="245" w:type="pct"/>
            <w:noWrap w:val="0"/>
            <w:vAlign w:val="center"/>
          </w:tcPr>
          <w:p w14:paraId="0666D5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44.6 </w:t>
            </w:r>
          </w:p>
        </w:tc>
        <w:tc>
          <w:tcPr>
            <w:tcW w:w="249" w:type="pct"/>
            <w:noWrap w:val="0"/>
            <w:vAlign w:val="center"/>
          </w:tcPr>
          <w:p w14:paraId="365453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42.5 </w:t>
            </w:r>
          </w:p>
        </w:tc>
        <w:tc>
          <w:tcPr>
            <w:tcW w:w="203" w:type="pct"/>
            <w:vMerge w:val="continue"/>
            <w:noWrap w:val="0"/>
            <w:vAlign w:val="center"/>
          </w:tcPr>
          <w:p w14:paraId="51975B4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5D90A57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1CCF2DD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25.0 </w:t>
            </w:r>
          </w:p>
        </w:tc>
        <w:tc>
          <w:tcPr>
            <w:tcW w:w="202" w:type="pct"/>
            <w:noWrap w:val="0"/>
            <w:vAlign w:val="center"/>
          </w:tcPr>
          <w:p w14:paraId="3DA8482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16.7 </w:t>
            </w:r>
          </w:p>
        </w:tc>
        <w:tc>
          <w:tcPr>
            <w:tcW w:w="164" w:type="pct"/>
            <w:noWrap w:val="0"/>
            <w:vAlign w:val="center"/>
          </w:tcPr>
          <w:p w14:paraId="254B4D4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14.6 </w:t>
            </w:r>
          </w:p>
        </w:tc>
        <w:tc>
          <w:tcPr>
            <w:tcW w:w="193" w:type="pct"/>
            <w:noWrap w:val="0"/>
            <w:vAlign w:val="center"/>
          </w:tcPr>
          <w:p w14:paraId="0D1316B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12.5 </w:t>
            </w:r>
          </w:p>
        </w:tc>
        <w:tc>
          <w:tcPr>
            <w:tcW w:w="157" w:type="pct"/>
            <w:noWrap w:val="0"/>
            <w:vAlign w:val="center"/>
          </w:tcPr>
          <w:p w14:paraId="4C2274F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09C46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30CD20F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5</w:t>
            </w:r>
          </w:p>
        </w:tc>
        <w:tc>
          <w:tcPr>
            <w:tcW w:w="163" w:type="pct"/>
            <w:vMerge w:val="continue"/>
            <w:noWrap w:val="0"/>
            <w:vAlign w:val="center"/>
          </w:tcPr>
          <w:p w14:paraId="790135A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shd w:val="clear" w:color="auto" w:fill="auto"/>
            <w:noWrap w:val="0"/>
            <w:vAlign w:val="center"/>
          </w:tcPr>
          <w:p w14:paraId="7076AA70">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Cs w:val="0"/>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风机</w:t>
            </w:r>
          </w:p>
        </w:tc>
        <w:tc>
          <w:tcPr>
            <w:tcW w:w="289" w:type="pct"/>
            <w:noWrap w:val="0"/>
            <w:vAlign w:val="center"/>
          </w:tcPr>
          <w:p w14:paraId="6E8DC68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75</w:t>
            </w:r>
          </w:p>
        </w:tc>
        <w:tc>
          <w:tcPr>
            <w:tcW w:w="267" w:type="pct"/>
            <w:vMerge w:val="continue"/>
            <w:noWrap w:val="0"/>
            <w:vAlign w:val="center"/>
          </w:tcPr>
          <w:p w14:paraId="3BBB184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5D28FD3A">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-118.8</w:t>
            </w:r>
          </w:p>
        </w:tc>
        <w:tc>
          <w:tcPr>
            <w:tcW w:w="212" w:type="pct"/>
            <w:noWrap w:val="0"/>
            <w:vAlign w:val="center"/>
          </w:tcPr>
          <w:p w14:paraId="20E999A9">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-84.3</w:t>
            </w:r>
          </w:p>
        </w:tc>
        <w:tc>
          <w:tcPr>
            <w:tcW w:w="212" w:type="pct"/>
            <w:noWrap w:val="0"/>
            <w:vAlign w:val="center"/>
          </w:tcPr>
          <w:p w14:paraId="18E5AB2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2C5EBEB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25</w:t>
            </w:r>
          </w:p>
        </w:tc>
        <w:tc>
          <w:tcPr>
            <w:tcW w:w="194" w:type="pct"/>
            <w:noWrap w:val="0"/>
            <w:vAlign w:val="center"/>
          </w:tcPr>
          <w:p w14:paraId="62E263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2B2A91E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33</w:t>
            </w:r>
          </w:p>
        </w:tc>
        <w:tc>
          <w:tcPr>
            <w:tcW w:w="198" w:type="pct"/>
            <w:noWrap w:val="0"/>
            <w:vAlign w:val="center"/>
          </w:tcPr>
          <w:p w14:paraId="25E6239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42</w:t>
            </w:r>
          </w:p>
        </w:tc>
        <w:tc>
          <w:tcPr>
            <w:tcW w:w="245" w:type="pct"/>
            <w:noWrap w:val="0"/>
            <w:vAlign w:val="center"/>
          </w:tcPr>
          <w:p w14:paraId="1B95F1A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47.0 </w:t>
            </w:r>
          </w:p>
        </w:tc>
        <w:tc>
          <w:tcPr>
            <w:tcW w:w="245" w:type="pct"/>
            <w:noWrap w:val="0"/>
            <w:vAlign w:val="center"/>
          </w:tcPr>
          <w:p w14:paraId="2EFD2D8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51.5 </w:t>
            </w:r>
          </w:p>
        </w:tc>
        <w:tc>
          <w:tcPr>
            <w:tcW w:w="245" w:type="pct"/>
            <w:noWrap w:val="0"/>
            <w:vAlign w:val="center"/>
          </w:tcPr>
          <w:p w14:paraId="1D4AD05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44.6 </w:t>
            </w:r>
          </w:p>
        </w:tc>
        <w:tc>
          <w:tcPr>
            <w:tcW w:w="249" w:type="pct"/>
            <w:noWrap w:val="0"/>
            <w:vAlign w:val="center"/>
          </w:tcPr>
          <w:p w14:paraId="4EF44BF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42.5 </w:t>
            </w:r>
          </w:p>
        </w:tc>
        <w:tc>
          <w:tcPr>
            <w:tcW w:w="203" w:type="pct"/>
            <w:vMerge w:val="continue"/>
            <w:noWrap w:val="0"/>
            <w:vAlign w:val="center"/>
          </w:tcPr>
          <w:p w14:paraId="4E48BC8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1E5E072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025C5C5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17.0 </w:t>
            </w:r>
          </w:p>
        </w:tc>
        <w:tc>
          <w:tcPr>
            <w:tcW w:w="202" w:type="pct"/>
            <w:noWrap w:val="0"/>
            <w:vAlign w:val="center"/>
          </w:tcPr>
          <w:p w14:paraId="0730D6B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21.5 </w:t>
            </w:r>
          </w:p>
        </w:tc>
        <w:tc>
          <w:tcPr>
            <w:tcW w:w="164" w:type="pct"/>
            <w:noWrap w:val="0"/>
            <w:vAlign w:val="center"/>
          </w:tcPr>
          <w:p w14:paraId="21F53CC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14.6 </w:t>
            </w:r>
          </w:p>
        </w:tc>
        <w:tc>
          <w:tcPr>
            <w:tcW w:w="193" w:type="pct"/>
            <w:noWrap w:val="0"/>
            <w:vAlign w:val="center"/>
          </w:tcPr>
          <w:p w14:paraId="25DF6DD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12.5 </w:t>
            </w:r>
          </w:p>
        </w:tc>
        <w:tc>
          <w:tcPr>
            <w:tcW w:w="157" w:type="pct"/>
            <w:noWrap w:val="0"/>
            <w:vAlign w:val="center"/>
          </w:tcPr>
          <w:p w14:paraId="0FDC9F5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429AA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7859B09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7</w:t>
            </w:r>
          </w:p>
        </w:tc>
        <w:tc>
          <w:tcPr>
            <w:tcW w:w="163" w:type="pct"/>
            <w:vMerge w:val="continue"/>
            <w:noWrap w:val="0"/>
            <w:vAlign w:val="center"/>
          </w:tcPr>
          <w:p w14:paraId="6A1FF3E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shd w:val="clear" w:color="auto" w:fill="auto"/>
            <w:noWrap w:val="0"/>
            <w:vAlign w:val="center"/>
          </w:tcPr>
          <w:p w14:paraId="16065976">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bCs w:val="0"/>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压滤机</w:t>
            </w:r>
          </w:p>
        </w:tc>
        <w:tc>
          <w:tcPr>
            <w:tcW w:w="289" w:type="pct"/>
            <w:noWrap w:val="0"/>
            <w:vAlign w:val="center"/>
          </w:tcPr>
          <w:p w14:paraId="3037BAA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continue"/>
            <w:noWrap w:val="0"/>
            <w:vAlign w:val="center"/>
          </w:tcPr>
          <w:p w14:paraId="5ADF94C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2BFAB495">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-114.1</w:t>
            </w:r>
          </w:p>
        </w:tc>
        <w:tc>
          <w:tcPr>
            <w:tcW w:w="212" w:type="pct"/>
            <w:noWrap w:val="0"/>
            <w:vAlign w:val="center"/>
          </w:tcPr>
          <w:p w14:paraId="3D17119C">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-74.4</w:t>
            </w:r>
          </w:p>
        </w:tc>
        <w:tc>
          <w:tcPr>
            <w:tcW w:w="212" w:type="pct"/>
            <w:noWrap w:val="0"/>
            <w:vAlign w:val="center"/>
          </w:tcPr>
          <w:p w14:paraId="54E94C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41B3DA4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32</w:t>
            </w:r>
          </w:p>
        </w:tc>
        <w:tc>
          <w:tcPr>
            <w:tcW w:w="194" w:type="pct"/>
            <w:noWrap w:val="0"/>
            <w:vAlign w:val="center"/>
          </w:tcPr>
          <w:p w14:paraId="61D3C5E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44</w:t>
            </w:r>
          </w:p>
        </w:tc>
        <w:tc>
          <w:tcPr>
            <w:tcW w:w="194" w:type="pct"/>
            <w:noWrap w:val="0"/>
            <w:vAlign w:val="center"/>
          </w:tcPr>
          <w:p w14:paraId="10F43A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16</w:t>
            </w:r>
          </w:p>
        </w:tc>
        <w:tc>
          <w:tcPr>
            <w:tcW w:w="198" w:type="pct"/>
            <w:noWrap w:val="0"/>
            <w:vAlign w:val="center"/>
          </w:tcPr>
          <w:p w14:paraId="29908E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245" w:type="pct"/>
            <w:noWrap w:val="0"/>
            <w:vAlign w:val="center"/>
          </w:tcPr>
          <w:p w14:paraId="40B4DB5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49.9 </w:t>
            </w:r>
          </w:p>
        </w:tc>
        <w:tc>
          <w:tcPr>
            <w:tcW w:w="245" w:type="pct"/>
            <w:noWrap w:val="0"/>
            <w:vAlign w:val="center"/>
          </w:tcPr>
          <w:p w14:paraId="40954A0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47.1 </w:t>
            </w:r>
          </w:p>
        </w:tc>
        <w:tc>
          <w:tcPr>
            <w:tcW w:w="245" w:type="pct"/>
            <w:noWrap w:val="0"/>
            <w:vAlign w:val="center"/>
          </w:tcPr>
          <w:p w14:paraId="41D539C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55.9 </w:t>
            </w:r>
          </w:p>
        </w:tc>
        <w:tc>
          <w:tcPr>
            <w:tcW w:w="249" w:type="pct"/>
            <w:noWrap w:val="0"/>
            <w:vAlign w:val="center"/>
          </w:tcPr>
          <w:p w14:paraId="5E03983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54.0 </w:t>
            </w:r>
          </w:p>
        </w:tc>
        <w:tc>
          <w:tcPr>
            <w:tcW w:w="203" w:type="pct"/>
            <w:vMerge w:val="continue"/>
            <w:noWrap w:val="0"/>
            <w:vAlign w:val="center"/>
          </w:tcPr>
          <w:p w14:paraId="4EDF61E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457ACB6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18CB2D0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19.9 </w:t>
            </w:r>
          </w:p>
        </w:tc>
        <w:tc>
          <w:tcPr>
            <w:tcW w:w="202" w:type="pct"/>
            <w:noWrap w:val="0"/>
            <w:vAlign w:val="center"/>
          </w:tcPr>
          <w:p w14:paraId="237E37F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17.1 </w:t>
            </w:r>
          </w:p>
        </w:tc>
        <w:tc>
          <w:tcPr>
            <w:tcW w:w="164" w:type="pct"/>
            <w:noWrap w:val="0"/>
            <w:vAlign w:val="center"/>
          </w:tcPr>
          <w:p w14:paraId="01F0B01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25.9 </w:t>
            </w:r>
          </w:p>
        </w:tc>
        <w:tc>
          <w:tcPr>
            <w:tcW w:w="193" w:type="pct"/>
            <w:noWrap w:val="0"/>
            <w:vAlign w:val="center"/>
          </w:tcPr>
          <w:p w14:paraId="3016338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24.0 </w:t>
            </w:r>
          </w:p>
        </w:tc>
        <w:tc>
          <w:tcPr>
            <w:tcW w:w="157" w:type="pct"/>
            <w:noWrap w:val="0"/>
            <w:vAlign w:val="center"/>
          </w:tcPr>
          <w:p w14:paraId="65BA1A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486ED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77D54B1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8</w:t>
            </w:r>
          </w:p>
        </w:tc>
        <w:tc>
          <w:tcPr>
            <w:tcW w:w="163" w:type="pct"/>
            <w:vMerge w:val="continue"/>
            <w:noWrap w:val="0"/>
            <w:vAlign w:val="center"/>
          </w:tcPr>
          <w:p w14:paraId="3BDE706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shd w:val="clear" w:color="auto" w:fill="auto"/>
            <w:noWrap w:val="0"/>
            <w:vAlign w:val="center"/>
          </w:tcPr>
          <w:p w14:paraId="5E8C78B0">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bCs w:val="0"/>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搅拌器（16台）</w:t>
            </w:r>
          </w:p>
        </w:tc>
        <w:tc>
          <w:tcPr>
            <w:tcW w:w="289" w:type="pct"/>
            <w:noWrap w:val="0"/>
            <w:vAlign w:val="center"/>
          </w:tcPr>
          <w:p w14:paraId="66E1A1D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87</w:t>
            </w:r>
          </w:p>
        </w:tc>
        <w:tc>
          <w:tcPr>
            <w:tcW w:w="267" w:type="pct"/>
            <w:vMerge w:val="continue"/>
            <w:noWrap w:val="0"/>
            <w:vAlign w:val="center"/>
          </w:tcPr>
          <w:p w14:paraId="55E7713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5CBE4D04">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-100.2</w:t>
            </w:r>
          </w:p>
        </w:tc>
        <w:tc>
          <w:tcPr>
            <w:tcW w:w="212" w:type="pct"/>
            <w:noWrap w:val="0"/>
            <w:vAlign w:val="center"/>
          </w:tcPr>
          <w:p w14:paraId="4F5C95C7">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-69.3</w:t>
            </w:r>
          </w:p>
        </w:tc>
        <w:tc>
          <w:tcPr>
            <w:tcW w:w="212" w:type="pct"/>
            <w:noWrap w:val="0"/>
            <w:vAlign w:val="center"/>
          </w:tcPr>
          <w:p w14:paraId="479F406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702B6F7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23</w:t>
            </w:r>
          </w:p>
        </w:tc>
        <w:tc>
          <w:tcPr>
            <w:tcW w:w="194" w:type="pct"/>
            <w:noWrap w:val="0"/>
            <w:vAlign w:val="center"/>
          </w:tcPr>
          <w:p w14:paraId="17ED29A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54</w:t>
            </w:r>
          </w:p>
        </w:tc>
        <w:tc>
          <w:tcPr>
            <w:tcW w:w="194" w:type="pct"/>
            <w:noWrap w:val="0"/>
            <w:vAlign w:val="center"/>
          </w:tcPr>
          <w:p w14:paraId="01CBA0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18</w:t>
            </w:r>
          </w:p>
        </w:tc>
        <w:tc>
          <w:tcPr>
            <w:tcW w:w="198" w:type="pct"/>
            <w:noWrap w:val="0"/>
            <w:vAlign w:val="center"/>
          </w:tcPr>
          <w:p w14:paraId="42D736E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19</w:t>
            </w:r>
          </w:p>
        </w:tc>
        <w:tc>
          <w:tcPr>
            <w:tcW w:w="245" w:type="pct"/>
            <w:noWrap w:val="0"/>
            <w:vAlign w:val="center"/>
          </w:tcPr>
          <w:p w14:paraId="0D04D4D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59.8 </w:t>
            </w:r>
          </w:p>
        </w:tc>
        <w:tc>
          <w:tcPr>
            <w:tcW w:w="245" w:type="pct"/>
            <w:noWrap w:val="0"/>
            <w:vAlign w:val="center"/>
          </w:tcPr>
          <w:p w14:paraId="1D907F8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52.4 </w:t>
            </w:r>
          </w:p>
        </w:tc>
        <w:tc>
          <w:tcPr>
            <w:tcW w:w="245" w:type="pct"/>
            <w:noWrap w:val="0"/>
            <w:vAlign w:val="center"/>
          </w:tcPr>
          <w:p w14:paraId="512610D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61.9 </w:t>
            </w:r>
          </w:p>
        </w:tc>
        <w:tc>
          <w:tcPr>
            <w:tcW w:w="249" w:type="pct"/>
            <w:noWrap w:val="0"/>
            <w:vAlign w:val="center"/>
          </w:tcPr>
          <w:p w14:paraId="65D3DC9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61.4 </w:t>
            </w:r>
          </w:p>
        </w:tc>
        <w:tc>
          <w:tcPr>
            <w:tcW w:w="203" w:type="pct"/>
            <w:vMerge w:val="continue"/>
            <w:noWrap w:val="0"/>
            <w:vAlign w:val="center"/>
          </w:tcPr>
          <w:p w14:paraId="1257A6D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6D0F473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0949FD3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29.8 </w:t>
            </w:r>
          </w:p>
        </w:tc>
        <w:tc>
          <w:tcPr>
            <w:tcW w:w="202" w:type="pct"/>
            <w:noWrap w:val="0"/>
            <w:vAlign w:val="center"/>
          </w:tcPr>
          <w:p w14:paraId="24D784F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22.4 </w:t>
            </w:r>
          </w:p>
        </w:tc>
        <w:tc>
          <w:tcPr>
            <w:tcW w:w="164" w:type="pct"/>
            <w:noWrap w:val="0"/>
            <w:vAlign w:val="center"/>
          </w:tcPr>
          <w:p w14:paraId="143374D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31.9 </w:t>
            </w:r>
          </w:p>
        </w:tc>
        <w:tc>
          <w:tcPr>
            <w:tcW w:w="193" w:type="pct"/>
            <w:noWrap w:val="0"/>
            <w:vAlign w:val="center"/>
          </w:tcPr>
          <w:p w14:paraId="5DDAB04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31.4 </w:t>
            </w:r>
          </w:p>
        </w:tc>
        <w:tc>
          <w:tcPr>
            <w:tcW w:w="157" w:type="pct"/>
            <w:noWrap w:val="0"/>
            <w:vAlign w:val="center"/>
          </w:tcPr>
          <w:p w14:paraId="54EC86D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1D14D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5435331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9</w:t>
            </w:r>
          </w:p>
        </w:tc>
        <w:tc>
          <w:tcPr>
            <w:tcW w:w="163" w:type="pct"/>
            <w:vMerge w:val="continue"/>
            <w:noWrap w:val="0"/>
            <w:vAlign w:val="center"/>
          </w:tcPr>
          <w:p w14:paraId="3600A0B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shd w:val="clear" w:color="auto" w:fill="auto"/>
            <w:noWrap w:val="0"/>
            <w:vAlign w:val="center"/>
          </w:tcPr>
          <w:p w14:paraId="45164D11">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bCs w:val="0"/>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压缩机</w:t>
            </w:r>
          </w:p>
        </w:tc>
        <w:tc>
          <w:tcPr>
            <w:tcW w:w="289" w:type="pct"/>
            <w:noWrap w:val="0"/>
            <w:vAlign w:val="center"/>
          </w:tcPr>
          <w:p w14:paraId="5F89953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85</w:t>
            </w:r>
          </w:p>
        </w:tc>
        <w:tc>
          <w:tcPr>
            <w:tcW w:w="267" w:type="pct"/>
            <w:vMerge w:val="continue"/>
            <w:noWrap w:val="0"/>
            <w:vAlign w:val="center"/>
          </w:tcPr>
          <w:p w14:paraId="1D0EF77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05C3B6B4">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-96.6</w:t>
            </w:r>
          </w:p>
        </w:tc>
        <w:tc>
          <w:tcPr>
            <w:tcW w:w="212" w:type="pct"/>
            <w:noWrap w:val="0"/>
            <w:vAlign w:val="center"/>
          </w:tcPr>
          <w:p w14:paraId="4717F6F1">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-80.4</w:t>
            </w:r>
          </w:p>
        </w:tc>
        <w:tc>
          <w:tcPr>
            <w:tcW w:w="212" w:type="pct"/>
            <w:noWrap w:val="0"/>
            <w:vAlign w:val="center"/>
          </w:tcPr>
          <w:p w14:paraId="5821BDD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5FA1EC4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14</w:t>
            </w:r>
          </w:p>
        </w:tc>
        <w:tc>
          <w:tcPr>
            <w:tcW w:w="194" w:type="pct"/>
            <w:noWrap w:val="0"/>
            <w:vAlign w:val="center"/>
          </w:tcPr>
          <w:p w14:paraId="68C1C1F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63</w:t>
            </w:r>
          </w:p>
        </w:tc>
        <w:tc>
          <w:tcPr>
            <w:tcW w:w="194" w:type="pct"/>
            <w:noWrap w:val="0"/>
            <w:vAlign w:val="center"/>
          </w:tcPr>
          <w:p w14:paraId="6E9B0A6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8</w:t>
            </w:r>
          </w:p>
        </w:tc>
        <w:tc>
          <w:tcPr>
            <w:tcW w:w="198" w:type="pct"/>
            <w:noWrap w:val="0"/>
            <w:vAlign w:val="center"/>
          </w:tcPr>
          <w:p w14:paraId="48AD27F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29</w:t>
            </w:r>
          </w:p>
        </w:tc>
        <w:tc>
          <w:tcPr>
            <w:tcW w:w="245" w:type="pct"/>
            <w:noWrap w:val="0"/>
            <w:vAlign w:val="center"/>
          </w:tcPr>
          <w:p w14:paraId="0601C7A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62.1 </w:t>
            </w:r>
          </w:p>
        </w:tc>
        <w:tc>
          <w:tcPr>
            <w:tcW w:w="245" w:type="pct"/>
            <w:noWrap w:val="0"/>
            <w:vAlign w:val="center"/>
          </w:tcPr>
          <w:p w14:paraId="6A8384A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49.0 </w:t>
            </w:r>
          </w:p>
        </w:tc>
        <w:tc>
          <w:tcPr>
            <w:tcW w:w="245" w:type="pct"/>
            <w:noWrap w:val="0"/>
            <w:vAlign w:val="center"/>
          </w:tcPr>
          <w:p w14:paraId="4EDD0F5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66.9 </w:t>
            </w:r>
          </w:p>
        </w:tc>
        <w:tc>
          <w:tcPr>
            <w:tcW w:w="249" w:type="pct"/>
            <w:noWrap w:val="0"/>
            <w:vAlign w:val="center"/>
          </w:tcPr>
          <w:p w14:paraId="030D0EA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55.8 </w:t>
            </w:r>
          </w:p>
        </w:tc>
        <w:tc>
          <w:tcPr>
            <w:tcW w:w="203" w:type="pct"/>
            <w:vMerge w:val="continue"/>
            <w:noWrap w:val="0"/>
            <w:vAlign w:val="center"/>
          </w:tcPr>
          <w:p w14:paraId="357ED4A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61D8A5A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153E252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32.1 </w:t>
            </w:r>
          </w:p>
        </w:tc>
        <w:tc>
          <w:tcPr>
            <w:tcW w:w="202" w:type="pct"/>
            <w:noWrap w:val="0"/>
            <w:vAlign w:val="center"/>
          </w:tcPr>
          <w:p w14:paraId="1855836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19.0 </w:t>
            </w:r>
          </w:p>
        </w:tc>
        <w:tc>
          <w:tcPr>
            <w:tcW w:w="164" w:type="pct"/>
            <w:noWrap w:val="0"/>
            <w:vAlign w:val="center"/>
          </w:tcPr>
          <w:p w14:paraId="6E3D46E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36.9 </w:t>
            </w:r>
          </w:p>
        </w:tc>
        <w:tc>
          <w:tcPr>
            <w:tcW w:w="193" w:type="pct"/>
            <w:noWrap w:val="0"/>
            <w:vAlign w:val="center"/>
          </w:tcPr>
          <w:p w14:paraId="09A1899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25.8 </w:t>
            </w:r>
          </w:p>
        </w:tc>
        <w:tc>
          <w:tcPr>
            <w:tcW w:w="157" w:type="pct"/>
            <w:noWrap w:val="0"/>
            <w:vAlign w:val="center"/>
          </w:tcPr>
          <w:p w14:paraId="2E1FE5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1EDD9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3906942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10</w:t>
            </w:r>
          </w:p>
        </w:tc>
        <w:tc>
          <w:tcPr>
            <w:tcW w:w="163" w:type="pct"/>
            <w:vMerge w:val="continue"/>
            <w:noWrap w:val="0"/>
            <w:vAlign w:val="center"/>
          </w:tcPr>
          <w:p w14:paraId="54F8C54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shd w:val="clear" w:color="auto" w:fill="auto"/>
            <w:noWrap w:val="0"/>
            <w:vAlign w:val="center"/>
          </w:tcPr>
          <w:p w14:paraId="063C88F6">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bCs w:val="0"/>
                <w:color w:val="auto"/>
                <w:kern w:val="2"/>
                <w:sz w:val="21"/>
                <w:szCs w:val="21"/>
                <w:highlight w:val="none"/>
                <w:u w:val="none"/>
                <w:lang w:val="en-US" w:eastAsia="zh-CN" w:bidi="ar-SA"/>
              </w:rPr>
            </w:pPr>
            <w:r>
              <w:rPr>
                <w:rFonts w:hint="default" w:ascii="Times New Roman" w:hAnsi="Times New Roman" w:eastAsia="宋体" w:cs="Times New Roman"/>
                <w:color w:val="auto"/>
                <w:sz w:val="21"/>
                <w:szCs w:val="21"/>
                <w:highlight w:val="none"/>
                <w:u w:val="none"/>
                <w:lang w:val="en-US" w:eastAsia="zh-CN"/>
              </w:rPr>
              <w:t>闪蒸干燥机</w:t>
            </w:r>
          </w:p>
        </w:tc>
        <w:tc>
          <w:tcPr>
            <w:tcW w:w="289" w:type="pct"/>
            <w:noWrap w:val="0"/>
            <w:vAlign w:val="center"/>
          </w:tcPr>
          <w:p w14:paraId="19876EB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85</w:t>
            </w:r>
          </w:p>
        </w:tc>
        <w:tc>
          <w:tcPr>
            <w:tcW w:w="267" w:type="pct"/>
            <w:vMerge w:val="continue"/>
            <w:noWrap w:val="0"/>
            <w:vAlign w:val="center"/>
          </w:tcPr>
          <w:p w14:paraId="7CCC071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16DF6201">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-103.7</w:t>
            </w:r>
          </w:p>
        </w:tc>
        <w:tc>
          <w:tcPr>
            <w:tcW w:w="212" w:type="pct"/>
            <w:noWrap w:val="0"/>
            <w:vAlign w:val="center"/>
          </w:tcPr>
          <w:p w14:paraId="2DB3F253">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-59.3</w:t>
            </w:r>
          </w:p>
        </w:tc>
        <w:tc>
          <w:tcPr>
            <w:tcW w:w="212" w:type="pct"/>
            <w:noWrap w:val="0"/>
            <w:vAlign w:val="center"/>
          </w:tcPr>
          <w:p w14:paraId="6F5F024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29A9636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18</w:t>
            </w:r>
          </w:p>
        </w:tc>
        <w:tc>
          <w:tcPr>
            <w:tcW w:w="194" w:type="pct"/>
            <w:noWrap w:val="0"/>
            <w:vAlign w:val="center"/>
          </w:tcPr>
          <w:p w14:paraId="26D6CC9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58</w:t>
            </w:r>
          </w:p>
        </w:tc>
        <w:tc>
          <w:tcPr>
            <w:tcW w:w="194" w:type="pct"/>
            <w:noWrap w:val="0"/>
            <w:vAlign w:val="center"/>
          </w:tcPr>
          <w:p w14:paraId="4D62EDD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8</w:t>
            </w:r>
          </w:p>
        </w:tc>
        <w:tc>
          <w:tcPr>
            <w:tcW w:w="198" w:type="pct"/>
            <w:noWrap w:val="0"/>
            <w:vAlign w:val="center"/>
          </w:tcPr>
          <w:p w14:paraId="0BD24CF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29</w:t>
            </w:r>
          </w:p>
        </w:tc>
        <w:tc>
          <w:tcPr>
            <w:tcW w:w="245" w:type="pct"/>
            <w:noWrap w:val="0"/>
            <w:vAlign w:val="center"/>
          </w:tcPr>
          <w:p w14:paraId="6186402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59.9 </w:t>
            </w:r>
          </w:p>
        </w:tc>
        <w:tc>
          <w:tcPr>
            <w:tcW w:w="245" w:type="pct"/>
            <w:noWrap w:val="0"/>
            <w:vAlign w:val="center"/>
          </w:tcPr>
          <w:p w14:paraId="3E2AD48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49.7 </w:t>
            </w:r>
          </w:p>
        </w:tc>
        <w:tc>
          <w:tcPr>
            <w:tcW w:w="245" w:type="pct"/>
            <w:noWrap w:val="0"/>
            <w:vAlign w:val="center"/>
          </w:tcPr>
          <w:p w14:paraId="1932B7C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66.9 </w:t>
            </w:r>
          </w:p>
        </w:tc>
        <w:tc>
          <w:tcPr>
            <w:tcW w:w="249" w:type="pct"/>
            <w:noWrap w:val="0"/>
            <w:vAlign w:val="center"/>
          </w:tcPr>
          <w:p w14:paraId="1C4C0D3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55.8 </w:t>
            </w:r>
          </w:p>
        </w:tc>
        <w:tc>
          <w:tcPr>
            <w:tcW w:w="203" w:type="pct"/>
            <w:vMerge w:val="continue"/>
            <w:noWrap w:val="0"/>
            <w:vAlign w:val="center"/>
          </w:tcPr>
          <w:p w14:paraId="5A94885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309E0D7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510629D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29.9 </w:t>
            </w:r>
          </w:p>
        </w:tc>
        <w:tc>
          <w:tcPr>
            <w:tcW w:w="202" w:type="pct"/>
            <w:noWrap w:val="0"/>
            <w:vAlign w:val="center"/>
          </w:tcPr>
          <w:p w14:paraId="6D554E1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19.7 </w:t>
            </w:r>
          </w:p>
        </w:tc>
        <w:tc>
          <w:tcPr>
            <w:tcW w:w="164" w:type="pct"/>
            <w:noWrap w:val="0"/>
            <w:vAlign w:val="center"/>
          </w:tcPr>
          <w:p w14:paraId="35A10A7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36.9 </w:t>
            </w:r>
          </w:p>
        </w:tc>
        <w:tc>
          <w:tcPr>
            <w:tcW w:w="193" w:type="pct"/>
            <w:noWrap w:val="0"/>
            <w:vAlign w:val="center"/>
          </w:tcPr>
          <w:p w14:paraId="45396F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25.8 </w:t>
            </w:r>
          </w:p>
        </w:tc>
        <w:tc>
          <w:tcPr>
            <w:tcW w:w="157" w:type="pct"/>
            <w:noWrap w:val="0"/>
            <w:vAlign w:val="center"/>
          </w:tcPr>
          <w:p w14:paraId="52C30C5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宋体"/>
                <w:color w:val="auto"/>
                <w:spacing w:val="0"/>
                <w:sz w:val="21"/>
                <w:szCs w:val="21"/>
                <w:highlight w:val="none"/>
                <w:vertAlign w:val="baseline"/>
                <w:lang w:val="en-US" w:eastAsia="zh-CN"/>
              </w:rPr>
            </w:pPr>
          </w:p>
        </w:tc>
      </w:tr>
      <w:tr w14:paraId="06B50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7B41980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11</w:t>
            </w:r>
          </w:p>
        </w:tc>
        <w:tc>
          <w:tcPr>
            <w:tcW w:w="163" w:type="pct"/>
            <w:vMerge w:val="continue"/>
            <w:noWrap w:val="0"/>
            <w:vAlign w:val="center"/>
          </w:tcPr>
          <w:p w14:paraId="61D772B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shd w:val="clear" w:color="auto" w:fill="auto"/>
            <w:noWrap w:val="0"/>
            <w:vAlign w:val="center"/>
          </w:tcPr>
          <w:p w14:paraId="3A3411FB">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bCs w:val="0"/>
                <w:color w:val="auto"/>
                <w:kern w:val="2"/>
                <w:sz w:val="21"/>
                <w:szCs w:val="21"/>
                <w:highlight w:val="none"/>
                <w:u w:val="none"/>
                <w:lang w:val="en-US" w:eastAsia="zh-CN" w:bidi="ar-SA"/>
              </w:rPr>
            </w:pPr>
            <w:r>
              <w:rPr>
                <w:rFonts w:hint="eastAsia" w:ascii="Times New Roman" w:hAnsi="Times New Roman" w:eastAsia="宋体" w:cs="Times New Roman"/>
                <w:color w:val="auto"/>
                <w:sz w:val="21"/>
                <w:szCs w:val="21"/>
                <w:highlight w:val="none"/>
                <w:u w:val="none"/>
                <w:lang w:val="en-US" w:eastAsia="zh-CN"/>
              </w:rPr>
              <w:t>空压机</w:t>
            </w:r>
          </w:p>
        </w:tc>
        <w:tc>
          <w:tcPr>
            <w:tcW w:w="289" w:type="pct"/>
            <w:noWrap w:val="0"/>
            <w:vAlign w:val="center"/>
          </w:tcPr>
          <w:p w14:paraId="576AEA9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85</w:t>
            </w:r>
          </w:p>
        </w:tc>
        <w:tc>
          <w:tcPr>
            <w:tcW w:w="267" w:type="pct"/>
            <w:vMerge w:val="continue"/>
            <w:noWrap w:val="0"/>
            <w:vAlign w:val="center"/>
          </w:tcPr>
          <w:p w14:paraId="766F38F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430AC614">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-159.9</w:t>
            </w:r>
          </w:p>
        </w:tc>
        <w:tc>
          <w:tcPr>
            <w:tcW w:w="212" w:type="pct"/>
            <w:noWrap w:val="0"/>
            <w:vAlign w:val="center"/>
          </w:tcPr>
          <w:p w14:paraId="60051752">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-84.6</w:t>
            </w:r>
          </w:p>
        </w:tc>
        <w:tc>
          <w:tcPr>
            <w:tcW w:w="212" w:type="pct"/>
            <w:noWrap w:val="0"/>
            <w:vAlign w:val="center"/>
          </w:tcPr>
          <w:p w14:paraId="6C4186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58F33B8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10</w:t>
            </w:r>
          </w:p>
        </w:tc>
        <w:tc>
          <w:tcPr>
            <w:tcW w:w="194" w:type="pct"/>
            <w:noWrap w:val="0"/>
            <w:vAlign w:val="center"/>
          </w:tcPr>
          <w:p w14:paraId="25E995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18</w:t>
            </w:r>
          </w:p>
        </w:tc>
        <w:tc>
          <w:tcPr>
            <w:tcW w:w="194" w:type="pct"/>
            <w:noWrap w:val="0"/>
            <w:vAlign w:val="center"/>
          </w:tcPr>
          <w:p w14:paraId="6019AA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12</w:t>
            </w:r>
          </w:p>
        </w:tc>
        <w:tc>
          <w:tcPr>
            <w:tcW w:w="198" w:type="pct"/>
            <w:noWrap w:val="0"/>
            <w:vAlign w:val="center"/>
          </w:tcPr>
          <w:p w14:paraId="7F393F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8</w:t>
            </w:r>
          </w:p>
        </w:tc>
        <w:tc>
          <w:tcPr>
            <w:tcW w:w="245" w:type="pct"/>
            <w:noWrap w:val="0"/>
            <w:vAlign w:val="center"/>
          </w:tcPr>
          <w:p w14:paraId="3E8617F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65.0 </w:t>
            </w:r>
          </w:p>
        </w:tc>
        <w:tc>
          <w:tcPr>
            <w:tcW w:w="245" w:type="pct"/>
            <w:noWrap w:val="0"/>
            <w:vAlign w:val="center"/>
          </w:tcPr>
          <w:p w14:paraId="1CA4AA7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59.9 </w:t>
            </w:r>
          </w:p>
        </w:tc>
        <w:tc>
          <w:tcPr>
            <w:tcW w:w="245" w:type="pct"/>
            <w:noWrap w:val="0"/>
            <w:vAlign w:val="center"/>
          </w:tcPr>
          <w:p w14:paraId="50DA8FD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63.4 </w:t>
            </w:r>
          </w:p>
        </w:tc>
        <w:tc>
          <w:tcPr>
            <w:tcW w:w="249" w:type="pct"/>
            <w:noWrap w:val="0"/>
            <w:vAlign w:val="center"/>
          </w:tcPr>
          <w:p w14:paraId="40ECC6F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66.9 </w:t>
            </w:r>
          </w:p>
        </w:tc>
        <w:tc>
          <w:tcPr>
            <w:tcW w:w="203" w:type="pct"/>
            <w:vMerge w:val="continue"/>
            <w:noWrap w:val="0"/>
            <w:vAlign w:val="center"/>
          </w:tcPr>
          <w:p w14:paraId="4218C62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4D64161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798BF28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35.0 </w:t>
            </w:r>
          </w:p>
        </w:tc>
        <w:tc>
          <w:tcPr>
            <w:tcW w:w="202" w:type="pct"/>
            <w:noWrap w:val="0"/>
            <w:vAlign w:val="center"/>
          </w:tcPr>
          <w:p w14:paraId="72A6D52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29.9 </w:t>
            </w:r>
          </w:p>
        </w:tc>
        <w:tc>
          <w:tcPr>
            <w:tcW w:w="164" w:type="pct"/>
            <w:noWrap w:val="0"/>
            <w:vAlign w:val="center"/>
          </w:tcPr>
          <w:p w14:paraId="7EBE243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33.4 </w:t>
            </w:r>
          </w:p>
        </w:tc>
        <w:tc>
          <w:tcPr>
            <w:tcW w:w="193" w:type="pct"/>
            <w:noWrap w:val="0"/>
            <w:vAlign w:val="center"/>
          </w:tcPr>
          <w:p w14:paraId="557F0FD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36.9 </w:t>
            </w:r>
          </w:p>
        </w:tc>
        <w:tc>
          <w:tcPr>
            <w:tcW w:w="157" w:type="pct"/>
            <w:noWrap w:val="0"/>
            <w:vAlign w:val="center"/>
          </w:tcPr>
          <w:p w14:paraId="79B9F2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2754D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64898E7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12</w:t>
            </w:r>
          </w:p>
        </w:tc>
        <w:tc>
          <w:tcPr>
            <w:tcW w:w="163" w:type="pct"/>
            <w:vMerge w:val="continue"/>
            <w:noWrap w:val="0"/>
            <w:vAlign w:val="center"/>
          </w:tcPr>
          <w:p w14:paraId="1333399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shd w:val="clear" w:color="auto" w:fill="auto"/>
            <w:noWrap w:val="0"/>
            <w:vAlign w:val="center"/>
          </w:tcPr>
          <w:p w14:paraId="3B5FA3E3">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bCs w:val="0"/>
                <w:color w:val="auto"/>
                <w:kern w:val="2"/>
                <w:sz w:val="21"/>
                <w:szCs w:val="21"/>
                <w:highlight w:val="none"/>
                <w:u w:val="none"/>
                <w:lang w:val="en-US" w:eastAsia="zh-CN" w:bidi="ar-SA"/>
              </w:rPr>
            </w:pPr>
            <w:r>
              <w:rPr>
                <w:rFonts w:hint="eastAsia" w:ascii="Times New Roman" w:hAnsi="Times New Roman" w:eastAsia="宋体" w:cs="Times New Roman"/>
                <w:color w:val="auto"/>
                <w:sz w:val="21"/>
                <w:szCs w:val="21"/>
                <w:highlight w:val="none"/>
                <w:u w:val="none"/>
                <w:lang w:val="en-US" w:eastAsia="zh-CN"/>
              </w:rPr>
              <w:t>空压机</w:t>
            </w:r>
          </w:p>
        </w:tc>
        <w:tc>
          <w:tcPr>
            <w:tcW w:w="289" w:type="pct"/>
            <w:noWrap w:val="0"/>
            <w:vAlign w:val="center"/>
          </w:tcPr>
          <w:p w14:paraId="38DEFA1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85</w:t>
            </w:r>
          </w:p>
        </w:tc>
        <w:tc>
          <w:tcPr>
            <w:tcW w:w="267" w:type="pct"/>
            <w:vMerge w:val="continue"/>
            <w:noWrap w:val="0"/>
            <w:vAlign w:val="center"/>
          </w:tcPr>
          <w:p w14:paraId="39DCED7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42B52272">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-152.6</w:t>
            </w:r>
          </w:p>
        </w:tc>
        <w:tc>
          <w:tcPr>
            <w:tcW w:w="212" w:type="pct"/>
            <w:noWrap w:val="0"/>
            <w:vAlign w:val="center"/>
          </w:tcPr>
          <w:p w14:paraId="07360AA7">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-101.8</w:t>
            </w:r>
          </w:p>
        </w:tc>
        <w:tc>
          <w:tcPr>
            <w:tcW w:w="212" w:type="pct"/>
            <w:noWrap w:val="0"/>
            <w:vAlign w:val="center"/>
          </w:tcPr>
          <w:p w14:paraId="1E7CC9B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7FD2C78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10</w:t>
            </w:r>
          </w:p>
        </w:tc>
        <w:tc>
          <w:tcPr>
            <w:tcW w:w="194" w:type="pct"/>
            <w:noWrap w:val="0"/>
            <w:vAlign w:val="center"/>
          </w:tcPr>
          <w:p w14:paraId="263120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12</w:t>
            </w:r>
          </w:p>
        </w:tc>
        <w:tc>
          <w:tcPr>
            <w:tcW w:w="194" w:type="pct"/>
            <w:noWrap w:val="0"/>
            <w:vAlign w:val="center"/>
          </w:tcPr>
          <w:p w14:paraId="63F4708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14</w:t>
            </w:r>
          </w:p>
        </w:tc>
        <w:tc>
          <w:tcPr>
            <w:tcW w:w="198" w:type="pct"/>
            <w:noWrap w:val="0"/>
            <w:vAlign w:val="center"/>
          </w:tcPr>
          <w:p w14:paraId="24157E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6</w:t>
            </w:r>
          </w:p>
        </w:tc>
        <w:tc>
          <w:tcPr>
            <w:tcW w:w="245" w:type="pct"/>
            <w:noWrap w:val="0"/>
            <w:vAlign w:val="center"/>
          </w:tcPr>
          <w:p w14:paraId="60428E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65.0 </w:t>
            </w:r>
          </w:p>
        </w:tc>
        <w:tc>
          <w:tcPr>
            <w:tcW w:w="245" w:type="pct"/>
            <w:noWrap w:val="0"/>
            <w:vAlign w:val="center"/>
          </w:tcPr>
          <w:p w14:paraId="04605AB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63.4 </w:t>
            </w:r>
          </w:p>
        </w:tc>
        <w:tc>
          <w:tcPr>
            <w:tcW w:w="245" w:type="pct"/>
            <w:noWrap w:val="0"/>
            <w:vAlign w:val="center"/>
          </w:tcPr>
          <w:p w14:paraId="6401F1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62.1 </w:t>
            </w:r>
          </w:p>
        </w:tc>
        <w:tc>
          <w:tcPr>
            <w:tcW w:w="249" w:type="pct"/>
            <w:noWrap w:val="0"/>
            <w:vAlign w:val="center"/>
          </w:tcPr>
          <w:p w14:paraId="176958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69.4 </w:t>
            </w:r>
          </w:p>
        </w:tc>
        <w:tc>
          <w:tcPr>
            <w:tcW w:w="203" w:type="pct"/>
            <w:vMerge w:val="continue"/>
            <w:noWrap w:val="0"/>
            <w:vAlign w:val="center"/>
          </w:tcPr>
          <w:p w14:paraId="5657B6B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07BBEAA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5185187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35.0 </w:t>
            </w:r>
          </w:p>
        </w:tc>
        <w:tc>
          <w:tcPr>
            <w:tcW w:w="202" w:type="pct"/>
            <w:noWrap w:val="0"/>
            <w:vAlign w:val="center"/>
          </w:tcPr>
          <w:p w14:paraId="5ECFCBF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33.4 </w:t>
            </w:r>
          </w:p>
        </w:tc>
        <w:tc>
          <w:tcPr>
            <w:tcW w:w="164" w:type="pct"/>
            <w:noWrap w:val="0"/>
            <w:vAlign w:val="center"/>
          </w:tcPr>
          <w:p w14:paraId="627E787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32.1 </w:t>
            </w:r>
          </w:p>
        </w:tc>
        <w:tc>
          <w:tcPr>
            <w:tcW w:w="193" w:type="pct"/>
            <w:noWrap w:val="0"/>
            <w:vAlign w:val="center"/>
          </w:tcPr>
          <w:p w14:paraId="66FF61D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39.4 </w:t>
            </w:r>
          </w:p>
        </w:tc>
        <w:tc>
          <w:tcPr>
            <w:tcW w:w="157" w:type="pct"/>
            <w:noWrap w:val="0"/>
            <w:vAlign w:val="center"/>
          </w:tcPr>
          <w:p w14:paraId="48FFBC4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63AD8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031D3AE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13</w:t>
            </w:r>
          </w:p>
        </w:tc>
        <w:tc>
          <w:tcPr>
            <w:tcW w:w="163" w:type="pct"/>
            <w:vMerge w:val="continue"/>
            <w:noWrap w:val="0"/>
            <w:vAlign w:val="center"/>
          </w:tcPr>
          <w:p w14:paraId="44BD0DB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shd w:val="clear" w:color="auto" w:fill="auto"/>
            <w:noWrap w:val="0"/>
            <w:vAlign w:val="center"/>
          </w:tcPr>
          <w:p w14:paraId="6DFE42E7">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bCs w:val="0"/>
                <w:color w:val="auto"/>
                <w:kern w:val="2"/>
                <w:sz w:val="21"/>
                <w:szCs w:val="21"/>
                <w:highlight w:val="none"/>
                <w:u w:val="none"/>
                <w:lang w:val="en-US" w:eastAsia="zh-CN" w:bidi="ar-SA"/>
              </w:rPr>
            </w:pPr>
            <w:r>
              <w:rPr>
                <w:rFonts w:hint="eastAsia" w:ascii="Times New Roman" w:hAnsi="Times New Roman" w:eastAsia="宋体" w:cs="Times New Roman"/>
                <w:color w:val="auto"/>
                <w:sz w:val="21"/>
                <w:szCs w:val="21"/>
                <w:highlight w:val="none"/>
                <w:u w:val="none"/>
                <w:lang w:val="en-US" w:eastAsia="zh-CN"/>
              </w:rPr>
              <w:t>制氮机</w:t>
            </w:r>
          </w:p>
        </w:tc>
        <w:tc>
          <w:tcPr>
            <w:tcW w:w="289" w:type="pct"/>
            <w:noWrap w:val="0"/>
            <w:vAlign w:val="center"/>
          </w:tcPr>
          <w:p w14:paraId="4888EBD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continue"/>
            <w:noWrap w:val="0"/>
            <w:vAlign w:val="center"/>
          </w:tcPr>
          <w:p w14:paraId="0A5C51D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4FB86A4D">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-142.7</w:t>
            </w:r>
          </w:p>
        </w:tc>
        <w:tc>
          <w:tcPr>
            <w:tcW w:w="212" w:type="pct"/>
            <w:noWrap w:val="0"/>
            <w:vAlign w:val="center"/>
          </w:tcPr>
          <w:p w14:paraId="5EAC5C7C">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-99.6</w:t>
            </w:r>
          </w:p>
        </w:tc>
        <w:tc>
          <w:tcPr>
            <w:tcW w:w="212" w:type="pct"/>
            <w:noWrap w:val="0"/>
            <w:vAlign w:val="center"/>
          </w:tcPr>
          <w:p w14:paraId="5CC9263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339D26E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10</w:t>
            </w:r>
          </w:p>
        </w:tc>
        <w:tc>
          <w:tcPr>
            <w:tcW w:w="194" w:type="pct"/>
            <w:noWrap w:val="0"/>
            <w:vAlign w:val="center"/>
          </w:tcPr>
          <w:p w14:paraId="51CCDEF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3613ACB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17</w:t>
            </w:r>
          </w:p>
        </w:tc>
        <w:tc>
          <w:tcPr>
            <w:tcW w:w="198" w:type="pct"/>
            <w:noWrap w:val="0"/>
            <w:vAlign w:val="center"/>
          </w:tcPr>
          <w:p w14:paraId="43DD128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245" w:type="pct"/>
            <w:noWrap w:val="0"/>
            <w:vAlign w:val="center"/>
          </w:tcPr>
          <w:p w14:paraId="2115FEB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60.0 </w:t>
            </w:r>
          </w:p>
        </w:tc>
        <w:tc>
          <w:tcPr>
            <w:tcW w:w="245" w:type="pct"/>
            <w:noWrap w:val="0"/>
            <w:vAlign w:val="center"/>
          </w:tcPr>
          <w:p w14:paraId="36E8B95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56.5 </w:t>
            </w:r>
          </w:p>
        </w:tc>
        <w:tc>
          <w:tcPr>
            <w:tcW w:w="245" w:type="pct"/>
            <w:noWrap w:val="0"/>
            <w:vAlign w:val="center"/>
          </w:tcPr>
          <w:p w14:paraId="0E523D8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55.4 </w:t>
            </w:r>
          </w:p>
        </w:tc>
        <w:tc>
          <w:tcPr>
            <w:tcW w:w="249" w:type="pct"/>
            <w:noWrap w:val="0"/>
            <w:vAlign w:val="center"/>
          </w:tcPr>
          <w:p w14:paraId="0402E7E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54.0 </w:t>
            </w:r>
          </w:p>
        </w:tc>
        <w:tc>
          <w:tcPr>
            <w:tcW w:w="203" w:type="pct"/>
            <w:vMerge w:val="continue"/>
            <w:noWrap w:val="0"/>
            <w:vAlign w:val="center"/>
          </w:tcPr>
          <w:p w14:paraId="582DAB4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0B671C7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0CA70B1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30.0 </w:t>
            </w:r>
          </w:p>
        </w:tc>
        <w:tc>
          <w:tcPr>
            <w:tcW w:w="202" w:type="pct"/>
            <w:noWrap w:val="0"/>
            <w:vAlign w:val="center"/>
          </w:tcPr>
          <w:p w14:paraId="7762B78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26.5 </w:t>
            </w:r>
          </w:p>
        </w:tc>
        <w:tc>
          <w:tcPr>
            <w:tcW w:w="164" w:type="pct"/>
            <w:noWrap w:val="0"/>
            <w:vAlign w:val="center"/>
          </w:tcPr>
          <w:p w14:paraId="789DEAA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25.4 </w:t>
            </w:r>
          </w:p>
        </w:tc>
        <w:tc>
          <w:tcPr>
            <w:tcW w:w="193" w:type="pct"/>
            <w:noWrap w:val="0"/>
            <w:vAlign w:val="center"/>
          </w:tcPr>
          <w:p w14:paraId="1F12204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24.0 </w:t>
            </w:r>
          </w:p>
        </w:tc>
        <w:tc>
          <w:tcPr>
            <w:tcW w:w="157" w:type="pct"/>
            <w:noWrap w:val="0"/>
            <w:vAlign w:val="center"/>
          </w:tcPr>
          <w:p w14:paraId="0994C7B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0B951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2A8DFAB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14</w:t>
            </w:r>
          </w:p>
        </w:tc>
        <w:tc>
          <w:tcPr>
            <w:tcW w:w="163" w:type="pct"/>
            <w:vMerge w:val="restart"/>
            <w:noWrap w:val="0"/>
            <w:vAlign w:val="center"/>
          </w:tcPr>
          <w:p w14:paraId="1BCA2625">
            <w:pPr>
              <w:pStyle w:val="1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401</w:t>
            </w:r>
          </w:p>
          <w:p w14:paraId="61F8277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车间</w:t>
            </w:r>
          </w:p>
        </w:tc>
        <w:tc>
          <w:tcPr>
            <w:tcW w:w="342" w:type="pct"/>
            <w:noWrap w:val="0"/>
            <w:vAlign w:val="center"/>
          </w:tcPr>
          <w:p w14:paraId="65CFDF75">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真空泵（16台）</w:t>
            </w:r>
          </w:p>
        </w:tc>
        <w:tc>
          <w:tcPr>
            <w:tcW w:w="289" w:type="pct"/>
            <w:noWrap w:val="0"/>
            <w:vAlign w:val="center"/>
          </w:tcPr>
          <w:p w14:paraId="0E338BC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97</w:t>
            </w:r>
          </w:p>
        </w:tc>
        <w:tc>
          <w:tcPr>
            <w:tcW w:w="267" w:type="pct"/>
            <w:vMerge w:val="continue"/>
            <w:noWrap w:val="0"/>
            <w:vAlign w:val="center"/>
          </w:tcPr>
          <w:p w14:paraId="3C4FC37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63FA9218">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-53.8</w:t>
            </w:r>
          </w:p>
        </w:tc>
        <w:tc>
          <w:tcPr>
            <w:tcW w:w="212" w:type="pct"/>
            <w:noWrap w:val="0"/>
            <w:vAlign w:val="center"/>
          </w:tcPr>
          <w:p w14:paraId="77A1A392">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-40.3</w:t>
            </w:r>
          </w:p>
        </w:tc>
        <w:tc>
          <w:tcPr>
            <w:tcW w:w="212" w:type="pct"/>
            <w:noWrap w:val="0"/>
            <w:vAlign w:val="center"/>
          </w:tcPr>
          <w:p w14:paraId="672DBA0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47A316C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30</w:t>
            </w:r>
          </w:p>
        </w:tc>
        <w:tc>
          <w:tcPr>
            <w:tcW w:w="194" w:type="pct"/>
            <w:noWrap w:val="0"/>
            <w:vAlign w:val="center"/>
          </w:tcPr>
          <w:p w14:paraId="2412486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30</w:t>
            </w:r>
          </w:p>
        </w:tc>
        <w:tc>
          <w:tcPr>
            <w:tcW w:w="194" w:type="pct"/>
            <w:noWrap w:val="0"/>
            <w:vAlign w:val="center"/>
          </w:tcPr>
          <w:p w14:paraId="259D8B3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48</w:t>
            </w:r>
          </w:p>
        </w:tc>
        <w:tc>
          <w:tcPr>
            <w:tcW w:w="198" w:type="pct"/>
            <w:noWrap w:val="0"/>
            <w:vAlign w:val="center"/>
          </w:tcPr>
          <w:p w14:paraId="02C198B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27</w:t>
            </w:r>
          </w:p>
        </w:tc>
        <w:tc>
          <w:tcPr>
            <w:tcW w:w="245" w:type="pct"/>
            <w:noWrap w:val="0"/>
            <w:vAlign w:val="center"/>
          </w:tcPr>
          <w:p w14:paraId="2B7601B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67.5 </w:t>
            </w:r>
          </w:p>
        </w:tc>
        <w:tc>
          <w:tcPr>
            <w:tcW w:w="245" w:type="pct"/>
            <w:noWrap w:val="0"/>
            <w:vAlign w:val="center"/>
          </w:tcPr>
          <w:p w14:paraId="284796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67.5 </w:t>
            </w:r>
          </w:p>
        </w:tc>
        <w:tc>
          <w:tcPr>
            <w:tcW w:w="245" w:type="pct"/>
            <w:noWrap w:val="0"/>
            <w:vAlign w:val="center"/>
          </w:tcPr>
          <w:p w14:paraId="10B1E22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63.4 </w:t>
            </w:r>
          </w:p>
        </w:tc>
        <w:tc>
          <w:tcPr>
            <w:tcW w:w="249" w:type="pct"/>
            <w:noWrap w:val="0"/>
            <w:vAlign w:val="center"/>
          </w:tcPr>
          <w:p w14:paraId="12AE9C5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68.4 </w:t>
            </w:r>
          </w:p>
        </w:tc>
        <w:tc>
          <w:tcPr>
            <w:tcW w:w="203" w:type="pct"/>
            <w:vMerge w:val="continue"/>
            <w:noWrap w:val="0"/>
            <w:vAlign w:val="center"/>
          </w:tcPr>
          <w:p w14:paraId="578E5F8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19BF02B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5DC2DD4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37.5 </w:t>
            </w:r>
          </w:p>
        </w:tc>
        <w:tc>
          <w:tcPr>
            <w:tcW w:w="202" w:type="pct"/>
            <w:noWrap w:val="0"/>
            <w:vAlign w:val="center"/>
          </w:tcPr>
          <w:p w14:paraId="6ADB242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37.5 </w:t>
            </w:r>
          </w:p>
        </w:tc>
        <w:tc>
          <w:tcPr>
            <w:tcW w:w="164" w:type="pct"/>
            <w:noWrap w:val="0"/>
            <w:vAlign w:val="center"/>
          </w:tcPr>
          <w:p w14:paraId="4E936E8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33.4 </w:t>
            </w:r>
          </w:p>
        </w:tc>
        <w:tc>
          <w:tcPr>
            <w:tcW w:w="193" w:type="pct"/>
            <w:noWrap w:val="0"/>
            <w:vAlign w:val="center"/>
          </w:tcPr>
          <w:p w14:paraId="5B17A6D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38.4 </w:t>
            </w:r>
          </w:p>
        </w:tc>
        <w:tc>
          <w:tcPr>
            <w:tcW w:w="157" w:type="pct"/>
            <w:noWrap w:val="0"/>
            <w:vAlign w:val="center"/>
          </w:tcPr>
          <w:p w14:paraId="483CB1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31F85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63CA4CA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15</w:t>
            </w:r>
          </w:p>
        </w:tc>
        <w:tc>
          <w:tcPr>
            <w:tcW w:w="163" w:type="pct"/>
            <w:vMerge w:val="continue"/>
            <w:noWrap w:val="0"/>
            <w:vAlign w:val="center"/>
          </w:tcPr>
          <w:p w14:paraId="68FDDE2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6BF2B72C">
            <w:pPr>
              <w:pStyle w:val="1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循环泵</w:t>
            </w:r>
          </w:p>
          <w:p w14:paraId="7BC23DEC">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（21台）</w:t>
            </w:r>
          </w:p>
        </w:tc>
        <w:tc>
          <w:tcPr>
            <w:tcW w:w="289" w:type="pct"/>
            <w:noWrap w:val="0"/>
            <w:vAlign w:val="center"/>
          </w:tcPr>
          <w:p w14:paraId="5B7C125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98</w:t>
            </w:r>
          </w:p>
        </w:tc>
        <w:tc>
          <w:tcPr>
            <w:tcW w:w="267" w:type="pct"/>
            <w:vMerge w:val="continue"/>
            <w:noWrap w:val="0"/>
            <w:vAlign w:val="center"/>
          </w:tcPr>
          <w:p w14:paraId="46029A9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67F031DD">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-48.2</w:t>
            </w:r>
          </w:p>
        </w:tc>
        <w:tc>
          <w:tcPr>
            <w:tcW w:w="212" w:type="pct"/>
            <w:noWrap w:val="0"/>
            <w:vAlign w:val="center"/>
          </w:tcPr>
          <w:p w14:paraId="79C69A5E">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-56.2</w:t>
            </w:r>
          </w:p>
        </w:tc>
        <w:tc>
          <w:tcPr>
            <w:tcW w:w="212" w:type="pct"/>
            <w:noWrap w:val="0"/>
            <w:vAlign w:val="center"/>
          </w:tcPr>
          <w:p w14:paraId="22AA674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674E03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12</w:t>
            </w:r>
          </w:p>
        </w:tc>
        <w:tc>
          <w:tcPr>
            <w:tcW w:w="194" w:type="pct"/>
            <w:noWrap w:val="0"/>
            <w:vAlign w:val="center"/>
          </w:tcPr>
          <w:p w14:paraId="0142BE8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18</w:t>
            </w:r>
          </w:p>
        </w:tc>
        <w:tc>
          <w:tcPr>
            <w:tcW w:w="194" w:type="pct"/>
            <w:noWrap w:val="0"/>
            <w:vAlign w:val="center"/>
          </w:tcPr>
          <w:p w14:paraId="3D23F32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28</w:t>
            </w:r>
          </w:p>
        </w:tc>
        <w:tc>
          <w:tcPr>
            <w:tcW w:w="198" w:type="pct"/>
            <w:noWrap w:val="0"/>
            <w:vAlign w:val="center"/>
          </w:tcPr>
          <w:p w14:paraId="7885A49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50</w:t>
            </w:r>
          </w:p>
        </w:tc>
        <w:tc>
          <w:tcPr>
            <w:tcW w:w="245" w:type="pct"/>
            <w:noWrap w:val="0"/>
            <w:vAlign w:val="center"/>
          </w:tcPr>
          <w:p w14:paraId="47AAD63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76.4 </w:t>
            </w:r>
          </w:p>
        </w:tc>
        <w:tc>
          <w:tcPr>
            <w:tcW w:w="245" w:type="pct"/>
            <w:noWrap w:val="0"/>
            <w:vAlign w:val="center"/>
          </w:tcPr>
          <w:p w14:paraId="49D4044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72.9 </w:t>
            </w:r>
          </w:p>
        </w:tc>
        <w:tc>
          <w:tcPr>
            <w:tcW w:w="245" w:type="pct"/>
            <w:noWrap w:val="0"/>
            <w:vAlign w:val="center"/>
          </w:tcPr>
          <w:p w14:paraId="7F936BD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69.1 </w:t>
            </w:r>
          </w:p>
        </w:tc>
        <w:tc>
          <w:tcPr>
            <w:tcW w:w="249" w:type="pct"/>
            <w:noWrap w:val="0"/>
            <w:vAlign w:val="center"/>
          </w:tcPr>
          <w:p w14:paraId="07713C6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64.0 </w:t>
            </w:r>
          </w:p>
        </w:tc>
        <w:tc>
          <w:tcPr>
            <w:tcW w:w="203" w:type="pct"/>
            <w:vMerge w:val="continue"/>
            <w:noWrap w:val="0"/>
            <w:vAlign w:val="center"/>
          </w:tcPr>
          <w:p w14:paraId="255C59C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596BDB6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6E766C2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46.4 </w:t>
            </w:r>
          </w:p>
        </w:tc>
        <w:tc>
          <w:tcPr>
            <w:tcW w:w="202" w:type="pct"/>
            <w:noWrap w:val="0"/>
            <w:vAlign w:val="center"/>
          </w:tcPr>
          <w:p w14:paraId="339F86D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42.9 </w:t>
            </w:r>
          </w:p>
        </w:tc>
        <w:tc>
          <w:tcPr>
            <w:tcW w:w="164" w:type="pct"/>
            <w:noWrap w:val="0"/>
            <w:vAlign w:val="center"/>
          </w:tcPr>
          <w:p w14:paraId="7F327DE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39.1 </w:t>
            </w:r>
          </w:p>
        </w:tc>
        <w:tc>
          <w:tcPr>
            <w:tcW w:w="193" w:type="pct"/>
            <w:noWrap w:val="0"/>
            <w:vAlign w:val="center"/>
          </w:tcPr>
          <w:p w14:paraId="2650A18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34.0 </w:t>
            </w:r>
          </w:p>
        </w:tc>
        <w:tc>
          <w:tcPr>
            <w:tcW w:w="157" w:type="pct"/>
            <w:noWrap w:val="0"/>
            <w:vAlign w:val="center"/>
          </w:tcPr>
          <w:p w14:paraId="7763C0D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470EA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7E74AB7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16</w:t>
            </w:r>
          </w:p>
        </w:tc>
        <w:tc>
          <w:tcPr>
            <w:tcW w:w="163" w:type="pct"/>
            <w:vMerge w:val="continue"/>
            <w:noWrap w:val="0"/>
            <w:vAlign w:val="center"/>
          </w:tcPr>
          <w:p w14:paraId="250C141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70F64775">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风机</w:t>
            </w:r>
          </w:p>
        </w:tc>
        <w:tc>
          <w:tcPr>
            <w:tcW w:w="289" w:type="pct"/>
            <w:noWrap w:val="0"/>
            <w:vAlign w:val="center"/>
          </w:tcPr>
          <w:p w14:paraId="73D18A0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75</w:t>
            </w:r>
          </w:p>
        </w:tc>
        <w:tc>
          <w:tcPr>
            <w:tcW w:w="267" w:type="pct"/>
            <w:vMerge w:val="continue"/>
            <w:noWrap w:val="0"/>
            <w:vAlign w:val="center"/>
          </w:tcPr>
          <w:p w14:paraId="77EE52B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061FC552">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-30.8</w:t>
            </w:r>
          </w:p>
        </w:tc>
        <w:tc>
          <w:tcPr>
            <w:tcW w:w="212" w:type="pct"/>
            <w:noWrap w:val="0"/>
            <w:vAlign w:val="center"/>
          </w:tcPr>
          <w:p w14:paraId="2CDB693D">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-53.8</w:t>
            </w:r>
          </w:p>
        </w:tc>
        <w:tc>
          <w:tcPr>
            <w:tcW w:w="212" w:type="pct"/>
            <w:noWrap w:val="0"/>
            <w:vAlign w:val="center"/>
          </w:tcPr>
          <w:p w14:paraId="6646544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72B346B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17</w:t>
            </w:r>
          </w:p>
        </w:tc>
        <w:tc>
          <w:tcPr>
            <w:tcW w:w="194" w:type="pct"/>
            <w:noWrap w:val="0"/>
            <w:vAlign w:val="center"/>
          </w:tcPr>
          <w:p w14:paraId="3ABC2A6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22</w:t>
            </w:r>
          </w:p>
        </w:tc>
        <w:tc>
          <w:tcPr>
            <w:tcW w:w="194" w:type="pct"/>
            <w:noWrap w:val="0"/>
            <w:vAlign w:val="center"/>
          </w:tcPr>
          <w:p w14:paraId="68D725C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30</w:t>
            </w:r>
          </w:p>
        </w:tc>
        <w:tc>
          <w:tcPr>
            <w:tcW w:w="198" w:type="pct"/>
            <w:noWrap w:val="0"/>
            <w:vAlign w:val="center"/>
          </w:tcPr>
          <w:p w14:paraId="016372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36</w:t>
            </w:r>
          </w:p>
        </w:tc>
        <w:tc>
          <w:tcPr>
            <w:tcW w:w="245" w:type="pct"/>
            <w:noWrap w:val="0"/>
            <w:vAlign w:val="center"/>
          </w:tcPr>
          <w:p w14:paraId="7092C28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50.4 </w:t>
            </w:r>
          </w:p>
        </w:tc>
        <w:tc>
          <w:tcPr>
            <w:tcW w:w="245" w:type="pct"/>
            <w:noWrap w:val="0"/>
            <w:vAlign w:val="center"/>
          </w:tcPr>
          <w:p w14:paraId="790A9A6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48.2 </w:t>
            </w:r>
          </w:p>
        </w:tc>
        <w:tc>
          <w:tcPr>
            <w:tcW w:w="245" w:type="pct"/>
            <w:noWrap w:val="0"/>
            <w:vAlign w:val="center"/>
          </w:tcPr>
          <w:p w14:paraId="03CA11B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45.5 </w:t>
            </w:r>
          </w:p>
        </w:tc>
        <w:tc>
          <w:tcPr>
            <w:tcW w:w="249" w:type="pct"/>
            <w:noWrap w:val="0"/>
            <w:vAlign w:val="center"/>
          </w:tcPr>
          <w:p w14:paraId="6068B48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43.9 </w:t>
            </w:r>
          </w:p>
        </w:tc>
        <w:tc>
          <w:tcPr>
            <w:tcW w:w="203" w:type="pct"/>
            <w:vMerge w:val="continue"/>
            <w:noWrap w:val="0"/>
            <w:vAlign w:val="center"/>
          </w:tcPr>
          <w:p w14:paraId="4C52BB7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6DF86E3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0D309EF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20.4 </w:t>
            </w:r>
          </w:p>
        </w:tc>
        <w:tc>
          <w:tcPr>
            <w:tcW w:w="202" w:type="pct"/>
            <w:noWrap w:val="0"/>
            <w:vAlign w:val="center"/>
          </w:tcPr>
          <w:p w14:paraId="4C892D7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18.2 </w:t>
            </w:r>
          </w:p>
        </w:tc>
        <w:tc>
          <w:tcPr>
            <w:tcW w:w="164" w:type="pct"/>
            <w:noWrap w:val="0"/>
            <w:vAlign w:val="center"/>
          </w:tcPr>
          <w:p w14:paraId="4142493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15.5 </w:t>
            </w:r>
          </w:p>
        </w:tc>
        <w:tc>
          <w:tcPr>
            <w:tcW w:w="193" w:type="pct"/>
            <w:noWrap w:val="0"/>
            <w:vAlign w:val="center"/>
          </w:tcPr>
          <w:p w14:paraId="2493DC5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13.9 </w:t>
            </w:r>
          </w:p>
        </w:tc>
        <w:tc>
          <w:tcPr>
            <w:tcW w:w="157" w:type="pct"/>
            <w:noWrap w:val="0"/>
            <w:vAlign w:val="center"/>
          </w:tcPr>
          <w:p w14:paraId="3F15916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6ECBE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2B9E6F3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17</w:t>
            </w:r>
          </w:p>
        </w:tc>
        <w:tc>
          <w:tcPr>
            <w:tcW w:w="163" w:type="pct"/>
            <w:vMerge w:val="continue"/>
            <w:noWrap w:val="0"/>
            <w:vAlign w:val="center"/>
          </w:tcPr>
          <w:p w14:paraId="5AFF1C0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1059D497">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风机</w:t>
            </w:r>
          </w:p>
        </w:tc>
        <w:tc>
          <w:tcPr>
            <w:tcW w:w="289" w:type="pct"/>
            <w:noWrap w:val="0"/>
            <w:vAlign w:val="center"/>
          </w:tcPr>
          <w:p w14:paraId="191C347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75</w:t>
            </w:r>
          </w:p>
        </w:tc>
        <w:tc>
          <w:tcPr>
            <w:tcW w:w="267" w:type="pct"/>
            <w:vMerge w:val="continue"/>
            <w:noWrap w:val="0"/>
            <w:vAlign w:val="center"/>
          </w:tcPr>
          <w:p w14:paraId="1CBCC2E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49B6AB8D">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-40.3</w:t>
            </w:r>
          </w:p>
        </w:tc>
        <w:tc>
          <w:tcPr>
            <w:tcW w:w="212" w:type="pct"/>
            <w:noWrap w:val="0"/>
            <w:vAlign w:val="center"/>
          </w:tcPr>
          <w:p w14:paraId="2EF08B35">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-30.8</w:t>
            </w:r>
          </w:p>
        </w:tc>
        <w:tc>
          <w:tcPr>
            <w:tcW w:w="212" w:type="pct"/>
            <w:noWrap w:val="0"/>
            <w:vAlign w:val="center"/>
          </w:tcPr>
          <w:p w14:paraId="5AC3D47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0FFEC4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009746E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29</w:t>
            </w:r>
          </w:p>
        </w:tc>
        <w:tc>
          <w:tcPr>
            <w:tcW w:w="194" w:type="pct"/>
            <w:noWrap w:val="0"/>
            <w:vAlign w:val="center"/>
          </w:tcPr>
          <w:p w14:paraId="166F0E0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30</w:t>
            </w:r>
          </w:p>
        </w:tc>
        <w:tc>
          <w:tcPr>
            <w:tcW w:w="198" w:type="pct"/>
            <w:noWrap w:val="0"/>
            <w:vAlign w:val="center"/>
          </w:tcPr>
          <w:p w14:paraId="440BBB4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31</w:t>
            </w:r>
          </w:p>
        </w:tc>
        <w:tc>
          <w:tcPr>
            <w:tcW w:w="245" w:type="pct"/>
            <w:noWrap w:val="0"/>
            <w:vAlign w:val="center"/>
          </w:tcPr>
          <w:p w14:paraId="22DEE99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51.5 </w:t>
            </w:r>
          </w:p>
        </w:tc>
        <w:tc>
          <w:tcPr>
            <w:tcW w:w="245" w:type="pct"/>
            <w:noWrap w:val="0"/>
            <w:vAlign w:val="center"/>
          </w:tcPr>
          <w:p w14:paraId="70FAF2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45.8 </w:t>
            </w:r>
          </w:p>
        </w:tc>
        <w:tc>
          <w:tcPr>
            <w:tcW w:w="245" w:type="pct"/>
            <w:noWrap w:val="0"/>
            <w:vAlign w:val="center"/>
          </w:tcPr>
          <w:p w14:paraId="5E9C8D5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45.5 </w:t>
            </w:r>
          </w:p>
        </w:tc>
        <w:tc>
          <w:tcPr>
            <w:tcW w:w="249" w:type="pct"/>
            <w:noWrap w:val="0"/>
            <w:vAlign w:val="center"/>
          </w:tcPr>
          <w:p w14:paraId="1C20D5F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45.2 </w:t>
            </w:r>
          </w:p>
        </w:tc>
        <w:tc>
          <w:tcPr>
            <w:tcW w:w="203" w:type="pct"/>
            <w:vMerge w:val="continue"/>
            <w:noWrap w:val="0"/>
            <w:vAlign w:val="center"/>
          </w:tcPr>
          <w:p w14:paraId="34A4A8C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6875871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7C26CB8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21.5 </w:t>
            </w:r>
          </w:p>
        </w:tc>
        <w:tc>
          <w:tcPr>
            <w:tcW w:w="202" w:type="pct"/>
            <w:noWrap w:val="0"/>
            <w:vAlign w:val="center"/>
          </w:tcPr>
          <w:p w14:paraId="47225BF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15.8 </w:t>
            </w:r>
          </w:p>
        </w:tc>
        <w:tc>
          <w:tcPr>
            <w:tcW w:w="164" w:type="pct"/>
            <w:noWrap w:val="0"/>
            <w:vAlign w:val="center"/>
          </w:tcPr>
          <w:p w14:paraId="0B4CCAD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15.5 </w:t>
            </w:r>
          </w:p>
        </w:tc>
        <w:tc>
          <w:tcPr>
            <w:tcW w:w="193" w:type="pct"/>
            <w:noWrap w:val="0"/>
            <w:vAlign w:val="center"/>
          </w:tcPr>
          <w:p w14:paraId="716610A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15.2 </w:t>
            </w:r>
          </w:p>
        </w:tc>
        <w:tc>
          <w:tcPr>
            <w:tcW w:w="157" w:type="pct"/>
            <w:noWrap w:val="0"/>
            <w:vAlign w:val="center"/>
          </w:tcPr>
          <w:p w14:paraId="5ACF1F9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4A162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3B2E363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18</w:t>
            </w:r>
          </w:p>
        </w:tc>
        <w:tc>
          <w:tcPr>
            <w:tcW w:w="163" w:type="pct"/>
            <w:vMerge w:val="continue"/>
            <w:noWrap w:val="0"/>
            <w:vAlign w:val="center"/>
          </w:tcPr>
          <w:p w14:paraId="3656F35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78049896">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压滤机</w:t>
            </w:r>
          </w:p>
        </w:tc>
        <w:tc>
          <w:tcPr>
            <w:tcW w:w="289" w:type="pct"/>
            <w:noWrap w:val="0"/>
            <w:vAlign w:val="center"/>
          </w:tcPr>
          <w:p w14:paraId="7001663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continue"/>
            <w:noWrap w:val="0"/>
            <w:vAlign w:val="center"/>
          </w:tcPr>
          <w:p w14:paraId="5F54C09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6EE52853">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-30.8</w:t>
            </w:r>
          </w:p>
        </w:tc>
        <w:tc>
          <w:tcPr>
            <w:tcW w:w="212" w:type="pct"/>
            <w:noWrap w:val="0"/>
            <w:vAlign w:val="center"/>
          </w:tcPr>
          <w:p w14:paraId="545D96A5">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-41.1</w:t>
            </w:r>
          </w:p>
        </w:tc>
        <w:tc>
          <w:tcPr>
            <w:tcW w:w="212" w:type="pct"/>
            <w:noWrap w:val="0"/>
            <w:vAlign w:val="center"/>
          </w:tcPr>
          <w:p w14:paraId="42B6334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7389211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28</w:t>
            </w:r>
          </w:p>
        </w:tc>
        <w:tc>
          <w:tcPr>
            <w:tcW w:w="194" w:type="pct"/>
            <w:noWrap w:val="0"/>
            <w:vAlign w:val="center"/>
          </w:tcPr>
          <w:p w14:paraId="3CCFDA2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30</w:t>
            </w:r>
          </w:p>
        </w:tc>
        <w:tc>
          <w:tcPr>
            <w:tcW w:w="194" w:type="pct"/>
            <w:noWrap w:val="0"/>
            <w:vAlign w:val="center"/>
          </w:tcPr>
          <w:p w14:paraId="60E59B1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8" w:type="pct"/>
            <w:noWrap w:val="0"/>
            <w:vAlign w:val="center"/>
          </w:tcPr>
          <w:p w14:paraId="5CB6111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245" w:type="pct"/>
            <w:noWrap w:val="0"/>
            <w:vAlign w:val="center"/>
          </w:tcPr>
          <w:p w14:paraId="797AE41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51.1 </w:t>
            </w:r>
          </w:p>
        </w:tc>
        <w:tc>
          <w:tcPr>
            <w:tcW w:w="245" w:type="pct"/>
            <w:noWrap w:val="0"/>
            <w:vAlign w:val="center"/>
          </w:tcPr>
          <w:p w14:paraId="30774B5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50.5 </w:t>
            </w:r>
          </w:p>
        </w:tc>
        <w:tc>
          <w:tcPr>
            <w:tcW w:w="245" w:type="pct"/>
            <w:noWrap w:val="0"/>
            <w:vAlign w:val="center"/>
          </w:tcPr>
          <w:p w14:paraId="36B9053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56.5 </w:t>
            </w:r>
          </w:p>
        </w:tc>
        <w:tc>
          <w:tcPr>
            <w:tcW w:w="249" w:type="pct"/>
            <w:noWrap w:val="0"/>
            <w:vAlign w:val="center"/>
          </w:tcPr>
          <w:p w14:paraId="4AF86B8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54.0 </w:t>
            </w:r>
          </w:p>
        </w:tc>
        <w:tc>
          <w:tcPr>
            <w:tcW w:w="203" w:type="pct"/>
            <w:vMerge w:val="continue"/>
            <w:noWrap w:val="0"/>
            <w:vAlign w:val="center"/>
          </w:tcPr>
          <w:p w14:paraId="23D18B6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01EAAC5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04F24EC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21.1 </w:t>
            </w:r>
          </w:p>
        </w:tc>
        <w:tc>
          <w:tcPr>
            <w:tcW w:w="202" w:type="pct"/>
            <w:noWrap w:val="0"/>
            <w:vAlign w:val="center"/>
          </w:tcPr>
          <w:p w14:paraId="5DD9433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20.5 </w:t>
            </w:r>
          </w:p>
        </w:tc>
        <w:tc>
          <w:tcPr>
            <w:tcW w:w="164" w:type="pct"/>
            <w:noWrap w:val="0"/>
            <w:vAlign w:val="center"/>
          </w:tcPr>
          <w:p w14:paraId="306EE0F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26.5 </w:t>
            </w:r>
          </w:p>
        </w:tc>
        <w:tc>
          <w:tcPr>
            <w:tcW w:w="193" w:type="pct"/>
            <w:noWrap w:val="0"/>
            <w:vAlign w:val="center"/>
          </w:tcPr>
          <w:p w14:paraId="2B8DBD7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24.0 </w:t>
            </w:r>
          </w:p>
        </w:tc>
        <w:tc>
          <w:tcPr>
            <w:tcW w:w="157" w:type="pct"/>
            <w:noWrap w:val="0"/>
            <w:vAlign w:val="center"/>
          </w:tcPr>
          <w:p w14:paraId="1E2A22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4151A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0FB4C79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19</w:t>
            </w:r>
          </w:p>
        </w:tc>
        <w:tc>
          <w:tcPr>
            <w:tcW w:w="163" w:type="pct"/>
            <w:vMerge w:val="continue"/>
            <w:noWrap w:val="0"/>
            <w:vAlign w:val="center"/>
          </w:tcPr>
          <w:p w14:paraId="6BD3D56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08D45A9E">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抽滤机</w:t>
            </w:r>
          </w:p>
        </w:tc>
        <w:tc>
          <w:tcPr>
            <w:tcW w:w="289" w:type="pct"/>
            <w:noWrap w:val="0"/>
            <w:vAlign w:val="center"/>
          </w:tcPr>
          <w:p w14:paraId="6819D2A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85</w:t>
            </w:r>
          </w:p>
        </w:tc>
        <w:tc>
          <w:tcPr>
            <w:tcW w:w="267" w:type="pct"/>
            <w:vMerge w:val="continue"/>
            <w:noWrap w:val="0"/>
            <w:vAlign w:val="center"/>
          </w:tcPr>
          <w:p w14:paraId="4F3079D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6C19F6F8">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-16.5</w:t>
            </w:r>
          </w:p>
        </w:tc>
        <w:tc>
          <w:tcPr>
            <w:tcW w:w="212" w:type="pct"/>
            <w:noWrap w:val="0"/>
            <w:vAlign w:val="center"/>
          </w:tcPr>
          <w:p w14:paraId="5F0D638B">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-38.7</w:t>
            </w:r>
          </w:p>
        </w:tc>
        <w:tc>
          <w:tcPr>
            <w:tcW w:w="212" w:type="pct"/>
            <w:noWrap w:val="0"/>
            <w:vAlign w:val="center"/>
          </w:tcPr>
          <w:p w14:paraId="239F449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3CAB0E9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178F47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14</w:t>
            </w:r>
          </w:p>
        </w:tc>
        <w:tc>
          <w:tcPr>
            <w:tcW w:w="194" w:type="pct"/>
            <w:noWrap w:val="0"/>
            <w:vAlign w:val="center"/>
          </w:tcPr>
          <w:p w14:paraId="28A863B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24</w:t>
            </w:r>
          </w:p>
        </w:tc>
        <w:tc>
          <w:tcPr>
            <w:tcW w:w="198" w:type="pct"/>
            <w:noWrap w:val="0"/>
            <w:vAlign w:val="center"/>
          </w:tcPr>
          <w:p w14:paraId="6F1D58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47</w:t>
            </w:r>
          </w:p>
        </w:tc>
        <w:tc>
          <w:tcPr>
            <w:tcW w:w="245" w:type="pct"/>
            <w:noWrap w:val="0"/>
            <w:vAlign w:val="center"/>
          </w:tcPr>
          <w:p w14:paraId="2855CCD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61.5 </w:t>
            </w:r>
          </w:p>
        </w:tc>
        <w:tc>
          <w:tcPr>
            <w:tcW w:w="245" w:type="pct"/>
            <w:noWrap w:val="0"/>
            <w:vAlign w:val="center"/>
          </w:tcPr>
          <w:p w14:paraId="790A059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62.1 </w:t>
            </w:r>
          </w:p>
        </w:tc>
        <w:tc>
          <w:tcPr>
            <w:tcW w:w="245" w:type="pct"/>
            <w:noWrap w:val="0"/>
            <w:vAlign w:val="center"/>
          </w:tcPr>
          <w:p w14:paraId="706C484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57.4 </w:t>
            </w:r>
          </w:p>
        </w:tc>
        <w:tc>
          <w:tcPr>
            <w:tcW w:w="249" w:type="pct"/>
            <w:noWrap w:val="0"/>
            <w:vAlign w:val="center"/>
          </w:tcPr>
          <w:p w14:paraId="0150D28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51.6 </w:t>
            </w:r>
          </w:p>
        </w:tc>
        <w:tc>
          <w:tcPr>
            <w:tcW w:w="203" w:type="pct"/>
            <w:vMerge w:val="continue"/>
            <w:noWrap w:val="0"/>
            <w:vAlign w:val="center"/>
          </w:tcPr>
          <w:p w14:paraId="0F31FC9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2B8095A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368D07E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31.5 </w:t>
            </w:r>
          </w:p>
        </w:tc>
        <w:tc>
          <w:tcPr>
            <w:tcW w:w="202" w:type="pct"/>
            <w:noWrap w:val="0"/>
            <w:vAlign w:val="center"/>
          </w:tcPr>
          <w:p w14:paraId="39C2B96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32.1 </w:t>
            </w:r>
          </w:p>
        </w:tc>
        <w:tc>
          <w:tcPr>
            <w:tcW w:w="164" w:type="pct"/>
            <w:noWrap w:val="0"/>
            <w:vAlign w:val="center"/>
          </w:tcPr>
          <w:p w14:paraId="020BC26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27.4 </w:t>
            </w:r>
          </w:p>
        </w:tc>
        <w:tc>
          <w:tcPr>
            <w:tcW w:w="193" w:type="pct"/>
            <w:noWrap w:val="0"/>
            <w:vAlign w:val="center"/>
          </w:tcPr>
          <w:p w14:paraId="1AAD65A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21.6 </w:t>
            </w:r>
          </w:p>
        </w:tc>
        <w:tc>
          <w:tcPr>
            <w:tcW w:w="157" w:type="pct"/>
            <w:noWrap w:val="0"/>
            <w:vAlign w:val="center"/>
          </w:tcPr>
          <w:p w14:paraId="1C5D52E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5C34D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40E4DA7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20</w:t>
            </w:r>
          </w:p>
        </w:tc>
        <w:tc>
          <w:tcPr>
            <w:tcW w:w="163" w:type="pct"/>
            <w:vMerge w:val="continue"/>
            <w:noWrap w:val="0"/>
            <w:vAlign w:val="center"/>
          </w:tcPr>
          <w:p w14:paraId="191761F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7D45582C">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搅拌设备（16台）</w:t>
            </w:r>
          </w:p>
        </w:tc>
        <w:tc>
          <w:tcPr>
            <w:tcW w:w="289" w:type="pct"/>
            <w:noWrap w:val="0"/>
            <w:vAlign w:val="center"/>
          </w:tcPr>
          <w:p w14:paraId="4211EC5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87</w:t>
            </w:r>
          </w:p>
        </w:tc>
        <w:tc>
          <w:tcPr>
            <w:tcW w:w="267" w:type="pct"/>
            <w:vMerge w:val="continue"/>
            <w:noWrap w:val="0"/>
            <w:vAlign w:val="center"/>
          </w:tcPr>
          <w:p w14:paraId="733E4B2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6C59B7FA">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-26.8</w:t>
            </w:r>
          </w:p>
        </w:tc>
        <w:tc>
          <w:tcPr>
            <w:tcW w:w="212" w:type="pct"/>
            <w:noWrap w:val="0"/>
            <w:vAlign w:val="center"/>
          </w:tcPr>
          <w:p w14:paraId="1A6F8F3A">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-27.6</w:t>
            </w:r>
          </w:p>
        </w:tc>
        <w:tc>
          <w:tcPr>
            <w:tcW w:w="212" w:type="pct"/>
            <w:noWrap w:val="0"/>
            <w:vAlign w:val="center"/>
          </w:tcPr>
          <w:p w14:paraId="5058BF4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0D03683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194" w:type="pct"/>
            <w:noWrap w:val="0"/>
            <w:vAlign w:val="center"/>
          </w:tcPr>
          <w:p w14:paraId="27846FC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090895A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30</w:t>
            </w:r>
          </w:p>
        </w:tc>
        <w:tc>
          <w:tcPr>
            <w:tcW w:w="198" w:type="pct"/>
            <w:noWrap w:val="0"/>
            <w:vAlign w:val="center"/>
          </w:tcPr>
          <w:p w14:paraId="0529F91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43</w:t>
            </w:r>
          </w:p>
        </w:tc>
        <w:tc>
          <w:tcPr>
            <w:tcW w:w="245" w:type="pct"/>
            <w:noWrap w:val="0"/>
            <w:vAlign w:val="center"/>
          </w:tcPr>
          <w:p w14:paraId="7C29A48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61.0 </w:t>
            </w:r>
          </w:p>
        </w:tc>
        <w:tc>
          <w:tcPr>
            <w:tcW w:w="245" w:type="pct"/>
            <w:noWrap w:val="0"/>
            <w:vAlign w:val="center"/>
          </w:tcPr>
          <w:p w14:paraId="6C89EB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63.5 </w:t>
            </w:r>
          </w:p>
        </w:tc>
        <w:tc>
          <w:tcPr>
            <w:tcW w:w="245" w:type="pct"/>
            <w:noWrap w:val="0"/>
            <w:vAlign w:val="center"/>
          </w:tcPr>
          <w:p w14:paraId="7E6634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57.5 </w:t>
            </w:r>
          </w:p>
        </w:tc>
        <w:tc>
          <w:tcPr>
            <w:tcW w:w="249" w:type="pct"/>
            <w:noWrap w:val="0"/>
            <w:vAlign w:val="center"/>
          </w:tcPr>
          <w:p w14:paraId="12623B2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54.3 </w:t>
            </w:r>
          </w:p>
        </w:tc>
        <w:tc>
          <w:tcPr>
            <w:tcW w:w="203" w:type="pct"/>
            <w:vMerge w:val="continue"/>
            <w:noWrap w:val="0"/>
            <w:vAlign w:val="center"/>
          </w:tcPr>
          <w:p w14:paraId="031ACD8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4F0D0C4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3C1D0ED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31.0 </w:t>
            </w:r>
          </w:p>
        </w:tc>
        <w:tc>
          <w:tcPr>
            <w:tcW w:w="202" w:type="pct"/>
            <w:noWrap w:val="0"/>
            <w:vAlign w:val="center"/>
          </w:tcPr>
          <w:p w14:paraId="049E272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33.5 </w:t>
            </w:r>
          </w:p>
        </w:tc>
        <w:tc>
          <w:tcPr>
            <w:tcW w:w="164" w:type="pct"/>
            <w:noWrap w:val="0"/>
            <w:vAlign w:val="center"/>
          </w:tcPr>
          <w:p w14:paraId="1B316A7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27.5 </w:t>
            </w:r>
          </w:p>
        </w:tc>
        <w:tc>
          <w:tcPr>
            <w:tcW w:w="193" w:type="pct"/>
            <w:noWrap w:val="0"/>
            <w:vAlign w:val="center"/>
          </w:tcPr>
          <w:p w14:paraId="2344798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24.3 </w:t>
            </w:r>
          </w:p>
        </w:tc>
        <w:tc>
          <w:tcPr>
            <w:tcW w:w="157" w:type="pct"/>
            <w:noWrap w:val="0"/>
            <w:vAlign w:val="center"/>
          </w:tcPr>
          <w:p w14:paraId="211B9F8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5989E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15441B9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21</w:t>
            </w:r>
          </w:p>
        </w:tc>
        <w:tc>
          <w:tcPr>
            <w:tcW w:w="163" w:type="pct"/>
            <w:vMerge w:val="continue"/>
            <w:noWrap w:val="0"/>
            <w:vAlign w:val="center"/>
          </w:tcPr>
          <w:p w14:paraId="22C686E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492615A1">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压缩机</w:t>
            </w:r>
          </w:p>
        </w:tc>
        <w:tc>
          <w:tcPr>
            <w:tcW w:w="289" w:type="pct"/>
            <w:noWrap w:val="0"/>
            <w:vAlign w:val="center"/>
          </w:tcPr>
          <w:p w14:paraId="3E54137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85</w:t>
            </w:r>
          </w:p>
        </w:tc>
        <w:tc>
          <w:tcPr>
            <w:tcW w:w="267" w:type="pct"/>
            <w:vMerge w:val="continue"/>
            <w:noWrap w:val="0"/>
            <w:vAlign w:val="center"/>
          </w:tcPr>
          <w:p w14:paraId="0B658BB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67519664">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-17.3</w:t>
            </w:r>
          </w:p>
        </w:tc>
        <w:tc>
          <w:tcPr>
            <w:tcW w:w="212" w:type="pct"/>
            <w:noWrap w:val="0"/>
            <w:vAlign w:val="center"/>
          </w:tcPr>
          <w:p w14:paraId="0C00FD81">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-51.4</w:t>
            </w:r>
          </w:p>
        </w:tc>
        <w:tc>
          <w:tcPr>
            <w:tcW w:w="212" w:type="pct"/>
            <w:noWrap w:val="0"/>
            <w:vAlign w:val="center"/>
          </w:tcPr>
          <w:p w14:paraId="0ABF589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5499194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194" w:type="pct"/>
            <w:noWrap w:val="0"/>
            <w:vAlign w:val="center"/>
          </w:tcPr>
          <w:p w14:paraId="3D03E18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19</w:t>
            </w:r>
          </w:p>
        </w:tc>
        <w:tc>
          <w:tcPr>
            <w:tcW w:w="194" w:type="pct"/>
            <w:noWrap w:val="0"/>
            <w:vAlign w:val="center"/>
          </w:tcPr>
          <w:p w14:paraId="0507056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32</w:t>
            </w:r>
          </w:p>
        </w:tc>
        <w:tc>
          <w:tcPr>
            <w:tcW w:w="198" w:type="pct"/>
            <w:noWrap w:val="0"/>
            <w:vAlign w:val="center"/>
          </w:tcPr>
          <w:p w14:paraId="4932615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40</w:t>
            </w:r>
          </w:p>
        </w:tc>
        <w:tc>
          <w:tcPr>
            <w:tcW w:w="245" w:type="pct"/>
            <w:noWrap w:val="0"/>
            <w:vAlign w:val="center"/>
          </w:tcPr>
          <w:p w14:paraId="11418C2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59.0 </w:t>
            </w:r>
          </w:p>
        </w:tc>
        <w:tc>
          <w:tcPr>
            <w:tcW w:w="245" w:type="pct"/>
            <w:noWrap w:val="0"/>
            <w:vAlign w:val="center"/>
          </w:tcPr>
          <w:p w14:paraId="5FC7423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59.4 </w:t>
            </w:r>
          </w:p>
        </w:tc>
        <w:tc>
          <w:tcPr>
            <w:tcW w:w="245" w:type="pct"/>
            <w:noWrap w:val="0"/>
            <w:vAlign w:val="center"/>
          </w:tcPr>
          <w:p w14:paraId="2114055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54.9 </w:t>
            </w:r>
          </w:p>
        </w:tc>
        <w:tc>
          <w:tcPr>
            <w:tcW w:w="249" w:type="pct"/>
            <w:noWrap w:val="0"/>
            <w:vAlign w:val="center"/>
          </w:tcPr>
          <w:p w14:paraId="6026C8C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53.0 </w:t>
            </w:r>
          </w:p>
        </w:tc>
        <w:tc>
          <w:tcPr>
            <w:tcW w:w="203" w:type="pct"/>
            <w:vMerge w:val="continue"/>
            <w:noWrap w:val="0"/>
            <w:vAlign w:val="center"/>
          </w:tcPr>
          <w:p w14:paraId="431B228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2796C25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76A645E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29.0 </w:t>
            </w:r>
          </w:p>
        </w:tc>
        <w:tc>
          <w:tcPr>
            <w:tcW w:w="202" w:type="pct"/>
            <w:noWrap w:val="0"/>
            <w:vAlign w:val="center"/>
          </w:tcPr>
          <w:p w14:paraId="3FC88D6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29.4 </w:t>
            </w:r>
          </w:p>
        </w:tc>
        <w:tc>
          <w:tcPr>
            <w:tcW w:w="164" w:type="pct"/>
            <w:noWrap w:val="0"/>
            <w:vAlign w:val="center"/>
          </w:tcPr>
          <w:p w14:paraId="1B2A1C7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24.9 </w:t>
            </w:r>
          </w:p>
        </w:tc>
        <w:tc>
          <w:tcPr>
            <w:tcW w:w="193" w:type="pct"/>
            <w:noWrap w:val="0"/>
            <w:vAlign w:val="center"/>
          </w:tcPr>
          <w:p w14:paraId="3BA9EA4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23.0 </w:t>
            </w:r>
          </w:p>
        </w:tc>
        <w:tc>
          <w:tcPr>
            <w:tcW w:w="157" w:type="pct"/>
            <w:noWrap w:val="0"/>
            <w:vAlign w:val="center"/>
          </w:tcPr>
          <w:p w14:paraId="2E2DCDF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4E761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600431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22</w:t>
            </w:r>
          </w:p>
        </w:tc>
        <w:tc>
          <w:tcPr>
            <w:tcW w:w="163" w:type="pct"/>
            <w:vMerge w:val="continue"/>
            <w:noWrap w:val="0"/>
            <w:vAlign w:val="center"/>
          </w:tcPr>
          <w:p w14:paraId="4E4EADB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33F15E02">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烘干机</w:t>
            </w:r>
          </w:p>
        </w:tc>
        <w:tc>
          <w:tcPr>
            <w:tcW w:w="289" w:type="pct"/>
            <w:noWrap w:val="0"/>
            <w:vAlign w:val="center"/>
          </w:tcPr>
          <w:p w14:paraId="4212846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85</w:t>
            </w:r>
          </w:p>
        </w:tc>
        <w:tc>
          <w:tcPr>
            <w:tcW w:w="267" w:type="pct"/>
            <w:vMerge w:val="continue"/>
            <w:noWrap w:val="0"/>
            <w:vAlign w:val="center"/>
          </w:tcPr>
          <w:p w14:paraId="3E54CE1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45B2DBCF">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-16.5</w:t>
            </w:r>
          </w:p>
        </w:tc>
        <w:tc>
          <w:tcPr>
            <w:tcW w:w="212" w:type="pct"/>
            <w:noWrap w:val="0"/>
            <w:vAlign w:val="center"/>
          </w:tcPr>
          <w:p w14:paraId="0583A8E7">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-22.1</w:t>
            </w:r>
          </w:p>
        </w:tc>
        <w:tc>
          <w:tcPr>
            <w:tcW w:w="212" w:type="pct"/>
            <w:noWrap w:val="0"/>
            <w:vAlign w:val="center"/>
          </w:tcPr>
          <w:p w14:paraId="35853B5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597CA2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194" w:type="pct"/>
            <w:noWrap w:val="0"/>
            <w:vAlign w:val="center"/>
          </w:tcPr>
          <w:p w14:paraId="66E6219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25</w:t>
            </w:r>
          </w:p>
        </w:tc>
        <w:tc>
          <w:tcPr>
            <w:tcW w:w="194" w:type="pct"/>
            <w:noWrap w:val="0"/>
            <w:vAlign w:val="center"/>
          </w:tcPr>
          <w:p w14:paraId="48341FE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11</w:t>
            </w:r>
          </w:p>
        </w:tc>
        <w:tc>
          <w:tcPr>
            <w:tcW w:w="198" w:type="pct"/>
            <w:noWrap w:val="0"/>
            <w:vAlign w:val="center"/>
          </w:tcPr>
          <w:p w14:paraId="5EB2CB5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40</w:t>
            </w:r>
          </w:p>
        </w:tc>
        <w:tc>
          <w:tcPr>
            <w:tcW w:w="245" w:type="pct"/>
            <w:noWrap w:val="0"/>
            <w:vAlign w:val="center"/>
          </w:tcPr>
          <w:p w14:paraId="6C36673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59.0 </w:t>
            </w:r>
          </w:p>
        </w:tc>
        <w:tc>
          <w:tcPr>
            <w:tcW w:w="245" w:type="pct"/>
            <w:noWrap w:val="0"/>
            <w:vAlign w:val="center"/>
          </w:tcPr>
          <w:p w14:paraId="0323760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57.0 </w:t>
            </w:r>
          </w:p>
        </w:tc>
        <w:tc>
          <w:tcPr>
            <w:tcW w:w="245" w:type="pct"/>
            <w:noWrap w:val="0"/>
            <w:vAlign w:val="center"/>
          </w:tcPr>
          <w:p w14:paraId="38541A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64.2 </w:t>
            </w:r>
          </w:p>
        </w:tc>
        <w:tc>
          <w:tcPr>
            <w:tcW w:w="249" w:type="pct"/>
            <w:noWrap w:val="0"/>
            <w:vAlign w:val="center"/>
          </w:tcPr>
          <w:p w14:paraId="6CDEA7E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53.0 </w:t>
            </w:r>
          </w:p>
        </w:tc>
        <w:tc>
          <w:tcPr>
            <w:tcW w:w="203" w:type="pct"/>
            <w:vMerge w:val="continue"/>
            <w:noWrap w:val="0"/>
            <w:vAlign w:val="center"/>
          </w:tcPr>
          <w:p w14:paraId="6431F1C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73D4298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617947C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29.0 </w:t>
            </w:r>
          </w:p>
        </w:tc>
        <w:tc>
          <w:tcPr>
            <w:tcW w:w="202" w:type="pct"/>
            <w:noWrap w:val="0"/>
            <w:vAlign w:val="center"/>
          </w:tcPr>
          <w:p w14:paraId="7DCB369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27.0 </w:t>
            </w:r>
          </w:p>
        </w:tc>
        <w:tc>
          <w:tcPr>
            <w:tcW w:w="164" w:type="pct"/>
            <w:noWrap w:val="0"/>
            <w:vAlign w:val="center"/>
          </w:tcPr>
          <w:p w14:paraId="4FCE7EF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34.2 </w:t>
            </w:r>
          </w:p>
        </w:tc>
        <w:tc>
          <w:tcPr>
            <w:tcW w:w="193" w:type="pct"/>
            <w:noWrap w:val="0"/>
            <w:vAlign w:val="center"/>
          </w:tcPr>
          <w:p w14:paraId="3F0D614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23.0 </w:t>
            </w:r>
          </w:p>
        </w:tc>
        <w:tc>
          <w:tcPr>
            <w:tcW w:w="157" w:type="pct"/>
            <w:noWrap w:val="0"/>
            <w:vAlign w:val="center"/>
          </w:tcPr>
          <w:p w14:paraId="30607FE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66E4C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37F5495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23</w:t>
            </w:r>
          </w:p>
        </w:tc>
        <w:tc>
          <w:tcPr>
            <w:tcW w:w="163" w:type="pct"/>
            <w:vMerge w:val="continue"/>
            <w:noWrap w:val="0"/>
            <w:vAlign w:val="center"/>
          </w:tcPr>
          <w:p w14:paraId="6E4080F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53521432">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eastAsia" w:ascii="Times New Roman" w:hAnsi="Times New Roman" w:eastAsia="宋体" w:cs="Times New Roman"/>
                <w:color w:val="auto"/>
                <w:sz w:val="21"/>
                <w:szCs w:val="21"/>
                <w:highlight w:val="none"/>
                <w:u w:val="none"/>
                <w:lang w:val="en-US" w:eastAsia="zh-CN"/>
              </w:rPr>
              <w:t>空压机</w:t>
            </w:r>
          </w:p>
        </w:tc>
        <w:tc>
          <w:tcPr>
            <w:tcW w:w="289" w:type="pct"/>
            <w:noWrap w:val="0"/>
            <w:vAlign w:val="center"/>
          </w:tcPr>
          <w:p w14:paraId="28B72A0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continue"/>
            <w:noWrap w:val="0"/>
            <w:vAlign w:val="center"/>
          </w:tcPr>
          <w:p w14:paraId="0456148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625F79FA">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-56.8</w:t>
            </w:r>
          </w:p>
        </w:tc>
        <w:tc>
          <w:tcPr>
            <w:tcW w:w="212" w:type="pct"/>
            <w:noWrap w:val="0"/>
            <w:vAlign w:val="center"/>
          </w:tcPr>
          <w:p w14:paraId="5069E934">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-48.7</w:t>
            </w:r>
          </w:p>
        </w:tc>
        <w:tc>
          <w:tcPr>
            <w:tcW w:w="212" w:type="pct"/>
            <w:noWrap w:val="0"/>
            <w:vAlign w:val="center"/>
          </w:tcPr>
          <w:p w14:paraId="0AEE736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0E1F3FE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1127EA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18</w:t>
            </w:r>
          </w:p>
        </w:tc>
        <w:tc>
          <w:tcPr>
            <w:tcW w:w="194" w:type="pct"/>
            <w:noWrap w:val="0"/>
            <w:vAlign w:val="center"/>
          </w:tcPr>
          <w:p w14:paraId="78D731B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8" w:type="pct"/>
            <w:noWrap w:val="0"/>
            <w:vAlign w:val="center"/>
          </w:tcPr>
          <w:p w14:paraId="7598B60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10</w:t>
            </w:r>
          </w:p>
        </w:tc>
        <w:tc>
          <w:tcPr>
            <w:tcW w:w="245" w:type="pct"/>
            <w:noWrap w:val="0"/>
            <w:vAlign w:val="center"/>
          </w:tcPr>
          <w:p w14:paraId="296DF68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56.5 </w:t>
            </w:r>
          </w:p>
        </w:tc>
        <w:tc>
          <w:tcPr>
            <w:tcW w:w="245" w:type="pct"/>
            <w:noWrap w:val="0"/>
            <w:vAlign w:val="center"/>
          </w:tcPr>
          <w:p w14:paraId="1EA6C6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54.9 </w:t>
            </w:r>
          </w:p>
        </w:tc>
        <w:tc>
          <w:tcPr>
            <w:tcW w:w="245" w:type="pct"/>
            <w:noWrap w:val="0"/>
            <w:vAlign w:val="center"/>
          </w:tcPr>
          <w:p w14:paraId="518B64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56.5 </w:t>
            </w:r>
          </w:p>
        </w:tc>
        <w:tc>
          <w:tcPr>
            <w:tcW w:w="249" w:type="pct"/>
            <w:noWrap w:val="0"/>
            <w:vAlign w:val="center"/>
          </w:tcPr>
          <w:p w14:paraId="7A7E9A1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60.0 </w:t>
            </w:r>
          </w:p>
        </w:tc>
        <w:tc>
          <w:tcPr>
            <w:tcW w:w="203" w:type="pct"/>
            <w:vMerge w:val="continue"/>
            <w:noWrap w:val="0"/>
            <w:vAlign w:val="center"/>
          </w:tcPr>
          <w:p w14:paraId="6B68266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21341AB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61B60D8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26.5 </w:t>
            </w:r>
          </w:p>
        </w:tc>
        <w:tc>
          <w:tcPr>
            <w:tcW w:w="202" w:type="pct"/>
            <w:noWrap w:val="0"/>
            <w:vAlign w:val="center"/>
          </w:tcPr>
          <w:p w14:paraId="2A06171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24.9 </w:t>
            </w:r>
          </w:p>
        </w:tc>
        <w:tc>
          <w:tcPr>
            <w:tcW w:w="164" w:type="pct"/>
            <w:noWrap w:val="0"/>
            <w:vAlign w:val="center"/>
          </w:tcPr>
          <w:p w14:paraId="1C389D0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26.5 </w:t>
            </w:r>
          </w:p>
        </w:tc>
        <w:tc>
          <w:tcPr>
            <w:tcW w:w="193" w:type="pct"/>
            <w:noWrap w:val="0"/>
            <w:vAlign w:val="center"/>
          </w:tcPr>
          <w:p w14:paraId="23DC3F0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30.0 </w:t>
            </w:r>
          </w:p>
        </w:tc>
        <w:tc>
          <w:tcPr>
            <w:tcW w:w="157" w:type="pct"/>
            <w:noWrap w:val="0"/>
            <w:vAlign w:val="center"/>
          </w:tcPr>
          <w:p w14:paraId="1DCE9FB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6D53A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6BD8E20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24</w:t>
            </w:r>
          </w:p>
        </w:tc>
        <w:tc>
          <w:tcPr>
            <w:tcW w:w="163" w:type="pct"/>
            <w:vMerge w:val="continue"/>
            <w:noWrap w:val="0"/>
            <w:vAlign w:val="center"/>
          </w:tcPr>
          <w:p w14:paraId="137BB56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3EE2E953">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eastAsia" w:ascii="Times New Roman" w:hAnsi="Times New Roman" w:eastAsia="宋体" w:cs="Times New Roman"/>
                <w:color w:val="auto"/>
                <w:sz w:val="21"/>
                <w:szCs w:val="21"/>
                <w:highlight w:val="none"/>
                <w:u w:val="none"/>
                <w:lang w:val="en-US" w:eastAsia="zh-CN"/>
              </w:rPr>
              <w:t>空压机</w:t>
            </w:r>
          </w:p>
        </w:tc>
        <w:tc>
          <w:tcPr>
            <w:tcW w:w="289" w:type="pct"/>
            <w:noWrap w:val="0"/>
            <w:vAlign w:val="center"/>
          </w:tcPr>
          <w:p w14:paraId="796DF64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continue"/>
            <w:noWrap w:val="0"/>
            <w:vAlign w:val="center"/>
          </w:tcPr>
          <w:p w14:paraId="5AE7282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60D0188A">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-50.5</w:t>
            </w:r>
          </w:p>
        </w:tc>
        <w:tc>
          <w:tcPr>
            <w:tcW w:w="212" w:type="pct"/>
            <w:noWrap w:val="0"/>
            <w:vAlign w:val="center"/>
          </w:tcPr>
          <w:p w14:paraId="5CB5E051">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-62.4</w:t>
            </w:r>
          </w:p>
        </w:tc>
        <w:tc>
          <w:tcPr>
            <w:tcW w:w="212" w:type="pct"/>
            <w:noWrap w:val="0"/>
            <w:vAlign w:val="center"/>
          </w:tcPr>
          <w:p w14:paraId="15C8FF0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7FE714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19</w:t>
            </w:r>
          </w:p>
        </w:tc>
        <w:tc>
          <w:tcPr>
            <w:tcW w:w="194" w:type="pct"/>
            <w:noWrap w:val="0"/>
            <w:vAlign w:val="center"/>
          </w:tcPr>
          <w:p w14:paraId="21CBFB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3ACDB7B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12</w:t>
            </w:r>
          </w:p>
        </w:tc>
        <w:tc>
          <w:tcPr>
            <w:tcW w:w="198" w:type="pct"/>
            <w:noWrap w:val="0"/>
            <w:vAlign w:val="center"/>
          </w:tcPr>
          <w:p w14:paraId="6A759E5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245" w:type="pct"/>
            <w:noWrap w:val="0"/>
            <w:vAlign w:val="center"/>
          </w:tcPr>
          <w:p w14:paraId="7D02ADF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54.4 </w:t>
            </w:r>
          </w:p>
        </w:tc>
        <w:tc>
          <w:tcPr>
            <w:tcW w:w="245" w:type="pct"/>
            <w:noWrap w:val="0"/>
            <w:vAlign w:val="center"/>
          </w:tcPr>
          <w:p w14:paraId="3BFF976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56.5 </w:t>
            </w:r>
          </w:p>
        </w:tc>
        <w:tc>
          <w:tcPr>
            <w:tcW w:w="245" w:type="pct"/>
            <w:noWrap w:val="0"/>
            <w:vAlign w:val="center"/>
          </w:tcPr>
          <w:p w14:paraId="78EAC01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58.4 </w:t>
            </w:r>
          </w:p>
        </w:tc>
        <w:tc>
          <w:tcPr>
            <w:tcW w:w="249" w:type="pct"/>
            <w:noWrap w:val="0"/>
            <w:vAlign w:val="center"/>
          </w:tcPr>
          <w:p w14:paraId="53A5EDD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54.0 </w:t>
            </w:r>
          </w:p>
        </w:tc>
        <w:tc>
          <w:tcPr>
            <w:tcW w:w="203" w:type="pct"/>
            <w:vMerge w:val="continue"/>
            <w:noWrap w:val="0"/>
            <w:vAlign w:val="center"/>
          </w:tcPr>
          <w:p w14:paraId="6002EA9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57C6A27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523137D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24.4 </w:t>
            </w:r>
          </w:p>
        </w:tc>
        <w:tc>
          <w:tcPr>
            <w:tcW w:w="202" w:type="pct"/>
            <w:noWrap w:val="0"/>
            <w:vAlign w:val="center"/>
          </w:tcPr>
          <w:p w14:paraId="186823F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26.5 </w:t>
            </w:r>
          </w:p>
        </w:tc>
        <w:tc>
          <w:tcPr>
            <w:tcW w:w="164" w:type="pct"/>
            <w:noWrap w:val="0"/>
            <w:vAlign w:val="center"/>
          </w:tcPr>
          <w:p w14:paraId="3D0BF3A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28.4 </w:t>
            </w:r>
          </w:p>
        </w:tc>
        <w:tc>
          <w:tcPr>
            <w:tcW w:w="193" w:type="pct"/>
            <w:noWrap w:val="0"/>
            <w:vAlign w:val="center"/>
          </w:tcPr>
          <w:p w14:paraId="49F0EC2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24.0 </w:t>
            </w:r>
          </w:p>
        </w:tc>
        <w:tc>
          <w:tcPr>
            <w:tcW w:w="157" w:type="pct"/>
            <w:noWrap w:val="0"/>
            <w:vAlign w:val="center"/>
          </w:tcPr>
          <w:p w14:paraId="6E00F36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3E264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121B542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25</w:t>
            </w:r>
          </w:p>
        </w:tc>
        <w:tc>
          <w:tcPr>
            <w:tcW w:w="163" w:type="pct"/>
            <w:vMerge w:val="continue"/>
            <w:noWrap w:val="0"/>
            <w:vAlign w:val="center"/>
          </w:tcPr>
          <w:p w14:paraId="4BBCB45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2ADCBA78">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eastAsia" w:ascii="Times New Roman" w:hAnsi="Times New Roman" w:eastAsia="宋体" w:cs="Times New Roman"/>
                <w:color w:val="auto"/>
                <w:sz w:val="21"/>
                <w:szCs w:val="21"/>
                <w:highlight w:val="none"/>
                <w:u w:val="none"/>
                <w:lang w:val="en-US" w:eastAsia="zh-CN"/>
              </w:rPr>
              <w:t>制氮机</w:t>
            </w:r>
          </w:p>
        </w:tc>
        <w:tc>
          <w:tcPr>
            <w:tcW w:w="289" w:type="pct"/>
            <w:noWrap w:val="0"/>
            <w:vAlign w:val="center"/>
          </w:tcPr>
          <w:p w14:paraId="5781200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continue"/>
            <w:noWrap w:val="0"/>
            <w:vAlign w:val="center"/>
          </w:tcPr>
          <w:p w14:paraId="48B1B3A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54191CBE">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-41.2</w:t>
            </w:r>
          </w:p>
        </w:tc>
        <w:tc>
          <w:tcPr>
            <w:tcW w:w="212" w:type="pct"/>
            <w:noWrap w:val="0"/>
            <w:vAlign w:val="center"/>
          </w:tcPr>
          <w:p w14:paraId="68D9BFE0">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-62</w:t>
            </w:r>
          </w:p>
        </w:tc>
        <w:tc>
          <w:tcPr>
            <w:tcW w:w="212" w:type="pct"/>
            <w:noWrap w:val="0"/>
            <w:vAlign w:val="center"/>
          </w:tcPr>
          <w:p w14:paraId="2964137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67D0120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3349EE6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194" w:type="pct"/>
            <w:noWrap w:val="0"/>
            <w:vAlign w:val="center"/>
          </w:tcPr>
          <w:p w14:paraId="09DB27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25</w:t>
            </w:r>
          </w:p>
        </w:tc>
        <w:tc>
          <w:tcPr>
            <w:tcW w:w="198" w:type="pct"/>
            <w:noWrap w:val="0"/>
            <w:vAlign w:val="center"/>
          </w:tcPr>
          <w:p w14:paraId="2B502A6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5</w:t>
            </w:r>
          </w:p>
        </w:tc>
        <w:tc>
          <w:tcPr>
            <w:tcW w:w="245" w:type="pct"/>
            <w:noWrap w:val="0"/>
            <w:vAlign w:val="center"/>
          </w:tcPr>
          <w:p w14:paraId="284BB7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56.5 </w:t>
            </w:r>
          </w:p>
        </w:tc>
        <w:tc>
          <w:tcPr>
            <w:tcW w:w="245" w:type="pct"/>
            <w:noWrap w:val="0"/>
            <w:vAlign w:val="center"/>
          </w:tcPr>
          <w:p w14:paraId="2BC1558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54.0 </w:t>
            </w:r>
          </w:p>
        </w:tc>
        <w:tc>
          <w:tcPr>
            <w:tcW w:w="245" w:type="pct"/>
            <w:noWrap w:val="0"/>
            <w:vAlign w:val="center"/>
          </w:tcPr>
          <w:p w14:paraId="41B041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52.0 </w:t>
            </w:r>
          </w:p>
        </w:tc>
        <w:tc>
          <w:tcPr>
            <w:tcW w:w="249" w:type="pct"/>
            <w:noWrap w:val="0"/>
            <w:vAlign w:val="center"/>
          </w:tcPr>
          <w:p w14:paraId="63DF2E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66.0 </w:t>
            </w:r>
          </w:p>
        </w:tc>
        <w:tc>
          <w:tcPr>
            <w:tcW w:w="203" w:type="pct"/>
            <w:vMerge w:val="continue"/>
            <w:noWrap w:val="0"/>
            <w:vAlign w:val="center"/>
          </w:tcPr>
          <w:p w14:paraId="0D094AB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3EE7FDB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045DF84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26.5 </w:t>
            </w:r>
          </w:p>
        </w:tc>
        <w:tc>
          <w:tcPr>
            <w:tcW w:w="202" w:type="pct"/>
            <w:noWrap w:val="0"/>
            <w:vAlign w:val="center"/>
          </w:tcPr>
          <w:p w14:paraId="30CABEE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24.0 </w:t>
            </w:r>
          </w:p>
        </w:tc>
        <w:tc>
          <w:tcPr>
            <w:tcW w:w="164" w:type="pct"/>
            <w:noWrap w:val="0"/>
            <w:vAlign w:val="center"/>
          </w:tcPr>
          <w:p w14:paraId="225D642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22.0 </w:t>
            </w:r>
          </w:p>
        </w:tc>
        <w:tc>
          <w:tcPr>
            <w:tcW w:w="193" w:type="pct"/>
            <w:noWrap w:val="0"/>
            <w:vAlign w:val="center"/>
          </w:tcPr>
          <w:p w14:paraId="0DEBB39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36.0 </w:t>
            </w:r>
          </w:p>
        </w:tc>
        <w:tc>
          <w:tcPr>
            <w:tcW w:w="157" w:type="pct"/>
            <w:noWrap w:val="0"/>
            <w:vAlign w:val="center"/>
          </w:tcPr>
          <w:p w14:paraId="59DA5A7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1CE7F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0722EBB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26</w:t>
            </w:r>
          </w:p>
        </w:tc>
        <w:tc>
          <w:tcPr>
            <w:tcW w:w="163" w:type="pct"/>
            <w:vMerge w:val="restart"/>
            <w:noWrap w:val="0"/>
            <w:vAlign w:val="center"/>
          </w:tcPr>
          <w:p w14:paraId="1835D1FB">
            <w:pPr>
              <w:pStyle w:val="1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501</w:t>
            </w:r>
          </w:p>
          <w:p w14:paraId="2964C24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Times New Roman" w:hAnsi="Times New Roman" w:eastAsia="宋体" w:cs="Times New Roman"/>
                <w:color w:val="auto"/>
                <w:sz w:val="21"/>
                <w:szCs w:val="21"/>
                <w:highlight w:val="none"/>
                <w:u w:val="none"/>
                <w:lang w:val="en-US" w:eastAsia="zh-CN"/>
              </w:rPr>
              <w:t>车间</w:t>
            </w:r>
          </w:p>
        </w:tc>
        <w:tc>
          <w:tcPr>
            <w:tcW w:w="342" w:type="pct"/>
            <w:noWrap w:val="0"/>
            <w:vAlign w:val="center"/>
          </w:tcPr>
          <w:p w14:paraId="4CFDCAD2">
            <w:pPr>
              <w:pStyle w:val="1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真空泵</w:t>
            </w:r>
          </w:p>
          <w:p w14:paraId="06FC876D">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（6台）</w:t>
            </w:r>
          </w:p>
        </w:tc>
        <w:tc>
          <w:tcPr>
            <w:tcW w:w="289" w:type="pct"/>
            <w:noWrap w:val="0"/>
            <w:vAlign w:val="center"/>
          </w:tcPr>
          <w:p w14:paraId="3183E0C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93</w:t>
            </w:r>
          </w:p>
        </w:tc>
        <w:tc>
          <w:tcPr>
            <w:tcW w:w="267" w:type="pct"/>
            <w:vMerge w:val="continue"/>
            <w:noWrap w:val="0"/>
            <w:vAlign w:val="center"/>
          </w:tcPr>
          <w:p w14:paraId="62FFDA8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37D4D1BF">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33.8</w:t>
            </w:r>
          </w:p>
        </w:tc>
        <w:tc>
          <w:tcPr>
            <w:tcW w:w="212" w:type="pct"/>
            <w:noWrap w:val="0"/>
            <w:vAlign w:val="center"/>
          </w:tcPr>
          <w:p w14:paraId="54B88817">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-16.5</w:t>
            </w:r>
          </w:p>
        </w:tc>
        <w:tc>
          <w:tcPr>
            <w:tcW w:w="212" w:type="pct"/>
            <w:noWrap w:val="0"/>
            <w:vAlign w:val="center"/>
          </w:tcPr>
          <w:p w14:paraId="3F41199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0968DC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19</w:t>
            </w:r>
          </w:p>
        </w:tc>
        <w:tc>
          <w:tcPr>
            <w:tcW w:w="194" w:type="pct"/>
            <w:noWrap w:val="0"/>
            <w:vAlign w:val="center"/>
          </w:tcPr>
          <w:p w14:paraId="10A06B9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194" w:type="pct"/>
            <w:noWrap w:val="0"/>
            <w:vAlign w:val="center"/>
          </w:tcPr>
          <w:p w14:paraId="6D59FF2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18</w:t>
            </w:r>
          </w:p>
        </w:tc>
        <w:tc>
          <w:tcPr>
            <w:tcW w:w="198" w:type="pct"/>
            <w:noWrap w:val="0"/>
            <w:vAlign w:val="center"/>
          </w:tcPr>
          <w:p w14:paraId="07AECF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19</w:t>
            </w:r>
          </w:p>
        </w:tc>
        <w:tc>
          <w:tcPr>
            <w:tcW w:w="245" w:type="pct"/>
            <w:noWrap w:val="0"/>
            <w:vAlign w:val="center"/>
          </w:tcPr>
          <w:p w14:paraId="0623B02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67.4 </w:t>
            </w:r>
          </w:p>
        </w:tc>
        <w:tc>
          <w:tcPr>
            <w:tcW w:w="245" w:type="pct"/>
            <w:noWrap w:val="0"/>
            <w:vAlign w:val="center"/>
          </w:tcPr>
          <w:p w14:paraId="342CF6D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67.0 </w:t>
            </w:r>
          </w:p>
        </w:tc>
        <w:tc>
          <w:tcPr>
            <w:tcW w:w="245" w:type="pct"/>
            <w:noWrap w:val="0"/>
            <w:vAlign w:val="center"/>
          </w:tcPr>
          <w:p w14:paraId="4796B0A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67.9 </w:t>
            </w:r>
          </w:p>
        </w:tc>
        <w:tc>
          <w:tcPr>
            <w:tcW w:w="249" w:type="pct"/>
            <w:noWrap w:val="0"/>
            <w:vAlign w:val="center"/>
          </w:tcPr>
          <w:p w14:paraId="1FE2FAD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67.4 </w:t>
            </w:r>
          </w:p>
        </w:tc>
        <w:tc>
          <w:tcPr>
            <w:tcW w:w="203" w:type="pct"/>
            <w:vMerge w:val="continue"/>
            <w:noWrap w:val="0"/>
            <w:vAlign w:val="center"/>
          </w:tcPr>
          <w:p w14:paraId="0B4E3C9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324A414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794717D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37.4 </w:t>
            </w:r>
          </w:p>
        </w:tc>
        <w:tc>
          <w:tcPr>
            <w:tcW w:w="202" w:type="pct"/>
            <w:noWrap w:val="0"/>
            <w:vAlign w:val="center"/>
          </w:tcPr>
          <w:p w14:paraId="7D2FC9B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37.0 </w:t>
            </w:r>
          </w:p>
        </w:tc>
        <w:tc>
          <w:tcPr>
            <w:tcW w:w="164" w:type="pct"/>
            <w:noWrap w:val="0"/>
            <w:vAlign w:val="center"/>
          </w:tcPr>
          <w:p w14:paraId="743DE2F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37.9 </w:t>
            </w:r>
          </w:p>
        </w:tc>
        <w:tc>
          <w:tcPr>
            <w:tcW w:w="193" w:type="pct"/>
            <w:noWrap w:val="0"/>
            <w:vAlign w:val="center"/>
          </w:tcPr>
          <w:p w14:paraId="3CA6BB3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37.4 </w:t>
            </w:r>
          </w:p>
        </w:tc>
        <w:tc>
          <w:tcPr>
            <w:tcW w:w="157" w:type="pct"/>
            <w:noWrap w:val="0"/>
            <w:vAlign w:val="center"/>
          </w:tcPr>
          <w:p w14:paraId="1C94573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3718C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3E9E206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27</w:t>
            </w:r>
          </w:p>
        </w:tc>
        <w:tc>
          <w:tcPr>
            <w:tcW w:w="163" w:type="pct"/>
            <w:vMerge w:val="continue"/>
            <w:noWrap w:val="0"/>
            <w:vAlign w:val="center"/>
          </w:tcPr>
          <w:p w14:paraId="16C2A03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23872122">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循环泵（30台）</w:t>
            </w:r>
          </w:p>
        </w:tc>
        <w:tc>
          <w:tcPr>
            <w:tcW w:w="289" w:type="pct"/>
            <w:noWrap w:val="0"/>
            <w:vAlign w:val="center"/>
          </w:tcPr>
          <w:p w14:paraId="41F0F87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99</w:t>
            </w:r>
          </w:p>
        </w:tc>
        <w:tc>
          <w:tcPr>
            <w:tcW w:w="267" w:type="pct"/>
            <w:vMerge w:val="continue"/>
            <w:noWrap w:val="0"/>
            <w:vAlign w:val="center"/>
          </w:tcPr>
          <w:p w14:paraId="621372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4B224255">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48.5</w:t>
            </w:r>
          </w:p>
        </w:tc>
        <w:tc>
          <w:tcPr>
            <w:tcW w:w="212" w:type="pct"/>
            <w:noWrap w:val="0"/>
            <w:vAlign w:val="center"/>
          </w:tcPr>
          <w:p w14:paraId="0240E887">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-11.4</w:t>
            </w:r>
          </w:p>
        </w:tc>
        <w:tc>
          <w:tcPr>
            <w:tcW w:w="212" w:type="pct"/>
            <w:noWrap w:val="0"/>
            <w:vAlign w:val="center"/>
          </w:tcPr>
          <w:p w14:paraId="1DAEBF4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664C10B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16</w:t>
            </w:r>
          </w:p>
        </w:tc>
        <w:tc>
          <w:tcPr>
            <w:tcW w:w="194" w:type="pct"/>
            <w:noWrap w:val="0"/>
            <w:vAlign w:val="center"/>
          </w:tcPr>
          <w:p w14:paraId="7FB579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194" w:type="pct"/>
            <w:noWrap w:val="0"/>
            <w:vAlign w:val="center"/>
          </w:tcPr>
          <w:p w14:paraId="49BEE1D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51</w:t>
            </w:r>
          </w:p>
        </w:tc>
        <w:tc>
          <w:tcPr>
            <w:tcW w:w="198" w:type="pct"/>
            <w:noWrap w:val="0"/>
            <w:vAlign w:val="center"/>
          </w:tcPr>
          <w:p w14:paraId="0E7A2EF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21</w:t>
            </w:r>
          </w:p>
        </w:tc>
        <w:tc>
          <w:tcPr>
            <w:tcW w:w="245" w:type="pct"/>
            <w:noWrap w:val="0"/>
            <w:vAlign w:val="center"/>
          </w:tcPr>
          <w:p w14:paraId="6934D6D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74.9 </w:t>
            </w:r>
          </w:p>
        </w:tc>
        <w:tc>
          <w:tcPr>
            <w:tcW w:w="245" w:type="pct"/>
            <w:noWrap w:val="0"/>
            <w:vAlign w:val="center"/>
          </w:tcPr>
          <w:p w14:paraId="42397EF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73.0 </w:t>
            </w:r>
          </w:p>
        </w:tc>
        <w:tc>
          <w:tcPr>
            <w:tcW w:w="245" w:type="pct"/>
            <w:noWrap w:val="0"/>
            <w:vAlign w:val="center"/>
          </w:tcPr>
          <w:p w14:paraId="44BEEF6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64.8 </w:t>
            </w:r>
          </w:p>
        </w:tc>
        <w:tc>
          <w:tcPr>
            <w:tcW w:w="249" w:type="pct"/>
            <w:noWrap w:val="0"/>
            <w:vAlign w:val="center"/>
          </w:tcPr>
          <w:p w14:paraId="4B49EB2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72.6 </w:t>
            </w:r>
          </w:p>
        </w:tc>
        <w:tc>
          <w:tcPr>
            <w:tcW w:w="203" w:type="pct"/>
            <w:vMerge w:val="continue"/>
            <w:noWrap w:val="0"/>
            <w:vAlign w:val="center"/>
          </w:tcPr>
          <w:p w14:paraId="7134583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5204DE7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25D57B6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44.9 </w:t>
            </w:r>
          </w:p>
        </w:tc>
        <w:tc>
          <w:tcPr>
            <w:tcW w:w="202" w:type="pct"/>
            <w:noWrap w:val="0"/>
            <w:vAlign w:val="center"/>
          </w:tcPr>
          <w:p w14:paraId="228194E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43.0 </w:t>
            </w:r>
          </w:p>
        </w:tc>
        <w:tc>
          <w:tcPr>
            <w:tcW w:w="164" w:type="pct"/>
            <w:noWrap w:val="0"/>
            <w:vAlign w:val="center"/>
          </w:tcPr>
          <w:p w14:paraId="7C48A87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34.8 </w:t>
            </w:r>
          </w:p>
        </w:tc>
        <w:tc>
          <w:tcPr>
            <w:tcW w:w="193" w:type="pct"/>
            <w:noWrap w:val="0"/>
            <w:vAlign w:val="center"/>
          </w:tcPr>
          <w:p w14:paraId="688A4C8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42.6 </w:t>
            </w:r>
          </w:p>
        </w:tc>
        <w:tc>
          <w:tcPr>
            <w:tcW w:w="157" w:type="pct"/>
            <w:noWrap w:val="0"/>
            <w:vAlign w:val="center"/>
          </w:tcPr>
          <w:p w14:paraId="75F1B93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27140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3A3294B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28</w:t>
            </w:r>
          </w:p>
        </w:tc>
        <w:tc>
          <w:tcPr>
            <w:tcW w:w="163" w:type="pct"/>
            <w:vMerge w:val="continue"/>
            <w:noWrap w:val="0"/>
            <w:vAlign w:val="center"/>
          </w:tcPr>
          <w:p w14:paraId="0EBF355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172A9098">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风机</w:t>
            </w:r>
          </w:p>
        </w:tc>
        <w:tc>
          <w:tcPr>
            <w:tcW w:w="289" w:type="pct"/>
            <w:noWrap w:val="0"/>
            <w:vAlign w:val="center"/>
          </w:tcPr>
          <w:p w14:paraId="28728E6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75</w:t>
            </w:r>
          </w:p>
        </w:tc>
        <w:tc>
          <w:tcPr>
            <w:tcW w:w="267" w:type="pct"/>
            <w:vMerge w:val="continue"/>
            <w:noWrap w:val="0"/>
            <w:vAlign w:val="center"/>
          </w:tcPr>
          <w:p w14:paraId="6F9AF78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34661BE3">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51</w:t>
            </w:r>
          </w:p>
        </w:tc>
        <w:tc>
          <w:tcPr>
            <w:tcW w:w="212" w:type="pct"/>
            <w:noWrap w:val="0"/>
            <w:vAlign w:val="center"/>
          </w:tcPr>
          <w:p w14:paraId="7E20F79C">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2.6</w:t>
            </w:r>
          </w:p>
        </w:tc>
        <w:tc>
          <w:tcPr>
            <w:tcW w:w="212" w:type="pct"/>
            <w:noWrap w:val="0"/>
            <w:vAlign w:val="center"/>
          </w:tcPr>
          <w:p w14:paraId="78FDBA4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024F0B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18</w:t>
            </w:r>
          </w:p>
        </w:tc>
        <w:tc>
          <w:tcPr>
            <w:tcW w:w="194" w:type="pct"/>
            <w:noWrap w:val="0"/>
            <w:vAlign w:val="center"/>
          </w:tcPr>
          <w:p w14:paraId="4405119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46</w:t>
            </w:r>
          </w:p>
        </w:tc>
        <w:tc>
          <w:tcPr>
            <w:tcW w:w="194" w:type="pct"/>
            <w:noWrap w:val="0"/>
            <w:vAlign w:val="center"/>
          </w:tcPr>
          <w:p w14:paraId="50D456E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29</w:t>
            </w:r>
          </w:p>
        </w:tc>
        <w:tc>
          <w:tcPr>
            <w:tcW w:w="198" w:type="pct"/>
            <w:noWrap w:val="0"/>
            <w:vAlign w:val="center"/>
          </w:tcPr>
          <w:p w14:paraId="6A47BC7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31</w:t>
            </w:r>
          </w:p>
        </w:tc>
        <w:tc>
          <w:tcPr>
            <w:tcW w:w="245" w:type="pct"/>
            <w:noWrap w:val="0"/>
            <w:vAlign w:val="center"/>
          </w:tcPr>
          <w:p w14:paraId="7760C55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49.9 </w:t>
            </w:r>
          </w:p>
        </w:tc>
        <w:tc>
          <w:tcPr>
            <w:tcW w:w="245" w:type="pct"/>
            <w:noWrap w:val="0"/>
            <w:vAlign w:val="center"/>
          </w:tcPr>
          <w:p w14:paraId="3D7B058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41.7 </w:t>
            </w:r>
          </w:p>
        </w:tc>
        <w:tc>
          <w:tcPr>
            <w:tcW w:w="245" w:type="pct"/>
            <w:noWrap w:val="0"/>
            <w:vAlign w:val="center"/>
          </w:tcPr>
          <w:p w14:paraId="2B4A808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45.8 </w:t>
            </w:r>
          </w:p>
        </w:tc>
        <w:tc>
          <w:tcPr>
            <w:tcW w:w="249" w:type="pct"/>
            <w:noWrap w:val="0"/>
            <w:vAlign w:val="center"/>
          </w:tcPr>
          <w:p w14:paraId="3BFBCBB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45.2 </w:t>
            </w:r>
          </w:p>
        </w:tc>
        <w:tc>
          <w:tcPr>
            <w:tcW w:w="203" w:type="pct"/>
            <w:vMerge w:val="continue"/>
            <w:noWrap w:val="0"/>
            <w:vAlign w:val="center"/>
          </w:tcPr>
          <w:p w14:paraId="4543603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065FD07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2673ED8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19.9 </w:t>
            </w:r>
          </w:p>
        </w:tc>
        <w:tc>
          <w:tcPr>
            <w:tcW w:w="202" w:type="pct"/>
            <w:noWrap w:val="0"/>
            <w:vAlign w:val="center"/>
          </w:tcPr>
          <w:p w14:paraId="4986F5B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11.7 </w:t>
            </w:r>
          </w:p>
        </w:tc>
        <w:tc>
          <w:tcPr>
            <w:tcW w:w="164" w:type="pct"/>
            <w:noWrap w:val="0"/>
            <w:vAlign w:val="center"/>
          </w:tcPr>
          <w:p w14:paraId="77AD148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15.8 </w:t>
            </w:r>
          </w:p>
        </w:tc>
        <w:tc>
          <w:tcPr>
            <w:tcW w:w="193" w:type="pct"/>
            <w:noWrap w:val="0"/>
            <w:vAlign w:val="center"/>
          </w:tcPr>
          <w:p w14:paraId="2230A62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15.2 </w:t>
            </w:r>
          </w:p>
        </w:tc>
        <w:tc>
          <w:tcPr>
            <w:tcW w:w="157" w:type="pct"/>
            <w:noWrap w:val="0"/>
            <w:vAlign w:val="center"/>
          </w:tcPr>
          <w:p w14:paraId="63D0A25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4D12F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7E6588F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29</w:t>
            </w:r>
          </w:p>
        </w:tc>
        <w:tc>
          <w:tcPr>
            <w:tcW w:w="163" w:type="pct"/>
            <w:vMerge w:val="continue"/>
            <w:noWrap w:val="0"/>
            <w:vAlign w:val="center"/>
          </w:tcPr>
          <w:p w14:paraId="44E0DEE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4858683F">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风机</w:t>
            </w:r>
          </w:p>
        </w:tc>
        <w:tc>
          <w:tcPr>
            <w:tcW w:w="289" w:type="pct"/>
            <w:noWrap w:val="0"/>
            <w:vAlign w:val="center"/>
          </w:tcPr>
          <w:p w14:paraId="33DC2CB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75</w:t>
            </w:r>
          </w:p>
        </w:tc>
        <w:tc>
          <w:tcPr>
            <w:tcW w:w="267" w:type="pct"/>
            <w:vMerge w:val="continue"/>
            <w:noWrap w:val="0"/>
            <w:vAlign w:val="center"/>
          </w:tcPr>
          <w:p w14:paraId="2AB680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7F6BF4FB">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63.1</w:t>
            </w:r>
          </w:p>
        </w:tc>
        <w:tc>
          <w:tcPr>
            <w:tcW w:w="212" w:type="pct"/>
            <w:noWrap w:val="0"/>
            <w:vAlign w:val="center"/>
          </w:tcPr>
          <w:p w14:paraId="41BC8750">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-16.5</w:t>
            </w:r>
          </w:p>
        </w:tc>
        <w:tc>
          <w:tcPr>
            <w:tcW w:w="212" w:type="pct"/>
            <w:noWrap w:val="0"/>
            <w:vAlign w:val="center"/>
          </w:tcPr>
          <w:p w14:paraId="19E987B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366B9D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19</w:t>
            </w:r>
          </w:p>
        </w:tc>
        <w:tc>
          <w:tcPr>
            <w:tcW w:w="194" w:type="pct"/>
            <w:noWrap w:val="0"/>
            <w:vAlign w:val="center"/>
          </w:tcPr>
          <w:p w14:paraId="1838EDB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42</w:t>
            </w:r>
          </w:p>
        </w:tc>
        <w:tc>
          <w:tcPr>
            <w:tcW w:w="194" w:type="pct"/>
            <w:noWrap w:val="0"/>
            <w:vAlign w:val="center"/>
          </w:tcPr>
          <w:p w14:paraId="6B626FC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30</w:t>
            </w:r>
          </w:p>
        </w:tc>
        <w:tc>
          <w:tcPr>
            <w:tcW w:w="198" w:type="pct"/>
            <w:noWrap w:val="0"/>
            <w:vAlign w:val="center"/>
          </w:tcPr>
          <w:p w14:paraId="54E9A5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34</w:t>
            </w:r>
          </w:p>
        </w:tc>
        <w:tc>
          <w:tcPr>
            <w:tcW w:w="245" w:type="pct"/>
            <w:noWrap w:val="0"/>
            <w:vAlign w:val="center"/>
          </w:tcPr>
          <w:p w14:paraId="3A9A396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49.4 </w:t>
            </w:r>
          </w:p>
        </w:tc>
        <w:tc>
          <w:tcPr>
            <w:tcW w:w="245" w:type="pct"/>
            <w:noWrap w:val="0"/>
            <w:vAlign w:val="center"/>
          </w:tcPr>
          <w:p w14:paraId="101499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42.5 </w:t>
            </w:r>
          </w:p>
        </w:tc>
        <w:tc>
          <w:tcPr>
            <w:tcW w:w="245" w:type="pct"/>
            <w:noWrap w:val="0"/>
            <w:vAlign w:val="center"/>
          </w:tcPr>
          <w:p w14:paraId="7D6173F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45.5 </w:t>
            </w:r>
          </w:p>
        </w:tc>
        <w:tc>
          <w:tcPr>
            <w:tcW w:w="249" w:type="pct"/>
            <w:noWrap w:val="0"/>
            <w:vAlign w:val="center"/>
          </w:tcPr>
          <w:p w14:paraId="3447A8A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44.4 </w:t>
            </w:r>
          </w:p>
        </w:tc>
        <w:tc>
          <w:tcPr>
            <w:tcW w:w="203" w:type="pct"/>
            <w:vMerge w:val="continue"/>
            <w:noWrap w:val="0"/>
            <w:vAlign w:val="center"/>
          </w:tcPr>
          <w:p w14:paraId="05FDF16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3774594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150D568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19.4 </w:t>
            </w:r>
          </w:p>
        </w:tc>
        <w:tc>
          <w:tcPr>
            <w:tcW w:w="202" w:type="pct"/>
            <w:noWrap w:val="0"/>
            <w:vAlign w:val="center"/>
          </w:tcPr>
          <w:p w14:paraId="091406A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12.5 </w:t>
            </w:r>
          </w:p>
        </w:tc>
        <w:tc>
          <w:tcPr>
            <w:tcW w:w="164" w:type="pct"/>
            <w:noWrap w:val="0"/>
            <w:vAlign w:val="center"/>
          </w:tcPr>
          <w:p w14:paraId="073F1A0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15.5 </w:t>
            </w:r>
          </w:p>
        </w:tc>
        <w:tc>
          <w:tcPr>
            <w:tcW w:w="193" w:type="pct"/>
            <w:noWrap w:val="0"/>
            <w:vAlign w:val="center"/>
          </w:tcPr>
          <w:p w14:paraId="3156BE1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14.4 </w:t>
            </w:r>
          </w:p>
        </w:tc>
        <w:tc>
          <w:tcPr>
            <w:tcW w:w="157" w:type="pct"/>
            <w:noWrap w:val="0"/>
            <w:vAlign w:val="center"/>
          </w:tcPr>
          <w:p w14:paraId="1A0A37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13092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6DE99A0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30</w:t>
            </w:r>
          </w:p>
        </w:tc>
        <w:tc>
          <w:tcPr>
            <w:tcW w:w="163" w:type="pct"/>
            <w:vMerge w:val="continue"/>
            <w:noWrap w:val="0"/>
            <w:vAlign w:val="center"/>
          </w:tcPr>
          <w:p w14:paraId="558D231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4A0EF1F1">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压滤机</w:t>
            </w:r>
          </w:p>
        </w:tc>
        <w:tc>
          <w:tcPr>
            <w:tcW w:w="289" w:type="pct"/>
            <w:noWrap w:val="0"/>
            <w:vAlign w:val="center"/>
          </w:tcPr>
          <w:p w14:paraId="060FD57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continue"/>
            <w:noWrap w:val="0"/>
            <w:vAlign w:val="center"/>
          </w:tcPr>
          <w:p w14:paraId="154E26E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32ECE453">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61.8</w:t>
            </w:r>
          </w:p>
        </w:tc>
        <w:tc>
          <w:tcPr>
            <w:tcW w:w="212" w:type="pct"/>
            <w:noWrap w:val="0"/>
            <w:vAlign w:val="center"/>
          </w:tcPr>
          <w:p w14:paraId="5AEC0044">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-1.9</w:t>
            </w:r>
          </w:p>
        </w:tc>
        <w:tc>
          <w:tcPr>
            <w:tcW w:w="212" w:type="pct"/>
            <w:noWrap w:val="0"/>
            <w:vAlign w:val="center"/>
          </w:tcPr>
          <w:p w14:paraId="2CA359F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5ABA76C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16</w:t>
            </w:r>
          </w:p>
        </w:tc>
        <w:tc>
          <w:tcPr>
            <w:tcW w:w="194" w:type="pct"/>
            <w:noWrap w:val="0"/>
            <w:vAlign w:val="center"/>
          </w:tcPr>
          <w:p w14:paraId="46A8626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36</w:t>
            </w:r>
          </w:p>
        </w:tc>
        <w:tc>
          <w:tcPr>
            <w:tcW w:w="194" w:type="pct"/>
            <w:noWrap w:val="0"/>
            <w:vAlign w:val="center"/>
          </w:tcPr>
          <w:p w14:paraId="4D30DD3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21</w:t>
            </w:r>
          </w:p>
        </w:tc>
        <w:tc>
          <w:tcPr>
            <w:tcW w:w="198" w:type="pct"/>
            <w:noWrap w:val="0"/>
            <w:vAlign w:val="center"/>
          </w:tcPr>
          <w:p w14:paraId="6ABD99D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40</w:t>
            </w:r>
          </w:p>
        </w:tc>
        <w:tc>
          <w:tcPr>
            <w:tcW w:w="245" w:type="pct"/>
            <w:noWrap w:val="0"/>
            <w:vAlign w:val="center"/>
          </w:tcPr>
          <w:p w14:paraId="35DE641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55.9 </w:t>
            </w:r>
          </w:p>
        </w:tc>
        <w:tc>
          <w:tcPr>
            <w:tcW w:w="245" w:type="pct"/>
            <w:noWrap w:val="0"/>
            <w:vAlign w:val="center"/>
          </w:tcPr>
          <w:p w14:paraId="139E4C5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48.9 </w:t>
            </w:r>
          </w:p>
        </w:tc>
        <w:tc>
          <w:tcPr>
            <w:tcW w:w="245" w:type="pct"/>
            <w:noWrap w:val="0"/>
            <w:vAlign w:val="center"/>
          </w:tcPr>
          <w:p w14:paraId="68D8A38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53.6 </w:t>
            </w:r>
          </w:p>
        </w:tc>
        <w:tc>
          <w:tcPr>
            <w:tcW w:w="249" w:type="pct"/>
            <w:noWrap w:val="0"/>
            <w:vAlign w:val="center"/>
          </w:tcPr>
          <w:p w14:paraId="611FD4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48.0 </w:t>
            </w:r>
          </w:p>
        </w:tc>
        <w:tc>
          <w:tcPr>
            <w:tcW w:w="203" w:type="pct"/>
            <w:vMerge w:val="continue"/>
            <w:noWrap w:val="0"/>
            <w:vAlign w:val="center"/>
          </w:tcPr>
          <w:p w14:paraId="12BA199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276BF96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3CC8B74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25.9 </w:t>
            </w:r>
          </w:p>
        </w:tc>
        <w:tc>
          <w:tcPr>
            <w:tcW w:w="202" w:type="pct"/>
            <w:noWrap w:val="0"/>
            <w:vAlign w:val="center"/>
          </w:tcPr>
          <w:p w14:paraId="3AE120A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18.9 </w:t>
            </w:r>
          </w:p>
        </w:tc>
        <w:tc>
          <w:tcPr>
            <w:tcW w:w="164" w:type="pct"/>
            <w:noWrap w:val="0"/>
            <w:vAlign w:val="center"/>
          </w:tcPr>
          <w:p w14:paraId="7926B1F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23.6 </w:t>
            </w:r>
          </w:p>
        </w:tc>
        <w:tc>
          <w:tcPr>
            <w:tcW w:w="193" w:type="pct"/>
            <w:noWrap w:val="0"/>
            <w:vAlign w:val="center"/>
          </w:tcPr>
          <w:p w14:paraId="548B542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18.0 </w:t>
            </w:r>
          </w:p>
        </w:tc>
        <w:tc>
          <w:tcPr>
            <w:tcW w:w="157" w:type="pct"/>
            <w:noWrap w:val="0"/>
            <w:vAlign w:val="center"/>
          </w:tcPr>
          <w:p w14:paraId="21185B3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497D6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426D851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31</w:t>
            </w:r>
          </w:p>
        </w:tc>
        <w:tc>
          <w:tcPr>
            <w:tcW w:w="163" w:type="pct"/>
            <w:vMerge w:val="continue"/>
            <w:noWrap w:val="0"/>
            <w:vAlign w:val="center"/>
          </w:tcPr>
          <w:p w14:paraId="3314C63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1EA35640">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抽滤机</w:t>
            </w:r>
          </w:p>
        </w:tc>
        <w:tc>
          <w:tcPr>
            <w:tcW w:w="289" w:type="pct"/>
            <w:noWrap w:val="0"/>
            <w:vAlign w:val="center"/>
          </w:tcPr>
          <w:p w14:paraId="1222C28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85</w:t>
            </w:r>
          </w:p>
        </w:tc>
        <w:tc>
          <w:tcPr>
            <w:tcW w:w="267" w:type="pct"/>
            <w:vMerge w:val="continue"/>
            <w:noWrap w:val="0"/>
            <w:vAlign w:val="center"/>
          </w:tcPr>
          <w:p w14:paraId="36F35A1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4A46EDCD">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72.6</w:t>
            </w:r>
          </w:p>
        </w:tc>
        <w:tc>
          <w:tcPr>
            <w:tcW w:w="212" w:type="pct"/>
            <w:noWrap w:val="0"/>
            <w:vAlign w:val="center"/>
          </w:tcPr>
          <w:p w14:paraId="64781562">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8.3</w:t>
            </w:r>
          </w:p>
        </w:tc>
        <w:tc>
          <w:tcPr>
            <w:tcW w:w="212" w:type="pct"/>
            <w:noWrap w:val="0"/>
            <w:vAlign w:val="center"/>
          </w:tcPr>
          <w:p w14:paraId="43B9FB9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6F496C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10</w:t>
            </w:r>
          </w:p>
        </w:tc>
        <w:tc>
          <w:tcPr>
            <w:tcW w:w="194" w:type="pct"/>
            <w:noWrap w:val="0"/>
            <w:vAlign w:val="center"/>
          </w:tcPr>
          <w:p w14:paraId="55BE4CE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19</w:t>
            </w:r>
          </w:p>
        </w:tc>
        <w:tc>
          <w:tcPr>
            <w:tcW w:w="194" w:type="pct"/>
            <w:noWrap w:val="0"/>
            <w:vAlign w:val="center"/>
          </w:tcPr>
          <w:p w14:paraId="31C4803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26</w:t>
            </w:r>
          </w:p>
        </w:tc>
        <w:tc>
          <w:tcPr>
            <w:tcW w:w="198" w:type="pct"/>
            <w:noWrap w:val="0"/>
            <w:vAlign w:val="center"/>
          </w:tcPr>
          <w:p w14:paraId="217DC3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58</w:t>
            </w:r>
          </w:p>
        </w:tc>
        <w:tc>
          <w:tcPr>
            <w:tcW w:w="245" w:type="pct"/>
            <w:noWrap w:val="0"/>
            <w:vAlign w:val="center"/>
          </w:tcPr>
          <w:p w14:paraId="40B1C73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65.0 </w:t>
            </w:r>
          </w:p>
        </w:tc>
        <w:tc>
          <w:tcPr>
            <w:tcW w:w="245" w:type="pct"/>
            <w:noWrap w:val="0"/>
            <w:vAlign w:val="center"/>
          </w:tcPr>
          <w:p w14:paraId="66C267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59.4 </w:t>
            </w:r>
          </w:p>
        </w:tc>
        <w:tc>
          <w:tcPr>
            <w:tcW w:w="245" w:type="pct"/>
            <w:noWrap w:val="0"/>
            <w:vAlign w:val="center"/>
          </w:tcPr>
          <w:p w14:paraId="40053DD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56.7 </w:t>
            </w:r>
          </w:p>
        </w:tc>
        <w:tc>
          <w:tcPr>
            <w:tcW w:w="249" w:type="pct"/>
            <w:noWrap w:val="0"/>
            <w:vAlign w:val="center"/>
          </w:tcPr>
          <w:p w14:paraId="485F54C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49.7 </w:t>
            </w:r>
          </w:p>
        </w:tc>
        <w:tc>
          <w:tcPr>
            <w:tcW w:w="203" w:type="pct"/>
            <w:vMerge w:val="continue"/>
            <w:noWrap w:val="0"/>
            <w:vAlign w:val="center"/>
          </w:tcPr>
          <w:p w14:paraId="76351AD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5EAB9BE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6ACE87E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35.0 </w:t>
            </w:r>
          </w:p>
        </w:tc>
        <w:tc>
          <w:tcPr>
            <w:tcW w:w="202" w:type="pct"/>
            <w:noWrap w:val="0"/>
            <w:vAlign w:val="center"/>
          </w:tcPr>
          <w:p w14:paraId="270A30C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29.4 </w:t>
            </w:r>
          </w:p>
        </w:tc>
        <w:tc>
          <w:tcPr>
            <w:tcW w:w="164" w:type="pct"/>
            <w:noWrap w:val="0"/>
            <w:vAlign w:val="center"/>
          </w:tcPr>
          <w:p w14:paraId="380F4A2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26.7 </w:t>
            </w:r>
          </w:p>
        </w:tc>
        <w:tc>
          <w:tcPr>
            <w:tcW w:w="193" w:type="pct"/>
            <w:noWrap w:val="0"/>
            <w:vAlign w:val="center"/>
          </w:tcPr>
          <w:p w14:paraId="74685D1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19.7 </w:t>
            </w:r>
          </w:p>
        </w:tc>
        <w:tc>
          <w:tcPr>
            <w:tcW w:w="157" w:type="pct"/>
            <w:noWrap w:val="0"/>
            <w:vAlign w:val="center"/>
          </w:tcPr>
          <w:p w14:paraId="410117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6B0D4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02F3D15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32</w:t>
            </w:r>
          </w:p>
        </w:tc>
        <w:tc>
          <w:tcPr>
            <w:tcW w:w="163" w:type="pct"/>
            <w:vMerge w:val="continue"/>
            <w:noWrap w:val="0"/>
            <w:vAlign w:val="center"/>
          </w:tcPr>
          <w:p w14:paraId="5951092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01D926E8">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搅拌设备（40台）</w:t>
            </w:r>
          </w:p>
        </w:tc>
        <w:tc>
          <w:tcPr>
            <w:tcW w:w="289" w:type="pct"/>
            <w:noWrap w:val="0"/>
            <w:vAlign w:val="center"/>
          </w:tcPr>
          <w:p w14:paraId="473C2EC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91</w:t>
            </w:r>
          </w:p>
        </w:tc>
        <w:tc>
          <w:tcPr>
            <w:tcW w:w="267" w:type="pct"/>
            <w:vMerge w:val="continue"/>
            <w:noWrap w:val="0"/>
            <w:vAlign w:val="center"/>
          </w:tcPr>
          <w:p w14:paraId="591DDBF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4379A5EA">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76.5</w:t>
            </w:r>
          </w:p>
        </w:tc>
        <w:tc>
          <w:tcPr>
            <w:tcW w:w="212" w:type="pct"/>
            <w:noWrap w:val="0"/>
            <w:vAlign w:val="center"/>
          </w:tcPr>
          <w:p w14:paraId="03046D57">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-3.8</w:t>
            </w:r>
          </w:p>
        </w:tc>
        <w:tc>
          <w:tcPr>
            <w:tcW w:w="212" w:type="pct"/>
            <w:noWrap w:val="0"/>
            <w:vAlign w:val="center"/>
          </w:tcPr>
          <w:p w14:paraId="5E2828D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0ABA5B1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12</w:t>
            </w:r>
          </w:p>
        </w:tc>
        <w:tc>
          <w:tcPr>
            <w:tcW w:w="194" w:type="pct"/>
            <w:noWrap w:val="0"/>
            <w:vAlign w:val="center"/>
          </w:tcPr>
          <w:p w14:paraId="781CEF0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56</w:t>
            </w:r>
          </w:p>
        </w:tc>
        <w:tc>
          <w:tcPr>
            <w:tcW w:w="194" w:type="pct"/>
            <w:noWrap w:val="0"/>
            <w:vAlign w:val="center"/>
          </w:tcPr>
          <w:p w14:paraId="3BFCDF9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25</w:t>
            </w:r>
          </w:p>
        </w:tc>
        <w:tc>
          <w:tcPr>
            <w:tcW w:w="198" w:type="pct"/>
            <w:noWrap w:val="0"/>
            <w:vAlign w:val="center"/>
          </w:tcPr>
          <w:p w14:paraId="7ACC8B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245" w:type="pct"/>
            <w:noWrap w:val="0"/>
            <w:vAlign w:val="center"/>
          </w:tcPr>
          <w:p w14:paraId="1BEC61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69.4 </w:t>
            </w:r>
          </w:p>
        </w:tc>
        <w:tc>
          <w:tcPr>
            <w:tcW w:w="245" w:type="pct"/>
            <w:noWrap w:val="0"/>
            <w:vAlign w:val="center"/>
          </w:tcPr>
          <w:p w14:paraId="61BBF08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56.0 </w:t>
            </w:r>
          </w:p>
        </w:tc>
        <w:tc>
          <w:tcPr>
            <w:tcW w:w="245" w:type="pct"/>
            <w:noWrap w:val="0"/>
            <w:vAlign w:val="center"/>
          </w:tcPr>
          <w:p w14:paraId="2ED8D17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63.0 </w:t>
            </w:r>
          </w:p>
        </w:tc>
        <w:tc>
          <w:tcPr>
            <w:tcW w:w="249" w:type="pct"/>
            <w:noWrap w:val="0"/>
            <w:vAlign w:val="center"/>
          </w:tcPr>
          <w:p w14:paraId="10B2EEA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65.0 </w:t>
            </w:r>
          </w:p>
        </w:tc>
        <w:tc>
          <w:tcPr>
            <w:tcW w:w="203" w:type="pct"/>
            <w:vMerge w:val="continue"/>
            <w:noWrap w:val="0"/>
            <w:vAlign w:val="center"/>
          </w:tcPr>
          <w:p w14:paraId="7043FDF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4AF0C30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233F6B3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39.4 </w:t>
            </w:r>
          </w:p>
        </w:tc>
        <w:tc>
          <w:tcPr>
            <w:tcW w:w="202" w:type="pct"/>
            <w:noWrap w:val="0"/>
            <w:vAlign w:val="center"/>
          </w:tcPr>
          <w:p w14:paraId="24B8872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26.0 </w:t>
            </w:r>
          </w:p>
        </w:tc>
        <w:tc>
          <w:tcPr>
            <w:tcW w:w="164" w:type="pct"/>
            <w:noWrap w:val="0"/>
            <w:vAlign w:val="center"/>
          </w:tcPr>
          <w:p w14:paraId="637866F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33.0 </w:t>
            </w:r>
          </w:p>
        </w:tc>
        <w:tc>
          <w:tcPr>
            <w:tcW w:w="193" w:type="pct"/>
            <w:noWrap w:val="0"/>
            <w:vAlign w:val="center"/>
          </w:tcPr>
          <w:p w14:paraId="13A086F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35.0 </w:t>
            </w:r>
          </w:p>
        </w:tc>
        <w:tc>
          <w:tcPr>
            <w:tcW w:w="157" w:type="pct"/>
            <w:noWrap w:val="0"/>
            <w:vAlign w:val="center"/>
          </w:tcPr>
          <w:p w14:paraId="7D3E3DE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64299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4E7E5A8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33</w:t>
            </w:r>
          </w:p>
        </w:tc>
        <w:tc>
          <w:tcPr>
            <w:tcW w:w="163" w:type="pct"/>
            <w:vMerge w:val="continue"/>
            <w:noWrap w:val="0"/>
            <w:vAlign w:val="center"/>
          </w:tcPr>
          <w:p w14:paraId="48FBDDA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52765FC1">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烘干机</w:t>
            </w:r>
          </w:p>
        </w:tc>
        <w:tc>
          <w:tcPr>
            <w:tcW w:w="289" w:type="pct"/>
            <w:noWrap w:val="0"/>
            <w:vAlign w:val="center"/>
          </w:tcPr>
          <w:p w14:paraId="724B870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85</w:t>
            </w:r>
          </w:p>
        </w:tc>
        <w:tc>
          <w:tcPr>
            <w:tcW w:w="267" w:type="pct"/>
            <w:vMerge w:val="continue"/>
            <w:noWrap w:val="0"/>
            <w:vAlign w:val="center"/>
          </w:tcPr>
          <w:p w14:paraId="6E31CB1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4536FBAC">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81.6</w:t>
            </w:r>
          </w:p>
        </w:tc>
        <w:tc>
          <w:tcPr>
            <w:tcW w:w="212" w:type="pct"/>
            <w:noWrap w:val="0"/>
            <w:vAlign w:val="center"/>
          </w:tcPr>
          <w:p w14:paraId="513D5B04">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11.5</w:t>
            </w:r>
          </w:p>
        </w:tc>
        <w:tc>
          <w:tcPr>
            <w:tcW w:w="212" w:type="pct"/>
            <w:noWrap w:val="0"/>
            <w:vAlign w:val="center"/>
          </w:tcPr>
          <w:p w14:paraId="1A8062D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27B157A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13</w:t>
            </w:r>
          </w:p>
        </w:tc>
        <w:tc>
          <w:tcPr>
            <w:tcW w:w="194" w:type="pct"/>
            <w:noWrap w:val="0"/>
            <w:vAlign w:val="center"/>
          </w:tcPr>
          <w:p w14:paraId="0C9F172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12</w:t>
            </w:r>
          </w:p>
        </w:tc>
        <w:tc>
          <w:tcPr>
            <w:tcW w:w="194" w:type="pct"/>
            <w:noWrap w:val="0"/>
            <w:vAlign w:val="center"/>
          </w:tcPr>
          <w:p w14:paraId="6EBBF22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63</w:t>
            </w:r>
          </w:p>
        </w:tc>
        <w:tc>
          <w:tcPr>
            <w:tcW w:w="198" w:type="pct"/>
            <w:noWrap w:val="0"/>
            <w:vAlign w:val="center"/>
          </w:tcPr>
          <w:p w14:paraId="4DD0EDF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28</w:t>
            </w:r>
          </w:p>
        </w:tc>
        <w:tc>
          <w:tcPr>
            <w:tcW w:w="245" w:type="pct"/>
            <w:noWrap w:val="0"/>
            <w:vAlign w:val="center"/>
          </w:tcPr>
          <w:p w14:paraId="21A442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62.7 </w:t>
            </w:r>
          </w:p>
        </w:tc>
        <w:tc>
          <w:tcPr>
            <w:tcW w:w="245" w:type="pct"/>
            <w:noWrap w:val="0"/>
            <w:vAlign w:val="center"/>
          </w:tcPr>
          <w:p w14:paraId="350E3A6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63.4 </w:t>
            </w:r>
          </w:p>
        </w:tc>
        <w:tc>
          <w:tcPr>
            <w:tcW w:w="245" w:type="pct"/>
            <w:noWrap w:val="0"/>
            <w:vAlign w:val="center"/>
          </w:tcPr>
          <w:p w14:paraId="35A4C40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49.0 </w:t>
            </w:r>
          </w:p>
        </w:tc>
        <w:tc>
          <w:tcPr>
            <w:tcW w:w="249" w:type="pct"/>
            <w:noWrap w:val="0"/>
            <w:vAlign w:val="center"/>
          </w:tcPr>
          <w:p w14:paraId="0329A6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56.1 </w:t>
            </w:r>
          </w:p>
        </w:tc>
        <w:tc>
          <w:tcPr>
            <w:tcW w:w="203" w:type="pct"/>
            <w:vMerge w:val="continue"/>
            <w:noWrap w:val="0"/>
            <w:vAlign w:val="center"/>
          </w:tcPr>
          <w:p w14:paraId="3B02E39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7A7E5CD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24FFBFA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32.7 </w:t>
            </w:r>
          </w:p>
        </w:tc>
        <w:tc>
          <w:tcPr>
            <w:tcW w:w="202" w:type="pct"/>
            <w:noWrap w:val="0"/>
            <w:vAlign w:val="center"/>
          </w:tcPr>
          <w:p w14:paraId="61B9437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33.4 </w:t>
            </w:r>
          </w:p>
        </w:tc>
        <w:tc>
          <w:tcPr>
            <w:tcW w:w="164" w:type="pct"/>
            <w:noWrap w:val="0"/>
            <w:vAlign w:val="center"/>
          </w:tcPr>
          <w:p w14:paraId="5CFF019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19.0 </w:t>
            </w:r>
          </w:p>
        </w:tc>
        <w:tc>
          <w:tcPr>
            <w:tcW w:w="193" w:type="pct"/>
            <w:noWrap w:val="0"/>
            <w:vAlign w:val="center"/>
          </w:tcPr>
          <w:p w14:paraId="4060C9B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26.1 </w:t>
            </w:r>
          </w:p>
        </w:tc>
        <w:tc>
          <w:tcPr>
            <w:tcW w:w="157" w:type="pct"/>
            <w:noWrap w:val="0"/>
            <w:vAlign w:val="center"/>
          </w:tcPr>
          <w:p w14:paraId="048A1C0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2E4E2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08402E8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34</w:t>
            </w:r>
          </w:p>
        </w:tc>
        <w:tc>
          <w:tcPr>
            <w:tcW w:w="163" w:type="pct"/>
            <w:vMerge w:val="continue"/>
            <w:noWrap w:val="0"/>
            <w:vAlign w:val="center"/>
          </w:tcPr>
          <w:p w14:paraId="386CA96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321C6FA3">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default" w:ascii="Times New Roman" w:hAnsi="Times New Roman" w:eastAsia="宋体" w:cs="Times New Roman"/>
                <w:color w:val="auto"/>
                <w:sz w:val="21"/>
                <w:szCs w:val="21"/>
                <w:highlight w:val="none"/>
                <w:u w:val="none"/>
                <w:lang w:val="en-US" w:eastAsia="zh-CN"/>
              </w:rPr>
              <w:t>闪蒸干燥机</w:t>
            </w:r>
          </w:p>
        </w:tc>
        <w:tc>
          <w:tcPr>
            <w:tcW w:w="289" w:type="pct"/>
            <w:noWrap w:val="0"/>
            <w:vAlign w:val="center"/>
          </w:tcPr>
          <w:p w14:paraId="247A506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continue"/>
            <w:noWrap w:val="0"/>
            <w:vAlign w:val="center"/>
          </w:tcPr>
          <w:p w14:paraId="0ECE0D1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127F6648">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86</w:t>
            </w:r>
          </w:p>
        </w:tc>
        <w:tc>
          <w:tcPr>
            <w:tcW w:w="212" w:type="pct"/>
            <w:noWrap w:val="0"/>
            <w:vAlign w:val="center"/>
          </w:tcPr>
          <w:p w14:paraId="7F52C997">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default" w:ascii="Times New Roman" w:hAnsi="Times New Roman" w:eastAsia="宋体" w:cs="Times New Roman"/>
                <w:color w:val="auto"/>
                <w:sz w:val="21"/>
                <w:szCs w:val="21"/>
                <w:highlight w:val="none"/>
                <w:u w:val="none"/>
                <w:lang w:val="en-US" w:eastAsia="zh-CN"/>
              </w:rPr>
              <w:t>0</w:t>
            </w:r>
          </w:p>
        </w:tc>
        <w:tc>
          <w:tcPr>
            <w:tcW w:w="212" w:type="pct"/>
            <w:noWrap w:val="0"/>
            <w:vAlign w:val="center"/>
          </w:tcPr>
          <w:p w14:paraId="6960EE5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03ABEDF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2665403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12</w:t>
            </w:r>
          </w:p>
        </w:tc>
        <w:tc>
          <w:tcPr>
            <w:tcW w:w="194" w:type="pct"/>
            <w:noWrap w:val="0"/>
            <w:vAlign w:val="center"/>
          </w:tcPr>
          <w:p w14:paraId="6DFCEC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16</w:t>
            </w:r>
          </w:p>
        </w:tc>
        <w:tc>
          <w:tcPr>
            <w:tcW w:w="198" w:type="pct"/>
            <w:noWrap w:val="0"/>
            <w:vAlign w:val="center"/>
          </w:tcPr>
          <w:p w14:paraId="66C3D1A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55</w:t>
            </w:r>
          </w:p>
        </w:tc>
        <w:tc>
          <w:tcPr>
            <w:tcW w:w="245" w:type="pct"/>
            <w:noWrap w:val="0"/>
            <w:vAlign w:val="center"/>
          </w:tcPr>
          <w:p w14:paraId="731B077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56.5 </w:t>
            </w:r>
          </w:p>
        </w:tc>
        <w:tc>
          <w:tcPr>
            <w:tcW w:w="245" w:type="pct"/>
            <w:noWrap w:val="0"/>
            <w:vAlign w:val="center"/>
          </w:tcPr>
          <w:p w14:paraId="2E8FC69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58.4 </w:t>
            </w:r>
          </w:p>
        </w:tc>
        <w:tc>
          <w:tcPr>
            <w:tcW w:w="245" w:type="pct"/>
            <w:noWrap w:val="0"/>
            <w:vAlign w:val="center"/>
          </w:tcPr>
          <w:p w14:paraId="1340886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55.9 </w:t>
            </w:r>
          </w:p>
        </w:tc>
        <w:tc>
          <w:tcPr>
            <w:tcW w:w="249" w:type="pct"/>
            <w:noWrap w:val="0"/>
            <w:vAlign w:val="center"/>
          </w:tcPr>
          <w:p w14:paraId="3098705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45.2 </w:t>
            </w:r>
          </w:p>
        </w:tc>
        <w:tc>
          <w:tcPr>
            <w:tcW w:w="203" w:type="pct"/>
            <w:vMerge w:val="continue"/>
            <w:noWrap w:val="0"/>
            <w:vAlign w:val="center"/>
          </w:tcPr>
          <w:p w14:paraId="4CE7A5E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1DB4057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1313F84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26.5 </w:t>
            </w:r>
          </w:p>
        </w:tc>
        <w:tc>
          <w:tcPr>
            <w:tcW w:w="202" w:type="pct"/>
            <w:noWrap w:val="0"/>
            <w:vAlign w:val="center"/>
          </w:tcPr>
          <w:p w14:paraId="6E14AD7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28.4 </w:t>
            </w:r>
          </w:p>
        </w:tc>
        <w:tc>
          <w:tcPr>
            <w:tcW w:w="164" w:type="pct"/>
            <w:noWrap w:val="0"/>
            <w:vAlign w:val="center"/>
          </w:tcPr>
          <w:p w14:paraId="0662DBD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25.9 </w:t>
            </w:r>
          </w:p>
        </w:tc>
        <w:tc>
          <w:tcPr>
            <w:tcW w:w="193" w:type="pct"/>
            <w:noWrap w:val="0"/>
            <w:vAlign w:val="center"/>
          </w:tcPr>
          <w:p w14:paraId="176384F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15.2 </w:t>
            </w:r>
          </w:p>
        </w:tc>
        <w:tc>
          <w:tcPr>
            <w:tcW w:w="157" w:type="pct"/>
            <w:noWrap w:val="0"/>
            <w:vAlign w:val="center"/>
          </w:tcPr>
          <w:p w14:paraId="0145E36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56380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2EA3FE6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35</w:t>
            </w:r>
          </w:p>
        </w:tc>
        <w:tc>
          <w:tcPr>
            <w:tcW w:w="163" w:type="pct"/>
            <w:vMerge w:val="continue"/>
            <w:noWrap w:val="0"/>
            <w:vAlign w:val="center"/>
          </w:tcPr>
          <w:p w14:paraId="3DE10A9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543DE3D7">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eastAsia" w:ascii="Times New Roman" w:hAnsi="Times New Roman" w:eastAsia="宋体" w:cs="Times New Roman"/>
                <w:color w:val="auto"/>
                <w:sz w:val="21"/>
                <w:szCs w:val="21"/>
                <w:highlight w:val="none"/>
                <w:u w:val="none"/>
                <w:lang w:val="en-US" w:eastAsia="zh-CN"/>
              </w:rPr>
              <w:t>空压机</w:t>
            </w:r>
          </w:p>
        </w:tc>
        <w:tc>
          <w:tcPr>
            <w:tcW w:w="289" w:type="pct"/>
            <w:noWrap w:val="0"/>
            <w:vAlign w:val="center"/>
          </w:tcPr>
          <w:p w14:paraId="2829B33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continue"/>
            <w:noWrap w:val="0"/>
            <w:vAlign w:val="center"/>
          </w:tcPr>
          <w:p w14:paraId="1B71C3C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321BA366">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24.6</w:t>
            </w:r>
          </w:p>
        </w:tc>
        <w:tc>
          <w:tcPr>
            <w:tcW w:w="212" w:type="pct"/>
            <w:noWrap w:val="0"/>
            <w:vAlign w:val="center"/>
          </w:tcPr>
          <w:p w14:paraId="3CCB7505">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-8.3</w:t>
            </w:r>
          </w:p>
        </w:tc>
        <w:tc>
          <w:tcPr>
            <w:tcW w:w="212" w:type="pct"/>
            <w:noWrap w:val="0"/>
            <w:vAlign w:val="center"/>
          </w:tcPr>
          <w:p w14:paraId="6AF4FF3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6C6D2C1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194" w:type="pct"/>
            <w:noWrap w:val="0"/>
            <w:vAlign w:val="center"/>
          </w:tcPr>
          <w:p w14:paraId="1F50068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6BECC12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8</w:t>
            </w:r>
          </w:p>
        </w:tc>
        <w:tc>
          <w:tcPr>
            <w:tcW w:w="198" w:type="pct"/>
            <w:noWrap w:val="0"/>
            <w:vAlign w:val="center"/>
          </w:tcPr>
          <w:p w14:paraId="26C0673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14</w:t>
            </w:r>
          </w:p>
        </w:tc>
        <w:tc>
          <w:tcPr>
            <w:tcW w:w="245" w:type="pct"/>
            <w:noWrap w:val="0"/>
            <w:vAlign w:val="center"/>
          </w:tcPr>
          <w:p w14:paraId="22BAAC4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54.0 </w:t>
            </w:r>
          </w:p>
        </w:tc>
        <w:tc>
          <w:tcPr>
            <w:tcW w:w="245" w:type="pct"/>
            <w:noWrap w:val="0"/>
            <w:vAlign w:val="center"/>
          </w:tcPr>
          <w:p w14:paraId="20E7F74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56.5 </w:t>
            </w:r>
          </w:p>
        </w:tc>
        <w:tc>
          <w:tcPr>
            <w:tcW w:w="245" w:type="pct"/>
            <w:noWrap w:val="0"/>
            <w:vAlign w:val="center"/>
          </w:tcPr>
          <w:p w14:paraId="297DA69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61.9 </w:t>
            </w:r>
          </w:p>
        </w:tc>
        <w:tc>
          <w:tcPr>
            <w:tcW w:w="249" w:type="pct"/>
            <w:noWrap w:val="0"/>
            <w:vAlign w:val="center"/>
          </w:tcPr>
          <w:p w14:paraId="5B84900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57.1 </w:t>
            </w:r>
          </w:p>
        </w:tc>
        <w:tc>
          <w:tcPr>
            <w:tcW w:w="203" w:type="pct"/>
            <w:vMerge w:val="continue"/>
            <w:noWrap w:val="0"/>
            <w:vAlign w:val="center"/>
          </w:tcPr>
          <w:p w14:paraId="0482004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2CECC71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14F75DE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24.0 </w:t>
            </w:r>
          </w:p>
        </w:tc>
        <w:tc>
          <w:tcPr>
            <w:tcW w:w="202" w:type="pct"/>
            <w:noWrap w:val="0"/>
            <w:vAlign w:val="center"/>
          </w:tcPr>
          <w:p w14:paraId="1920CD9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26.5 </w:t>
            </w:r>
          </w:p>
        </w:tc>
        <w:tc>
          <w:tcPr>
            <w:tcW w:w="164" w:type="pct"/>
            <w:noWrap w:val="0"/>
            <w:vAlign w:val="center"/>
          </w:tcPr>
          <w:p w14:paraId="7E5B44F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31.9 </w:t>
            </w:r>
          </w:p>
        </w:tc>
        <w:tc>
          <w:tcPr>
            <w:tcW w:w="193" w:type="pct"/>
            <w:noWrap w:val="0"/>
            <w:vAlign w:val="center"/>
          </w:tcPr>
          <w:p w14:paraId="3909F15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27.1 </w:t>
            </w:r>
          </w:p>
        </w:tc>
        <w:tc>
          <w:tcPr>
            <w:tcW w:w="157" w:type="pct"/>
            <w:noWrap w:val="0"/>
            <w:vAlign w:val="center"/>
          </w:tcPr>
          <w:p w14:paraId="03783DD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2F708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302819A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36</w:t>
            </w:r>
          </w:p>
        </w:tc>
        <w:tc>
          <w:tcPr>
            <w:tcW w:w="163" w:type="pct"/>
            <w:vMerge w:val="continue"/>
            <w:noWrap w:val="0"/>
            <w:vAlign w:val="center"/>
          </w:tcPr>
          <w:p w14:paraId="5A171BA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19B10825">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eastAsia" w:ascii="Times New Roman" w:hAnsi="Times New Roman" w:eastAsia="宋体" w:cs="Times New Roman"/>
                <w:color w:val="auto"/>
                <w:sz w:val="21"/>
                <w:szCs w:val="21"/>
                <w:highlight w:val="none"/>
                <w:u w:val="none"/>
                <w:lang w:val="en-US" w:eastAsia="zh-CN"/>
              </w:rPr>
              <w:t>空压机</w:t>
            </w:r>
          </w:p>
        </w:tc>
        <w:tc>
          <w:tcPr>
            <w:tcW w:w="289" w:type="pct"/>
            <w:noWrap w:val="0"/>
            <w:vAlign w:val="center"/>
          </w:tcPr>
          <w:p w14:paraId="54F9E09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continue"/>
            <w:noWrap w:val="0"/>
            <w:vAlign w:val="center"/>
          </w:tcPr>
          <w:p w14:paraId="7657280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4B31FBF1">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32.9</w:t>
            </w:r>
          </w:p>
        </w:tc>
        <w:tc>
          <w:tcPr>
            <w:tcW w:w="212" w:type="pct"/>
            <w:noWrap w:val="0"/>
            <w:vAlign w:val="center"/>
          </w:tcPr>
          <w:p w14:paraId="2A8ACB2E">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-29.9</w:t>
            </w:r>
          </w:p>
        </w:tc>
        <w:tc>
          <w:tcPr>
            <w:tcW w:w="212" w:type="pct"/>
            <w:noWrap w:val="0"/>
            <w:vAlign w:val="center"/>
          </w:tcPr>
          <w:p w14:paraId="0DB3936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69A38F3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10</w:t>
            </w:r>
          </w:p>
        </w:tc>
        <w:tc>
          <w:tcPr>
            <w:tcW w:w="194" w:type="pct"/>
            <w:noWrap w:val="0"/>
            <w:vAlign w:val="center"/>
          </w:tcPr>
          <w:p w14:paraId="59AB752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40D925F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8</w:t>
            </w:r>
          </w:p>
        </w:tc>
        <w:tc>
          <w:tcPr>
            <w:tcW w:w="198" w:type="pct"/>
            <w:noWrap w:val="0"/>
            <w:vAlign w:val="center"/>
          </w:tcPr>
          <w:p w14:paraId="78E2224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245" w:type="pct"/>
            <w:noWrap w:val="0"/>
            <w:vAlign w:val="center"/>
          </w:tcPr>
          <w:p w14:paraId="43BAD9C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60.0 </w:t>
            </w:r>
          </w:p>
        </w:tc>
        <w:tc>
          <w:tcPr>
            <w:tcW w:w="245" w:type="pct"/>
            <w:noWrap w:val="0"/>
            <w:vAlign w:val="center"/>
          </w:tcPr>
          <w:p w14:paraId="2A47ADF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56.5 </w:t>
            </w:r>
          </w:p>
        </w:tc>
        <w:tc>
          <w:tcPr>
            <w:tcW w:w="245" w:type="pct"/>
            <w:noWrap w:val="0"/>
            <w:vAlign w:val="center"/>
          </w:tcPr>
          <w:p w14:paraId="67C3504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61.9 </w:t>
            </w:r>
          </w:p>
        </w:tc>
        <w:tc>
          <w:tcPr>
            <w:tcW w:w="249" w:type="pct"/>
            <w:noWrap w:val="0"/>
            <w:vAlign w:val="center"/>
          </w:tcPr>
          <w:p w14:paraId="37A37AB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56.5 </w:t>
            </w:r>
          </w:p>
        </w:tc>
        <w:tc>
          <w:tcPr>
            <w:tcW w:w="203" w:type="pct"/>
            <w:vMerge w:val="continue"/>
            <w:noWrap w:val="0"/>
            <w:vAlign w:val="center"/>
          </w:tcPr>
          <w:p w14:paraId="6C97619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785D871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716689B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30.0 </w:t>
            </w:r>
          </w:p>
        </w:tc>
        <w:tc>
          <w:tcPr>
            <w:tcW w:w="202" w:type="pct"/>
            <w:noWrap w:val="0"/>
            <w:vAlign w:val="center"/>
          </w:tcPr>
          <w:p w14:paraId="292072D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26.5 </w:t>
            </w:r>
          </w:p>
        </w:tc>
        <w:tc>
          <w:tcPr>
            <w:tcW w:w="164" w:type="pct"/>
            <w:noWrap w:val="0"/>
            <w:vAlign w:val="center"/>
          </w:tcPr>
          <w:p w14:paraId="77B9AF1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31.9 </w:t>
            </w:r>
          </w:p>
        </w:tc>
        <w:tc>
          <w:tcPr>
            <w:tcW w:w="193" w:type="pct"/>
            <w:noWrap w:val="0"/>
            <w:vAlign w:val="center"/>
          </w:tcPr>
          <w:p w14:paraId="074C9D0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26.5 </w:t>
            </w:r>
          </w:p>
        </w:tc>
        <w:tc>
          <w:tcPr>
            <w:tcW w:w="157" w:type="pct"/>
            <w:noWrap w:val="0"/>
            <w:vAlign w:val="center"/>
          </w:tcPr>
          <w:p w14:paraId="06BCE0B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657FA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036ECAE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37</w:t>
            </w:r>
          </w:p>
        </w:tc>
        <w:tc>
          <w:tcPr>
            <w:tcW w:w="163" w:type="pct"/>
            <w:vMerge w:val="continue"/>
            <w:noWrap w:val="0"/>
            <w:vAlign w:val="center"/>
          </w:tcPr>
          <w:p w14:paraId="406804A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1D9DF4CA">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Style w:val="135"/>
                <w:rFonts w:hint="eastAsia" w:cs="宋体"/>
                <w:bCs w:val="0"/>
                <w:color w:val="auto"/>
                <w:spacing w:val="0"/>
                <w:sz w:val="21"/>
                <w:szCs w:val="21"/>
                <w:highlight w:val="none"/>
                <w:lang w:val="en-US" w:eastAsia="zh-CN" w:bidi="ar"/>
              </w:rPr>
            </w:pPr>
            <w:r>
              <w:rPr>
                <w:rFonts w:hint="eastAsia" w:ascii="Times New Roman" w:hAnsi="Times New Roman" w:eastAsia="宋体" w:cs="Times New Roman"/>
                <w:color w:val="auto"/>
                <w:sz w:val="21"/>
                <w:szCs w:val="21"/>
                <w:highlight w:val="none"/>
                <w:u w:val="none"/>
                <w:lang w:val="en-US" w:eastAsia="zh-CN"/>
              </w:rPr>
              <w:t>制氮机</w:t>
            </w:r>
          </w:p>
        </w:tc>
        <w:tc>
          <w:tcPr>
            <w:tcW w:w="289" w:type="pct"/>
            <w:noWrap w:val="0"/>
            <w:vAlign w:val="center"/>
          </w:tcPr>
          <w:p w14:paraId="7CB9BE1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continue"/>
            <w:noWrap w:val="0"/>
            <w:vAlign w:val="center"/>
          </w:tcPr>
          <w:p w14:paraId="41489E9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7EA34DE5">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43.7</w:t>
            </w:r>
          </w:p>
        </w:tc>
        <w:tc>
          <w:tcPr>
            <w:tcW w:w="212" w:type="pct"/>
            <w:noWrap w:val="0"/>
            <w:vAlign w:val="center"/>
          </w:tcPr>
          <w:p w14:paraId="2EED186A">
            <w:pPr>
              <w:pStyle w:val="128"/>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s="宋体"/>
                <w:bCs/>
                <w:color w:val="auto"/>
                <w:spacing w:val="0"/>
                <w:kern w:val="0"/>
                <w:sz w:val="21"/>
                <w:szCs w:val="21"/>
                <w:highlight w:val="none"/>
                <w:lang w:val="en-US" w:eastAsia="zh-CN" w:bidi="zh-CN"/>
              </w:rPr>
            </w:pPr>
            <w:r>
              <w:rPr>
                <w:rFonts w:hint="eastAsia" w:ascii="Times New Roman" w:hAnsi="Times New Roman" w:eastAsia="宋体" w:cs="Times New Roman"/>
                <w:color w:val="auto"/>
                <w:sz w:val="21"/>
                <w:szCs w:val="21"/>
                <w:highlight w:val="none"/>
                <w:u w:val="none"/>
                <w:lang w:val="en-US" w:eastAsia="zh-CN"/>
              </w:rPr>
              <w:t>-27</w:t>
            </w:r>
          </w:p>
        </w:tc>
        <w:tc>
          <w:tcPr>
            <w:tcW w:w="212" w:type="pct"/>
            <w:noWrap w:val="0"/>
            <w:vAlign w:val="center"/>
          </w:tcPr>
          <w:p w14:paraId="26D63C8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62456D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30</w:t>
            </w:r>
          </w:p>
        </w:tc>
        <w:tc>
          <w:tcPr>
            <w:tcW w:w="194" w:type="pct"/>
            <w:noWrap w:val="0"/>
            <w:vAlign w:val="center"/>
          </w:tcPr>
          <w:p w14:paraId="6ED89DD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6EB3840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10</w:t>
            </w:r>
          </w:p>
        </w:tc>
        <w:tc>
          <w:tcPr>
            <w:tcW w:w="198" w:type="pct"/>
            <w:noWrap w:val="0"/>
            <w:vAlign w:val="center"/>
          </w:tcPr>
          <w:p w14:paraId="4E7A65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22</w:t>
            </w:r>
          </w:p>
        </w:tc>
        <w:tc>
          <w:tcPr>
            <w:tcW w:w="245" w:type="pct"/>
            <w:noWrap w:val="0"/>
            <w:vAlign w:val="center"/>
          </w:tcPr>
          <w:p w14:paraId="30A6D3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50.5 </w:t>
            </w:r>
          </w:p>
        </w:tc>
        <w:tc>
          <w:tcPr>
            <w:tcW w:w="245" w:type="pct"/>
            <w:noWrap w:val="0"/>
            <w:vAlign w:val="center"/>
          </w:tcPr>
          <w:p w14:paraId="379DFB7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56.5 </w:t>
            </w:r>
          </w:p>
        </w:tc>
        <w:tc>
          <w:tcPr>
            <w:tcW w:w="245" w:type="pct"/>
            <w:noWrap w:val="0"/>
            <w:vAlign w:val="center"/>
          </w:tcPr>
          <w:p w14:paraId="7783B86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60.0 </w:t>
            </w:r>
          </w:p>
        </w:tc>
        <w:tc>
          <w:tcPr>
            <w:tcW w:w="249" w:type="pct"/>
            <w:noWrap w:val="0"/>
            <w:vAlign w:val="center"/>
          </w:tcPr>
          <w:p w14:paraId="758774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53.2 </w:t>
            </w:r>
          </w:p>
        </w:tc>
        <w:tc>
          <w:tcPr>
            <w:tcW w:w="203" w:type="pct"/>
            <w:vMerge w:val="continue"/>
            <w:noWrap w:val="0"/>
            <w:vAlign w:val="center"/>
          </w:tcPr>
          <w:p w14:paraId="1610167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6D82793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5229FED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20.5 </w:t>
            </w:r>
          </w:p>
        </w:tc>
        <w:tc>
          <w:tcPr>
            <w:tcW w:w="202" w:type="pct"/>
            <w:noWrap w:val="0"/>
            <w:vAlign w:val="center"/>
          </w:tcPr>
          <w:p w14:paraId="3E79903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26.5 </w:t>
            </w:r>
          </w:p>
        </w:tc>
        <w:tc>
          <w:tcPr>
            <w:tcW w:w="164" w:type="pct"/>
            <w:noWrap w:val="0"/>
            <w:vAlign w:val="center"/>
          </w:tcPr>
          <w:p w14:paraId="6221C8D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30.0 </w:t>
            </w:r>
          </w:p>
        </w:tc>
        <w:tc>
          <w:tcPr>
            <w:tcW w:w="193" w:type="pct"/>
            <w:noWrap w:val="0"/>
            <w:vAlign w:val="center"/>
          </w:tcPr>
          <w:p w14:paraId="0DE8F99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23.2 </w:t>
            </w:r>
          </w:p>
        </w:tc>
        <w:tc>
          <w:tcPr>
            <w:tcW w:w="157" w:type="pct"/>
            <w:noWrap w:val="0"/>
            <w:vAlign w:val="center"/>
          </w:tcPr>
          <w:p w14:paraId="3213F45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2EA12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43731A3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38</w:t>
            </w:r>
          </w:p>
        </w:tc>
        <w:tc>
          <w:tcPr>
            <w:tcW w:w="163" w:type="pct"/>
            <w:vMerge w:val="restart"/>
            <w:noWrap w:val="0"/>
            <w:vAlign w:val="center"/>
          </w:tcPr>
          <w:p w14:paraId="6420961C">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锅炉间</w:t>
            </w:r>
          </w:p>
        </w:tc>
        <w:tc>
          <w:tcPr>
            <w:tcW w:w="342" w:type="pct"/>
            <w:noWrap w:val="0"/>
            <w:vAlign w:val="center"/>
          </w:tcPr>
          <w:p w14:paraId="488339FD">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风机</w:t>
            </w:r>
          </w:p>
        </w:tc>
        <w:tc>
          <w:tcPr>
            <w:tcW w:w="289" w:type="pct"/>
            <w:noWrap w:val="0"/>
            <w:vAlign w:val="center"/>
          </w:tcPr>
          <w:p w14:paraId="5E5F1B48">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75</w:t>
            </w:r>
          </w:p>
        </w:tc>
        <w:tc>
          <w:tcPr>
            <w:tcW w:w="267" w:type="pct"/>
            <w:vMerge w:val="continue"/>
            <w:noWrap w:val="0"/>
            <w:vAlign w:val="center"/>
          </w:tcPr>
          <w:p w14:paraId="43828AC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7499277F">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-145.8</w:t>
            </w:r>
          </w:p>
        </w:tc>
        <w:tc>
          <w:tcPr>
            <w:tcW w:w="212" w:type="pct"/>
            <w:noWrap w:val="0"/>
            <w:vAlign w:val="center"/>
          </w:tcPr>
          <w:p w14:paraId="5436A644">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-156.9</w:t>
            </w:r>
          </w:p>
        </w:tc>
        <w:tc>
          <w:tcPr>
            <w:tcW w:w="212" w:type="pct"/>
            <w:noWrap w:val="0"/>
            <w:vAlign w:val="center"/>
          </w:tcPr>
          <w:p w14:paraId="5EF5F9C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73BBF12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606D278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17</w:t>
            </w:r>
          </w:p>
        </w:tc>
        <w:tc>
          <w:tcPr>
            <w:tcW w:w="194" w:type="pct"/>
            <w:noWrap w:val="0"/>
            <w:vAlign w:val="center"/>
          </w:tcPr>
          <w:p w14:paraId="296C3D8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11</w:t>
            </w:r>
          </w:p>
        </w:tc>
        <w:tc>
          <w:tcPr>
            <w:tcW w:w="198" w:type="pct"/>
            <w:noWrap w:val="0"/>
            <w:vAlign w:val="center"/>
          </w:tcPr>
          <w:p w14:paraId="4A2C5BD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12</w:t>
            </w:r>
          </w:p>
        </w:tc>
        <w:tc>
          <w:tcPr>
            <w:tcW w:w="245" w:type="pct"/>
            <w:noWrap w:val="0"/>
            <w:vAlign w:val="center"/>
          </w:tcPr>
          <w:p w14:paraId="4404F5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51.5 </w:t>
            </w:r>
          </w:p>
        </w:tc>
        <w:tc>
          <w:tcPr>
            <w:tcW w:w="245" w:type="pct"/>
            <w:noWrap w:val="0"/>
            <w:vAlign w:val="center"/>
          </w:tcPr>
          <w:p w14:paraId="2256F5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50.4 </w:t>
            </w:r>
          </w:p>
        </w:tc>
        <w:tc>
          <w:tcPr>
            <w:tcW w:w="245" w:type="pct"/>
            <w:noWrap w:val="0"/>
            <w:vAlign w:val="center"/>
          </w:tcPr>
          <w:p w14:paraId="72FB46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54.2 </w:t>
            </w:r>
          </w:p>
        </w:tc>
        <w:tc>
          <w:tcPr>
            <w:tcW w:w="249" w:type="pct"/>
            <w:noWrap w:val="0"/>
            <w:vAlign w:val="center"/>
          </w:tcPr>
          <w:p w14:paraId="14630E4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53.4 </w:t>
            </w:r>
          </w:p>
        </w:tc>
        <w:tc>
          <w:tcPr>
            <w:tcW w:w="203" w:type="pct"/>
            <w:vMerge w:val="continue"/>
            <w:noWrap w:val="0"/>
            <w:vAlign w:val="center"/>
          </w:tcPr>
          <w:p w14:paraId="0095B9F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2CED5C6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5F0C62D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21.5 </w:t>
            </w:r>
          </w:p>
        </w:tc>
        <w:tc>
          <w:tcPr>
            <w:tcW w:w="202" w:type="pct"/>
            <w:noWrap w:val="0"/>
            <w:vAlign w:val="center"/>
          </w:tcPr>
          <w:p w14:paraId="644C273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20.4 </w:t>
            </w:r>
          </w:p>
        </w:tc>
        <w:tc>
          <w:tcPr>
            <w:tcW w:w="164" w:type="pct"/>
            <w:noWrap w:val="0"/>
            <w:vAlign w:val="center"/>
          </w:tcPr>
          <w:p w14:paraId="0E5343F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24.2 </w:t>
            </w:r>
          </w:p>
        </w:tc>
        <w:tc>
          <w:tcPr>
            <w:tcW w:w="193" w:type="pct"/>
            <w:noWrap w:val="0"/>
            <w:vAlign w:val="center"/>
          </w:tcPr>
          <w:p w14:paraId="71250AB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23.4 </w:t>
            </w:r>
          </w:p>
        </w:tc>
        <w:tc>
          <w:tcPr>
            <w:tcW w:w="157" w:type="pct"/>
            <w:noWrap w:val="0"/>
            <w:vAlign w:val="center"/>
          </w:tcPr>
          <w:p w14:paraId="6A4BD9F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571AC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14438D2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39</w:t>
            </w:r>
          </w:p>
        </w:tc>
        <w:tc>
          <w:tcPr>
            <w:tcW w:w="163" w:type="pct"/>
            <w:vMerge w:val="continue"/>
            <w:noWrap w:val="0"/>
            <w:vAlign w:val="center"/>
          </w:tcPr>
          <w:p w14:paraId="36EE305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0346CF30">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循环泵</w:t>
            </w:r>
          </w:p>
        </w:tc>
        <w:tc>
          <w:tcPr>
            <w:tcW w:w="289" w:type="pct"/>
            <w:noWrap w:val="0"/>
            <w:vAlign w:val="center"/>
          </w:tcPr>
          <w:p w14:paraId="5308F001">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85</w:t>
            </w:r>
          </w:p>
        </w:tc>
        <w:tc>
          <w:tcPr>
            <w:tcW w:w="267" w:type="pct"/>
            <w:vMerge w:val="continue"/>
            <w:noWrap w:val="0"/>
            <w:vAlign w:val="center"/>
          </w:tcPr>
          <w:p w14:paraId="430CE9D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6493FBE9">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-101.4</w:t>
            </w:r>
          </w:p>
        </w:tc>
        <w:tc>
          <w:tcPr>
            <w:tcW w:w="212" w:type="pct"/>
            <w:noWrap w:val="0"/>
            <w:vAlign w:val="center"/>
          </w:tcPr>
          <w:p w14:paraId="4EB3C26A">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-149.7</w:t>
            </w:r>
          </w:p>
        </w:tc>
        <w:tc>
          <w:tcPr>
            <w:tcW w:w="212" w:type="pct"/>
            <w:noWrap w:val="0"/>
            <w:vAlign w:val="center"/>
          </w:tcPr>
          <w:p w14:paraId="26AD0BF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0EC84AC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56E9944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17</w:t>
            </w:r>
          </w:p>
        </w:tc>
        <w:tc>
          <w:tcPr>
            <w:tcW w:w="194" w:type="pct"/>
            <w:noWrap w:val="0"/>
            <w:vAlign w:val="center"/>
          </w:tcPr>
          <w:p w14:paraId="70B8B89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19</w:t>
            </w:r>
          </w:p>
        </w:tc>
        <w:tc>
          <w:tcPr>
            <w:tcW w:w="198" w:type="pct"/>
            <w:noWrap w:val="0"/>
            <w:vAlign w:val="center"/>
          </w:tcPr>
          <w:p w14:paraId="6E86416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30</w:t>
            </w:r>
          </w:p>
        </w:tc>
        <w:tc>
          <w:tcPr>
            <w:tcW w:w="245" w:type="pct"/>
            <w:noWrap w:val="0"/>
            <w:vAlign w:val="center"/>
          </w:tcPr>
          <w:p w14:paraId="57530FB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61.5 </w:t>
            </w:r>
          </w:p>
        </w:tc>
        <w:tc>
          <w:tcPr>
            <w:tcW w:w="245" w:type="pct"/>
            <w:noWrap w:val="0"/>
            <w:vAlign w:val="center"/>
          </w:tcPr>
          <w:p w14:paraId="66D240F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60.4 </w:t>
            </w:r>
          </w:p>
        </w:tc>
        <w:tc>
          <w:tcPr>
            <w:tcW w:w="245" w:type="pct"/>
            <w:noWrap w:val="0"/>
            <w:vAlign w:val="center"/>
          </w:tcPr>
          <w:p w14:paraId="729948B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59.4 </w:t>
            </w:r>
          </w:p>
        </w:tc>
        <w:tc>
          <w:tcPr>
            <w:tcW w:w="249" w:type="pct"/>
            <w:noWrap w:val="0"/>
            <w:vAlign w:val="center"/>
          </w:tcPr>
          <w:p w14:paraId="02ED8C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55.5 </w:t>
            </w:r>
          </w:p>
        </w:tc>
        <w:tc>
          <w:tcPr>
            <w:tcW w:w="203" w:type="pct"/>
            <w:vMerge w:val="continue"/>
            <w:noWrap w:val="0"/>
            <w:vAlign w:val="center"/>
          </w:tcPr>
          <w:p w14:paraId="33E304A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5D2D43A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72E16A0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31.5 </w:t>
            </w:r>
          </w:p>
        </w:tc>
        <w:tc>
          <w:tcPr>
            <w:tcW w:w="202" w:type="pct"/>
            <w:noWrap w:val="0"/>
            <w:vAlign w:val="center"/>
          </w:tcPr>
          <w:p w14:paraId="20750A4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30.4 </w:t>
            </w:r>
          </w:p>
        </w:tc>
        <w:tc>
          <w:tcPr>
            <w:tcW w:w="164" w:type="pct"/>
            <w:noWrap w:val="0"/>
            <w:vAlign w:val="center"/>
          </w:tcPr>
          <w:p w14:paraId="6AA54E9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29.4 </w:t>
            </w:r>
          </w:p>
        </w:tc>
        <w:tc>
          <w:tcPr>
            <w:tcW w:w="193" w:type="pct"/>
            <w:noWrap w:val="0"/>
            <w:vAlign w:val="center"/>
          </w:tcPr>
          <w:p w14:paraId="4595603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25.5 </w:t>
            </w:r>
          </w:p>
        </w:tc>
        <w:tc>
          <w:tcPr>
            <w:tcW w:w="157" w:type="pct"/>
            <w:noWrap w:val="0"/>
            <w:vAlign w:val="center"/>
          </w:tcPr>
          <w:p w14:paraId="6E6C36F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512B7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39F31BD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40</w:t>
            </w:r>
          </w:p>
        </w:tc>
        <w:tc>
          <w:tcPr>
            <w:tcW w:w="163" w:type="pct"/>
            <w:vMerge w:val="continue"/>
            <w:noWrap w:val="0"/>
            <w:vAlign w:val="center"/>
          </w:tcPr>
          <w:p w14:paraId="4E2A701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4496E8EE">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循环泵</w:t>
            </w:r>
          </w:p>
        </w:tc>
        <w:tc>
          <w:tcPr>
            <w:tcW w:w="289" w:type="pct"/>
            <w:noWrap w:val="0"/>
            <w:vAlign w:val="center"/>
          </w:tcPr>
          <w:p w14:paraId="30FAF1D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75</w:t>
            </w:r>
          </w:p>
        </w:tc>
        <w:tc>
          <w:tcPr>
            <w:tcW w:w="267" w:type="pct"/>
            <w:vMerge w:val="continue"/>
            <w:noWrap w:val="0"/>
            <w:vAlign w:val="center"/>
          </w:tcPr>
          <w:p w14:paraId="0E06874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0AD8050F">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-88.7</w:t>
            </w:r>
          </w:p>
        </w:tc>
        <w:tc>
          <w:tcPr>
            <w:tcW w:w="212" w:type="pct"/>
            <w:noWrap w:val="0"/>
            <w:vAlign w:val="center"/>
          </w:tcPr>
          <w:p w14:paraId="28909530">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-142.6</w:t>
            </w:r>
          </w:p>
        </w:tc>
        <w:tc>
          <w:tcPr>
            <w:tcW w:w="212" w:type="pct"/>
            <w:noWrap w:val="0"/>
            <w:vAlign w:val="center"/>
          </w:tcPr>
          <w:p w14:paraId="76A61F6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5107A10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10</w:t>
            </w:r>
          </w:p>
        </w:tc>
        <w:tc>
          <w:tcPr>
            <w:tcW w:w="194" w:type="pct"/>
            <w:noWrap w:val="0"/>
            <w:vAlign w:val="center"/>
          </w:tcPr>
          <w:p w14:paraId="6ADB4E2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14</w:t>
            </w:r>
          </w:p>
        </w:tc>
        <w:tc>
          <w:tcPr>
            <w:tcW w:w="194" w:type="pct"/>
            <w:noWrap w:val="0"/>
            <w:vAlign w:val="center"/>
          </w:tcPr>
          <w:p w14:paraId="0596B7A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33</w:t>
            </w:r>
          </w:p>
        </w:tc>
        <w:tc>
          <w:tcPr>
            <w:tcW w:w="198" w:type="pct"/>
            <w:noWrap w:val="0"/>
            <w:vAlign w:val="center"/>
          </w:tcPr>
          <w:p w14:paraId="5A2698A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29</w:t>
            </w:r>
          </w:p>
        </w:tc>
        <w:tc>
          <w:tcPr>
            <w:tcW w:w="245" w:type="pct"/>
            <w:noWrap w:val="0"/>
            <w:vAlign w:val="center"/>
          </w:tcPr>
          <w:p w14:paraId="0048651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55.0 </w:t>
            </w:r>
          </w:p>
        </w:tc>
        <w:tc>
          <w:tcPr>
            <w:tcW w:w="245" w:type="pct"/>
            <w:noWrap w:val="0"/>
            <w:vAlign w:val="center"/>
          </w:tcPr>
          <w:p w14:paraId="2AB4079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52.1 </w:t>
            </w:r>
          </w:p>
        </w:tc>
        <w:tc>
          <w:tcPr>
            <w:tcW w:w="245" w:type="pct"/>
            <w:noWrap w:val="0"/>
            <w:vAlign w:val="center"/>
          </w:tcPr>
          <w:p w14:paraId="085F603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44.6 </w:t>
            </w:r>
          </w:p>
        </w:tc>
        <w:tc>
          <w:tcPr>
            <w:tcW w:w="249" w:type="pct"/>
            <w:noWrap w:val="0"/>
            <w:vAlign w:val="center"/>
          </w:tcPr>
          <w:p w14:paraId="4F617A1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45.8 </w:t>
            </w:r>
          </w:p>
        </w:tc>
        <w:tc>
          <w:tcPr>
            <w:tcW w:w="203" w:type="pct"/>
            <w:vMerge w:val="continue"/>
            <w:noWrap w:val="0"/>
            <w:vAlign w:val="center"/>
          </w:tcPr>
          <w:p w14:paraId="5928395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315D8BE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22EB110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25.0 </w:t>
            </w:r>
          </w:p>
        </w:tc>
        <w:tc>
          <w:tcPr>
            <w:tcW w:w="202" w:type="pct"/>
            <w:noWrap w:val="0"/>
            <w:vAlign w:val="center"/>
          </w:tcPr>
          <w:p w14:paraId="61D0162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22.1 </w:t>
            </w:r>
          </w:p>
        </w:tc>
        <w:tc>
          <w:tcPr>
            <w:tcW w:w="164" w:type="pct"/>
            <w:noWrap w:val="0"/>
            <w:vAlign w:val="center"/>
          </w:tcPr>
          <w:p w14:paraId="39C8907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14.6 </w:t>
            </w:r>
          </w:p>
        </w:tc>
        <w:tc>
          <w:tcPr>
            <w:tcW w:w="193" w:type="pct"/>
            <w:noWrap w:val="0"/>
            <w:vAlign w:val="center"/>
          </w:tcPr>
          <w:p w14:paraId="7EF81B5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15.8 </w:t>
            </w:r>
          </w:p>
        </w:tc>
        <w:tc>
          <w:tcPr>
            <w:tcW w:w="157" w:type="pct"/>
            <w:noWrap w:val="0"/>
            <w:vAlign w:val="center"/>
          </w:tcPr>
          <w:p w14:paraId="06123FE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3DB27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3F32B2B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41</w:t>
            </w:r>
          </w:p>
        </w:tc>
        <w:tc>
          <w:tcPr>
            <w:tcW w:w="163" w:type="pct"/>
            <w:vMerge w:val="continue"/>
            <w:noWrap w:val="0"/>
            <w:vAlign w:val="center"/>
          </w:tcPr>
          <w:p w14:paraId="4FB9CE3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197DD3E9">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导热油炉</w:t>
            </w:r>
          </w:p>
        </w:tc>
        <w:tc>
          <w:tcPr>
            <w:tcW w:w="289" w:type="pct"/>
            <w:noWrap w:val="0"/>
            <w:vAlign w:val="center"/>
          </w:tcPr>
          <w:p w14:paraId="479F6D6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80</w:t>
            </w:r>
          </w:p>
        </w:tc>
        <w:tc>
          <w:tcPr>
            <w:tcW w:w="267" w:type="pct"/>
            <w:vMerge w:val="continue"/>
            <w:noWrap w:val="0"/>
            <w:vAlign w:val="center"/>
          </w:tcPr>
          <w:p w14:paraId="1BB2C5A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559F3329">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-115.6</w:t>
            </w:r>
          </w:p>
        </w:tc>
        <w:tc>
          <w:tcPr>
            <w:tcW w:w="212" w:type="pct"/>
            <w:noWrap w:val="0"/>
            <w:vAlign w:val="center"/>
          </w:tcPr>
          <w:p w14:paraId="06CEE021">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-148.9</w:t>
            </w:r>
          </w:p>
        </w:tc>
        <w:tc>
          <w:tcPr>
            <w:tcW w:w="212" w:type="pct"/>
            <w:noWrap w:val="0"/>
            <w:vAlign w:val="center"/>
          </w:tcPr>
          <w:p w14:paraId="70FCFDC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03E1C65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19</w:t>
            </w:r>
          </w:p>
        </w:tc>
        <w:tc>
          <w:tcPr>
            <w:tcW w:w="194" w:type="pct"/>
            <w:noWrap w:val="0"/>
            <w:vAlign w:val="center"/>
          </w:tcPr>
          <w:p w14:paraId="5BD8536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771DC78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37</w:t>
            </w:r>
          </w:p>
        </w:tc>
        <w:tc>
          <w:tcPr>
            <w:tcW w:w="198" w:type="pct"/>
            <w:noWrap w:val="0"/>
            <w:vAlign w:val="center"/>
          </w:tcPr>
          <w:p w14:paraId="12D6B1A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17</w:t>
            </w:r>
          </w:p>
        </w:tc>
        <w:tc>
          <w:tcPr>
            <w:tcW w:w="245" w:type="pct"/>
            <w:noWrap w:val="0"/>
            <w:vAlign w:val="center"/>
          </w:tcPr>
          <w:p w14:paraId="347FC45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54.4 </w:t>
            </w:r>
          </w:p>
        </w:tc>
        <w:tc>
          <w:tcPr>
            <w:tcW w:w="245" w:type="pct"/>
            <w:noWrap w:val="0"/>
            <w:vAlign w:val="center"/>
          </w:tcPr>
          <w:p w14:paraId="0A1EC72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56.5 </w:t>
            </w:r>
          </w:p>
        </w:tc>
        <w:tc>
          <w:tcPr>
            <w:tcW w:w="245" w:type="pct"/>
            <w:noWrap w:val="0"/>
            <w:vAlign w:val="center"/>
          </w:tcPr>
          <w:p w14:paraId="5E539D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48.6 </w:t>
            </w:r>
          </w:p>
        </w:tc>
        <w:tc>
          <w:tcPr>
            <w:tcW w:w="249" w:type="pct"/>
            <w:noWrap w:val="0"/>
            <w:vAlign w:val="center"/>
          </w:tcPr>
          <w:p w14:paraId="3F5E701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55.4 </w:t>
            </w:r>
          </w:p>
        </w:tc>
        <w:tc>
          <w:tcPr>
            <w:tcW w:w="203" w:type="pct"/>
            <w:vMerge w:val="continue"/>
            <w:noWrap w:val="0"/>
            <w:vAlign w:val="center"/>
          </w:tcPr>
          <w:p w14:paraId="5C84059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59647322">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6DD8C45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24.4 </w:t>
            </w:r>
          </w:p>
        </w:tc>
        <w:tc>
          <w:tcPr>
            <w:tcW w:w="202" w:type="pct"/>
            <w:noWrap w:val="0"/>
            <w:vAlign w:val="center"/>
          </w:tcPr>
          <w:p w14:paraId="73FE1F4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26.5 </w:t>
            </w:r>
          </w:p>
        </w:tc>
        <w:tc>
          <w:tcPr>
            <w:tcW w:w="164" w:type="pct"/>
            <w:noWrap w:val="0"/>
            <w:vAlign w:val="center"/>
          </w:tcPr>
          <w:p w14:paraId="4CE3254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18.6 </w:t>
            </w:r>
          </w:p>
        </w:tc>
        <w:tc>
          <w:tcPr>
            <w:tcW w:w="193" w:type="pct"/>
            <w:noWrap w:val="0"/>
            <w:vAlign w:val="center"/>
          </w:tcPr>
          <w:p w14:paraId="3D7D5C6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25.4 </w:t>
            </w:r>
          </w:p>
        </w:tc>
        <w:tc>
          <w:tcPr>
            <w:tcW w:w="157" w:type="pct"/>
            <w:noWrap w:val="0"/>
            <w:vAlign w:val="center"/>
          </w:tcPr>
          <w:p w14:paraId="7F0842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6719C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7BAA368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42</w:t>
            </w:r>
          </w:p>
        </w:tc>
        <w:tc>
          <w:tcPr>
            <w:tcW w:w="163" w:type="pct"/>
            <w:vMerge w:val="restart"/>
            <w:noWrap w:val="0"/>
            <w:vAlign w:val="center"/>
          </w:tcPr>
          <w:p w14:paraId="2156D5D9">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污水站</w:t>
            </w:r>
          </w:p>
        </w:tc>
        <w:tc>
          <w:tcPr>
            <w:tcW w:w="342" w:type="pct"/>
            <w:noWrap w:val="0"/>
            <w:vAlign w:val="center"/>
          </w:tcPr>
          <w:p w14:paraId="0473D536">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风机</w:t>
            </w:r>
          </w:p>
        </w:tc>
        <w:tc>
          <w:tcPr>
            <w:tcW w:w="289" w:type="pct"/>
            <w:noWrap w:val="0"/>
            <w:vAlign w:val="center"/>
          </w:tcPr>
          <w:p w14:paraId="09BD7B0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75</w:t>
            </w:r>
          </w:p>
        </w:tc>
        <w:tc>
          <w:tcPr>
            <w:tcW w:w="267" w:type="pct"/>
            <w:vMerge w:val="continue"/>
            <w:noWrap w:val="0"/>
            <w:vAlign w:val="center"/>
          </w:tcPr>
          <w:p w14:paraId="55A4036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5AC804E6">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-173.5</w:t>
            </w:r>
          </w:p>
        </w:tc>
        <w:tc>
          <w:tcPr>
            <w:tcW w:w="212" w:type="pct"/>
            <w:noWrap w:val="0"/>
            <w:vAlign w:val="center"/>
          </w:tcPr>
          <w:p w14:paraId="2108ED03">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-30</w:t>
            </w:r>
          </w:p>
        </w:tc>
        <w:tc>
          <w:tcPr>
            <w:tcW w:w="212" w:type="pct"/>
            <w:noWrap w:val="0"/>
            <w:vAlign w:val="center"/>
          </w:tcPr>
          <w:p w14:paraId="30B91A8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0B634DC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194" w:type="pct"/>
            <w:noWrap w:val="0"/>
            <w:vAlign w:val="center"/>
          </w:tcPr>
          <w:p w14:paraId="694FEAE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18</w:t>
            </w:r>
          </w:p>
        </w:tc>
        <w:tc>
          <w:tcPr>
            <w:tcW w:w="194" w:type="pct"/>
            <w:noWrap w:val="0"/>
            <w:vAlign w:val="center"/>
          </w:tcPr>
          <w:p w14:paraId="5D0B6DD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23</w:t>
            </w:r>
          </w:p>
        </w:tc>
        <w:tc>
          <w:tcPr>
            <w:tcW w:w="198" w:type="pct"/>
            <w:noWrap w:val="0"/>
            <w:vAlign w:val="center"/>
          </w:tcPr>
          <w:p w14:paraId="3A8288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25</w:t>
            </w:r>
          </w:p>
        </w:tc>
        <w:tc>
          <w:tcPr>
            <w:tcW w:w="245" w:type="pct"/>
            <w:noWrap w:val="0"/>
            <w:vAlign w:val="center"/>
          </w:tcPr>
          <w:p w14:paraId="162F6AE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49.0 </w:t>
            </w:r>
          </w:p>
        </w:tc>
        <w:tc>
          <w:tcPr>
            <w:tcW w:w="245" w:type="pct"/>
            <w:noWrap w:val="0"/>
            <w:vAlign w:val="center"/>
          </w:tcPr>
          <w:p w14:paraId="170635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49.9 </w:t>
            </w:r>
          </w:p>
        </w:tc>
        <w:tc>
          <w:tcPr>
            <w:tcW w:w="245" w:type="pct"/>
            <w:noWrap w:val="0"/>
            <w:vAlign w:val="center"/>
          </w:tcPr>
          <w:p w14:paraId="63F5783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47.8 </w:t>
            </w:r>
          </w:p>
        </w:tc>
        <w:tc>
          <w:tcPr>
            <w:tcW w:w="249" w:type="pct"/>
            <w:noWrap w:val="0"/>
            <w:vAlign w:val="center"/>
          </w:tcPr>
          <w:p w14:paraId="6F24D4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47.0 </w:t>
            </w:r>
          </w:p>
        </w:tc>
        <w:tc>
          <w:tcPr>
            <w:tcW w:w="203" w:type="pct"/>
            <w:vMerge w:val="continue"/>
            <w:noWrap w:val="0"/>
            <w:vAlign w:val="center"/>
          </w:tcPr>
          <w:p w14:paraId="564275B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7DB5A4D5">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1BE1C4E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19.0 </w:t>
            </w:r>
          </w:p>
        </w:tc>
        <w:tc>
          <w:tcPr>
            <w:tcW w:w="202" w:type="pct"/>
            <w:noWrap w:val="0"/>
            <w:vAlign w:val="center"/>
          </w:tcPr>
          <w:p w14:paraId="791E3EE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19.9 </w:t>
            </w:r>
          </w:p>
        </w:tc>
        <w:tc>
          <w:tcPr>
            <w:tcW w:w="164" w:type="pct"/>
            <w:noWrap w:val="0"/>
            <w:vAlign w:val="center"/>
          </w:tcPr>
          <w:p w14:paraId="0B562BF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17.8 </w:t>
            </w:r>
          </w:p>
        </w:tc>
        <w:tc>
          <w:tcPr>
            <w:tcW w:w="193" w:type="pct"/>
            <w:noWrap w:val="0"/>
            <w:vAlign w:val="center"/>
          </w:tcPr>
          <w:p w14:paraId="2D44FF3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17.0 </w:t>
            </w:r>
          </w:p>
        </w:tc>
        <w:tc>
          <w:tcPr>
            <w:tcW w:w="157" w:type="pct"/>
            <w:noWrap w:val="0"/>
            <w:vAlign w:val="center"/>
          </w:tcPr>
          <w:p w14:paraId="485DCAC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6D915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4A9ACEB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43</w:t>
            </w:r>
          </w:p>
        </w:tc>
        <w:tc>
          <w:tcPr>
            <w:tcW w:w="163" w:type="pct"/>
            <w:vMerge w:val="continue"/>
            <w:noWrap w:val="0"/>
            <w:vAlign w:val="center"/>
          </w:tcPr>
          <w:p w14:paraId="52B7CE9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p>
        </w:tc>
        <w:tc>
          <w:tcPr>
            <w:tcW w:w="342" w:type="pct"/>
            <w:noWrap w:val="0"/>
            <w:vAlign w:val="center"/>
          </w:tcPr>
          <w:p w14:paraId="2AFD9168">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循环泵（16台）</w:t>
            </w:r>
          </w:p>
        </w:tc>
        <w:tc>
          <w:tcPr>
            <w:tcW w:w="289" w:type="pct"/>
            <w:noWrap w:val="0"/>
            <w:vAlign w:val="center"/>
          </w:tcPr>
          <w:p w14:paraId="0959172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97</w:t>
            </w:r>
          </w:p>
        </w:tc>
        <w:tc>
          <w:tcPr>
            <w:tcW w:w="267" w:type="pct"/>
            <w:vMerge w:val="continue"/>
            <w:noWrap w:val="0"/>
            <w:vAlign w:val="center"/>
          </w:tcPr>
          <w:p w14:paraId="1BBA623F">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1A717FC1">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-175.9</w:t>
            </w:r>
          </w:p>
        </w:tc>
        <w:tc>
          <w:tcPr>
            <w:tcW w:w="212" w:type="pct"/>
            <w:noWrap w:val="0"/>
            <w:vAlign w:val="center"/>
          </w:tcPr>
          <w:p w14:paraId="1DAE0D78">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-12.6</w:t>
            </w:r>
          </w:p>
        </w:tc>
        <w:tc>
          <w:tcPr>
            <w:tcW w:w="212" w:type="pct"/>
            <w:noWrap w:val="0"/>
            <w:vAlign w:val="center"/>
          </w:tcPr>
          <w:p w14:paraId="5E1482D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0215622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20</w:t>
            </w:r>
          </w:p>
        </w:tc>
        <w:tc>
          <w:tcPr>
            <w:tcW w:w="194" w:type="pct"/>
            <w:noWrap w:val="0"/>
            <w:vAlign w:val="center"/>
          </w:tcPr>
          <w:p w14:paraId="4C0CE35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17</w:t>
            </w:r>
          </w:p>
        </w:tc>
        <w:tc>
          <w:tcPr>
            <w:tcW w:w="194" w:type="pct"/>
            <w:noWrap w:val="0"/>
            <w:vAlign w:val="center"/>
          </w:tcPr>
          <w:p w14:paraId="0039025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28</w:t>
            </w:r>
          </w:p>
        </w:tc>
        <w:tc>
          <w:tcPr>
            <w:tcW w:w="198" w:type="pct"/>
            <w:noWrap w:val="0"/>
            <w:vAlign w:val="center"/>
          </w:tcPr>
          <w:p w14:paraId="42EBCD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28</w:t>
            </w:r>
          </w:p>
        </w:tc>
        <w:tc>
          <w:tcPr>
            <w:tcW w:w="245" w:type="pct"/>
            <w:noWrap w:val="0"/>
            <w:vAlign w:val="center"/>
          </w:tcPr>
          <w:p w14:paraId="526D2D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71.0 </w:t>
            </w:r>
          </w:p>
        </w:tc>
        <w:tc>
          <w:tcPr>
            <w:tcW w:w="245" w:type="pct"/>
            <w:noWrap w:val="0"/>
            <w:vAlign w:val="center"/>
          </w:tcPr>
          <w:p w14:paraId="0E09721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72.4 </w:t>
            </w:r>
          </w:p>
        </w:tc>
        <w:tc>
          <w:tcPr>
            <w:tcW w:w="245" w:type="pct"/>
            <w:noWrap w:val="0"/>
            <w:vAlign w:val="center"/>
          </w:tcPr>
          <w:p w14:paraId="5081508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68.1 </w:t>
            </w:r>
          </w:p>
        </w:tc>
        <w:tc>
          <w:tcPr>
            <w:tcW w:w="249" w:type="pct"/>
            <w:noWrap w:val="0"/>
            <w:vAlign w:val="center"/>
          </w:tcPr>
          <w:p w14:paraId="61154DB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68.1 </w:t>
            </w:r>
          </w:p>
        </w:tc>
        <w:tc>
          <w:tcPr>
            <w:tcW w:w="203" w:type="pct"/>
            <w:vMerge w:val="continue"/>
            <w:noWrap w:val="0"/>
            <w:vAlign w:val="center"/>
          </w:tcPr>
          <w:p w14:paraId="4619DB2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23BDFB9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613CBCF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41.0 </w:t>
            </w:r>
          </w:p>
        </w:tc>
        <w:tc>
          <w:tcPr>
            <w:tcW w:w="202" w:type="pct"/>
            <w:noWrap w:val="0"/>
            <w:vAlign w:val="center"/>
          </w:tcPr>
          <w:p w14:paraId="0E12ADC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42.4 </w:t>
            </w:r>
          </w:p>
        </w:tc>
        <w:tc>
          <w:tcPr>
            <w:tcW w:w="164" w:type="pct"/>
            <w:noWrap w:val="0"/>
            <w:vAlign w:val="center"/>
          </w:tcPr>
          <w:p w14:paraId="430B55CD">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43.1</w:t>
            </w:r>
            <w:r>
              <w:rPr>
                <w:rFonts w:hint="eastAsia" w:ascii="宋体" w:hAnsi="宋体" w:eastAsia="宋体" w:cs="宋体"/>
                <w:color w:val="auto"/>
                <w:spacing w:val="0"/>
                <w:sz w:val="21"/>
                <w:szCs w:val="21"/>
                <w:highlight w:val="none"/>
                <w:vertAlign w:val="baseline"/>
                <w:lang w:val="en-US" w:eastAsia="zh-CN"/>
              </w:rPr>
              <w:t xml:space="preserve"> </w:t>
            </w:r>
          </w:p>
        </w:tc>
        <w:tc>
          <w:tcPr>
            <w:tcW w:w="193" w:type="pct"/>
            <w:noWrap w:val="0"/>
            <w:vAlign w:val="center"/>
          </w:tcPr>
          <w:p w14:paraId="1B1DBAA3">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43.1</w:t>
            </w:r>
            <w:r>
              <w:rPr>
                <w:rFonts w:hint="eastAsia" w:ascii="宋体" w:hAnsi="宋体" w:eastAsia="宋体" w:cs="宋体"/>
                <w:color w:val="auto"/>
                <w:spacing w:val="0"/>
                <w:sz w:val="21"/>
                <w:szCs w:val="21"/>
                <w:highlight w:val="none"/>
                <w:vertAlign w:val="baseline"/>
                <w:lang w:val="en-US" w:eastAsia="zh-CN"/>
              </w:rPr>
              <w:t xml:space="preserve"> </w:t>
            </w:r>
          </w:p>
        </w:tc>
        <w:tc>
          <w:tcPr>
            <w:tcW w:w="157" w:type="pct"/>
            <w:noWrap w:val="0"/>
            <w:vAlign w:val="center"/>
          </w:tcPr>
          <w:p w14:paraId="72D8E4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632F5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2BB48E5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44</w:t>
            </w:r>
          </w:p>
        </w:tc>
        <w:tc>
          <w:tcPr>
            <w:tcW w:w="163" w:type="pct"/>
            <w:noWrap w:val="0"/>
            <w:vAlign w:val="center"/>
          </w:tcPr>
          <w:p w14:paraId="4928A4C6">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危废暂存间</w:t>
            </w:r>
          </w:p>
        </w:tc>
        <w:tc>
          <w:tcPr>
            <w:tcW w:w="342" w:type="pct"/>
            <w:noWrap w:val="0"/>
            <w:vAlign w:val="center"/>
          </w:tcPr>
          <w:p w14:paraId="296E8E55">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风机</w:t>
            </w:r>
          </w:p>
        </w:tc>
        <w:tc>
          <w:tcPr>
            <w:tcW w:w="289" w:type="pct"/>
            <w:noWrap w:val="0"/>
            <w:vAlign w:val="center"/>
          </w:tcPr>
          <w:p w14:paraId="026FBAC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75</w:t>
            </w:r>
          </w:p>
        </w:tc>
        <w:tc>
          <w:tcPr>
            <w:tcW w:w="267" w:type="pct"/>
            <w:vMerge w:val="continue"/>
            <w:noWrap w:val="0"/>
            <w:vAlign w:val="center"/>
          </w:tcPr>
          <w:p w14:paraId="5A961CF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781F27D7">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180</w:t>
            </w:r>
          </w:p>
        </w:tc>
        <w:tc>
          <w:tcPr>
            <w:tcW w:w="212" w:type="pct"/>
            <w:noWrap w:val="0"/>
            <w:vAlign w:val="center"/>
          </w:tcPr>
          <w:p w14:paraId="3B9B147D">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37.9</w:t>
            </w:r>
          </w:p>
        </w:tc>
        <w:tc>
          <w:tcPr>
            <w:tcW w:w="212" w:type="pct"/>
            <w:noWrap w:val="0"/>
            <w:vAlign w:val="center"/>
          </w:tcPr>
          <w:p w14:paraId="5EE85C3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558C498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5C396F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18</w:t>
            </w:r>
          </w:p>
        </w:tc>
        <w:tc>
          <w:tcPr>
            <w:tcW w:w="194" w:type="pct"/>
            <w:noWrap w:val="0"/>
            <w:vAlign w:val="center"/>
          </w:tcPr>
          <w:p w14:paraId="6EAD032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25</w:t>
            </w:r>
          </w:p>
        </w:tc>
        <w:tc>
          <w:tcPr>
            <w:tcW w:w="198" w:type="pct"/>
            <w:noWrap w:val="0"/>
            <w:vAlign w:val="center"/>
          </w:tcPr>
          <w:p w14:paraId="7123EE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17</w:t>
            </w:r>
          </w:p>
        </w:tc>
        <w:tc>
          <w:tcPr>
            <w:tcW w:w="245" w:type="pct"/>
            <w:noWrap w:val="0"/>
            <w:vAlign w:val="center"/>
          </w:tcPr>
          <w:p w14:paraId="21AEAB9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51.5 </w:t>
            </w:r>
          </w:p>
        </w:tc>
        <w:tc>
          <w:tcPr>
            <w:tcW w:w="245" w:type="pct"/>
            <w:noWrap w:val="0"/>
            <w:vAlign w:val="center"/>
          </w:tcPr>
          <w:p w14:paraId="2E63E9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49.9 </w:t>
            </w:r>
          </w:p>
        </w:tc>
        <w:tc>
          <w:tcPr>
            <w:tcW w:w="245" w:type="pct"/>
            <w:noWrap w:val="0"/>
            <w:vAlign w:val="center"/>
          </w:tcPr>
          <w:p w14:paraId="4E42D02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47.0 </w:t>
            </w:r>
          </w:p>
        </w:tc>
        <w:tc>
          <w:tcPr>
            <w:tcW w:w="249" w:type="pct"/>
            <w:noWrap w:val="0"/>
            <w:vAlign w:val="center"/>
          </w:tcPr>
          <w:p w14:paraId="006CA55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50.4 </w:t>
            </w:r>
          </w:p>
        </w:tc>
        <w:tc>
          <w:tcPr>
            <w:tcW w:w="203" w:type="pct"/>
            <w:vMerge w:val="continue"/>
            <w:noWrap w:val="0"/>
            <w:vAlign w:val="center"/>
          </w:tcPr>
          <w:p w14:paraId="5B1413DC">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3E8A3D8A">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23C1BE58">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21.5 </w:t>
            </w:r>
          </w:p>
        </w:tc>
        <w:tc>
          <w:tcPr>
            <w:tcW w:w="202" w:type="pct"/>
            <w:noWrap w:val="0"/>
            <w:vAlign w:val="center"/>
          </w:tcPr>
          <w:p w14:paraId="5F8A5064">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19.9 </w:t>
            </w:r>
          </w:p>
        </w:tc>
        <w:tc>
          <w:tcPr>
            <w:tcW w:w="164" w:type="pct"/>
            <w:noWrap w:val="0"/>
            <w:vAlign w:val="center"/>
          </w:tcPr>
          <w:p w14:paraId="6FF43DEB">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17.0 </w:t>
            </w:r>
          </w:p>
        </w:tc>
        <w:tc>
          <w:tcPr>
            <w:tcW w:w="193" w:type="pct"/>
            <w:noWrap w:val="0"/>
            <w:vAlign w:val="center"/>
          </w:tcPr>
          <w:p w14:paraId="3B8BCDF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20.4 </w:t>
            </w:r>
          </w:p>
        </w:tc>
        <w:tc>
          <w:tcPr>
            <w:tcW w:w="157" w:type="pct"/>
            <w:noWrap w:val="0"/>
            <w:vAlign w:val="center"/>
          </w:tcPr>
          <w:p w14:paraId="1A0873A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30183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3" w:type="pct"/>
            <w:noWrap w:val="0"/>
            <w:vAlign w:val="center"/>
          </w:tcPr>
          <w:p w14:paraId="13DC858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45</w:t>
            </w:r>
          </w:p>
        </w:tc>
        <w:tc>
          <w:tcPr>
            <w:tcW w:w="163" w:type="pct"/>
            <w:noWrap w:val="0"/>
            <w:vAlign w:val="center"/>
          </w:tcPr>
          <w:p w14:paraId="75F1138F">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0"/>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罐区</w:t>
            </w:r>
          </w:p>
        </w:tc>
        <w:tc>
          <w:tcPr>
            <w:tcW w:w="342" w:type="pct"/>
            <w:noWrap w:val="0"/>
            <w:vAlign w:val="center"/>
          </w:tcPr>
          <w:p w14:paraId="74E942D8">
            <w:pPr>
              <w:pStyle w:val="128"/>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卸料泵</w:t>
            </w:r>
          </w:p>
          <w:p w14:paraId="4D6DB76A">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（6台）</w:t>
            </w:r>
          </w:p>
        </w:tc>
        <w:tc>
          <w:tcPr>
            <w:tcW w:w="289" w:type="pct"/>
            <w:noWrap w:val="0"/>
            <w:vAlign w:val="center"/>
          </w:tcPr>
          <w:p w14:paraId="1A74A9C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default" w:ascii="宋体" w:hAnsi="宋体" w:eastAsia="宋体" w:cs="宋体"/>
                <w:color w:val="auto"/>
                <w:spacing w:val="0"/>
                <w:sz w:val="21"/>
                <w:szCs w:val="21"/>
                <w:highlight w:val="none"/>
                <w:vertAlign w:val="baseline"/>
                <w:lang w:val="en-US" w:eastAsia="zh-CN"/>
              </w:rPr>
              <w:t>93</w:t>
            </w:r>
          </w:p>
        </w:tc>
        <w:tc>
          <w:tcPr>
            <w:tcW w:w="267" w:type="pct"/>
            <w:vMerge w:val="continue"/>
            <w:noWrap w:val="0"/>
            <w:vAlign w:val="center"/>
          </w:tcPr>
          <w:p w14:paraId="37A5699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12" w:type="pct"/>
            <w:noWrap w:val="0"/>
            <w:vAlign w:val="center"/>
          </w:tcPr>
          <w:p w14:paraId="61B13433">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206.1</w:t>
            </w:r>
          </w:p>
        </w:tc>
        <w:tc>
          <w:tcPr>
            <w:tcW w:w="212" w:type="pct"/>
            <w:noWrap w:val="0"/>
            <w:vAlign w:val="center"/>
          </w:tcPr>
          <w:p w14:paraId="01F88B1C">
            <w:pPr>
              <w:pStyle w:val="128"/>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108.4</w:t>
            </w:r>
          </w:p>
        </w:tc>
        <w:tc>
          <w:tcPr>
            <w:tcW w:w="212" w:type="pct"/>
            <w:noWrap w:val="0"/>
            <w:vAlign w:val="center"/>
          </w:tcPr>
          <w:p w14:paraId="0BCC7C9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rPr>
                <w:rFonts w:hint="default" w:cs="宋体"/>
                <w:bCs/>
                <w:color w:val="auto"/>
                <w:spacing w:val="0"/>
                <w:kern w:val="0"/>
                <w:sz w:val="21"/>
                <w:szCs w:val="21"/>
                <w:highlight w:val="none"/>
                <w:lang w:val="en-US" w:eastAsia="zh-CN" w:bidi="zh-CN"/>
              </w:rPr>
            </w:pPr>
            <w:r>
              <w:rPr>
                <w:rFonts w:hint="eastAsia" w:cs="宋体"/>
                <w:bCs/>
                <w:color w:val="auto"/>
                <w:spacing w:val="0"/>
                <w:kern w:val="0"/>
                <w:sz w:val="21"/>
                <w:szCs w:val="21"/>
                <w:highlight w:val="none"/>
                <w:lang w:val="en-US" w:eastAsia="zh-CN" w:bidi="zh-CN"/>
              </w:rPr>
              <w:t>2</w:t>
            </w:r>
          </w:p>
        </w:tc>
        <w:tc>
          <w:tcPr>
            <w:tcW w:w="194" w:type="pct"/>
            <w:noWrap w:val="0"/>
            <w:vAlign w:val="center"/>
          </w:tcPr>
          <w:p w14:paraId="2318B6D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4" w:type="pct"/>
            <w:noWrap w:val="0"/>
            <w:vAlign w:val="center"/>
          </w:tcPr>
          <w:p w14:paraId="5B2DB37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18</w:t>
            </w:r>
          </w:p>
        </w:tc>
        <w:tc>
          <w:tcPr>
            <w:tcW w:w="194" w:type="pct"/>
            <w:noWrap w:val="0"/>
            <w:vAlign w:val="center"/>
          </w:tcPr>
          <w:p w14:paraId="30BD01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15</w:t>
            </w:r>
          </w:p>
        </w:tc>
        <w:tc>
          <w:tcPr>
            <w:tcW w:w="198" w:type="pct"/>
            <w:noWrap w:val="0"/>
            <w:vAlign w:val="center"/>
          </w:tcPr>
          <w:p w14:paraId="5CD8DAB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12</w:t>
            </w:r>
          </w:p>
        </w:tc>
        <w:tc>
          <w:tcPr>
            <w:tcW w:w="245" w:type="pct"/>
            <w:noWrap w:val="0"/>
            <w:vAlign w:val="center"/>
          </w:tcPr>
          <w:p w14:paraId="58E6834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69.5 </w:t>
            </w:r>
          </w:p>
        </w:tc>
        <w:tc>
          <w:tcPr>
            <w:tcW w:w="245" w:type="pct"/>
            <w:noWrap w:val="0"/>
            <w:vAlign w:val="center"/>
          </w:tcPr>
          <w:p w14:paraId="596BCA0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67.9 </w:t>
            </w:r>
          </w:p>
        </w:tc>
        <w:tc>
          <w:tcPr>
            <w:tcW w:w="245" w:type="pct"/>
            <w:noWrap w:val="0"/>
            <w:vAlign w:val="center"/>
          </w:tcPr>
          <w:p w14:paraId="54383D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69.5 </w:t>
            </w:r>
          </w:p>
        </w:tc>
        <w:tc>
          <w:tcPr>
            <w:tcW w:w="249" w:type="pct"/>
            <w:noWrap w:val="0"/>
            <w:vAlign w:val="center"/>
          </w:tcPr>
          <w:p w14:paraId="00945DC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宋体" w:hAnsi="宋体" w:eastAsia="宋体" w:cs="宋体"/>
                <w:bCs/>
                <w:color w:val="auto"/>
                <w:spacing w:val="0"/>
                <w:kern w:val="0"/>
                <w:sz w:val="21"/>
                <w:szCs w:val="21"/>
                <w:highlight w:val="none"/>
                <w:lang w:val="en-US" w:eastAsia="zh-CN" w:bidi="zh-CN"/>
              </w:rPr>
            </w:pPr>
            <w:r>
              <w:rPr>
                <w:rFonts w:hint="eastAsia" w:ascii="宋体" w:hAnsi="宋体" w:eastAsia="宋体" w:cs="宋体"/>
                <w:bCs/>
                <w:color w:val="auto"/>
                <w:spacing w:val="0"/>
                <w:kern w:val="0"/>
                <w:sz w:val="21"/>
                <w:szCs w:val="21"/>
                <w:highlight w:val="none"/>
                <w:lang w:val="en-US" w:eastAsia="zh-CN" w:bidi="zh-CN"/>
              </w:rPr>
              <w:t xml:space="preserve">71.4 </w:t>
            </w:r>
          </w:p>
        </w:tc>
        <w:tc>
          <w:tcPr>
            <w:tcW w:w="203" w:type="pct"/>
            <w:vMerge w:val="continue"/>
            <w:noWrap w:val="0"/>
            <w:vAlign w:val="center"/>
          </w:tcPr>
          <w:p w14:paraId="79DE02B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rPr>
            </w:pPr>
          </w:p>
        </w:tc>
        <w:tc>
          <w:tcPr>
            <w:tcW w:w="227" w:type="pct"/>
            <w:noWrap w:val="0"/>
            <w:vAlign w:val="center"/>
          </w:tcPr>
          <w:p w14:paraId="61CA4F7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30</w:t>
            </w:r>
          </w:p>
        </w:tc>
        <w:tc>
          <w:tcPr>
            <w:tcW w:w="185" w:type="pct"/>
            <w:noWrap w:val="0"/>
            <w:vAlign w:val="center"/>
          </w:tcPr>
          <w:p w14:paraId="444F15C6">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39.5 </w:t>
            </w:r>
          </w:p>
        </w:tc>
        <w:tc>
          <w:tcPr>
            <w:tcW w:w="202" w:type="pct"/>
            <w:noWrap w:val="0"/>
            <w:vAlign w:val="center"/>
          </w:tcPr>
          <w:p w14:paraId="420BCF8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37.9 </w:t>
            </w:r>
          </w:p>
        </w:tc>
        <w:tc>
          <w:tcPr>
            <w:tcW w:w="164" w:type="pct"/>
            <w:noWrap w:val="0"/>
            <w:vAlign w:val="center"/>
          </w:tcPr>
          <w:p w14:paraId="416397E7">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39.5 </w:t>
            </w:r>
          </w:p>
        </w:tc>
        <w:tc>
          <w:tcPr>
            <w:tcW w:w="193" w:type="pct"/>
            <w:noWrap w:val="0"/>
            <w:vAlign w:val="center"/>
          </w:tcPr>
          <w:p w14:paraId="4BD34B0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 xml:space="preserve">41.4 </w:t>
            </w:r>
          </w:p>
        </w:tc>
        <w:tc>
          <w:tcPr>
            <w:tcW w:w="157" w:type="pct"/>
            <w:noWrap w:val="0"/>
            <w:vAlign w:val="center"/>
          </w:tcPr>
          <w:p w14:paraId="7E81575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宋体"/>
                <w:color w:val="auto"/>
                <w:spacing w:val="0"/>
                <w:sz w:val="21"/>
                <w:szCs w:val="21"/>
                <w:highlight w:val="none"/>
                <w:vertAlign w:val="baseline"/>
                <w:lang w:val="en-US" w:eastAsia="zh-CN"/>
              </w:rPr>
            </w:pPr>
            <w:r>
              <w:rPr>
                <w:rFonts w:hint="eastAsia" w:cs="宋体"/>
                <w:color w:val="auto"/>
                <w:spacing w:val="0"/>
                <w:sz w:val="21"/>
                <w:szCs w:val="21"/>
                <w:highlight w:val="none"/>
                <w:vertAlign w:val="baseline"/>
                <w:lang w:val="en-US" w:eastAsia="zh-CN"/>
              </w:rPr>
              <w:t>1</w:t>
            </w:r>
          </w:p>
        </w:tc>
      </w:tr>
      <w:tr w14:paraId="21A4C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23"/>
            <w:noWrap w:val="0"/>
            <w:vAlign w:val="center"/>
          </w:tcPr>
          <w:p w14:paraId="3222B6A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宋体"/>
                <w:color w:val="auto"/>
                <w:spacing w:val="0"/>
                <w:sz w:val="21"/>
                <w:szCs w:val="21"/>
                <w:highlight w:val="none"/>
                <w:vertAlign w:val="baseline"/>
                <w:lang w:val="en-US" w:eastAsia="zh-CN"/>
              </w:rPr>
            </w:pPr>
            <w:r>
              <w:rPr>
                <w:rFonts w:hint="eastAsia" w:ascii="宋体" w:hAnsi="宋体" w:eastAsia="宋体" w:cs="宋体"/>
                <w:color w:val="auto"/>
                <w:spacing w:val="0"/>
                <w:sz w:val="21"/>
                <w:szCs w:val="21"/>
                <w:highlight w:val="none"/>
                <w:vertAlign w:val="baseline"/>
                <w:lang w:val="en-US" w:eastAsia="zh-CN"/>
              </w:rPr>
              <w:t>以厂区中心位置为坐标远点130.59010335°45.08808246°，东西向为X南北向为Y，高度为Z</w:t>
            </w:r>
          </w:p>
        </w:tc>
      </w:tr>
    </w:tbl>
    <w:p w14:paraId="2070234B">
      <w:pPr>
        <w:pStyle w:val="46"/>
        <w:rPr>
          <w:rFonts w:hint="eastAsia"/>
          <w:color w:val="auto"/>
          <w:highlight w:val="none"/>
          <w:u w:val="single"/>
          <w:lang w:eastAsia="zh-CN"/>
        </w:rPr>
        <w:sectPr>
          <w:pgSz w:w="16840" w:h="11907"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
        <w:gridCol w:w="8286"/>
      </w:tblGrid>
      <w:tr w14:paraId="74049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27" w:type="dxa"/>
            <w:noWrap w:val="0"/>
            <w:vAlign w:val="top"/>
          </w:tcPr>
          <w:p w14:paraId="621070E5">
            <w:pPr>
              <w:pStyle w:val="13"/>
              <w:rPr>
                <w:rFonts w:hint="eastAsia" w:ascii="宋体" w:hAnsi="宋体" w:eastAsia="宋体" w:cs="宋体"/>
                <w:color w:val="auto"/>
                <w:spacing w:val="0"/>
                <w:highlight w:val="none"/>
                <w:vertAlign w:val="baseline"/>
              </w:rPr>
            </w:pPr>
          </w:p>
        </w:tc>
        <w:tc>
          <w:tcPr>
            <w:tcW w:w="8090" w:type="dxa"/>
            <w:noWrap w:val="0"/>
            <w:vAlign w:val="top"/>
          </w:tcPr>
          <w:p w14:paraId="23AA1FBB">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eastAsia" w:ascii="宋体" w:hAnsi="宋体" w:eastAsia="宋体" w:cs="宋体"/>
                <w:b/>
                <w:bCs w:val="0"/>
                <w:color w:val="auto"/>
                <w:spacing w:val="0"/>
                <w:sz w:val="24"/>
                <w:szCs w:val="24"/>
                <w:highlight w:val="none"/>
              </w:rPr>
            </w:pPr>
            <w:r>
              <w:rPr>
                <w:rFonts w:hint="eastAsia" w:ascii="宋体" w:hAnsi="宋体" w:eastAsia="宋体" w:cs="宋体"/>
                <w:b/>
                <w:bCs w:val="0"/>
                <w:color w:val="auto"/>
                <w:spacing w:val="0"/>
                <w:sz w:val="24"/>
                <w:szCs w:val="24"/>
                <w:highlight w:val="none"/>
              </w:rPr>
              <w:t>3.3 噪声预测结果</w:t>
            </w:r>
          </w:p>
          <w:p w14:paraId="4EFA011B">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rPr>
              <w:t>本项目所在区域周边50m范围内无声环境敏感目标，本次评价至项目厂</w:t>
            </w:r>
            <w:r>
              <w:rPr>
                <w:rFonts w:hint="eastAsia" w:ascii="宋体" w:hAnsi="宋体" w:eastAsia="宋体" w:cs="宋体"/>
                <w:color w:val="auto"/>
                <w:spacing w:val="0"/>
                <w:sz w:val="24"/>
                <w:szCs w:val="24"/>
                <w:highlight w:val="none"/>
                <w:lang w:val="en-US" w:eastAsia="zh-CN"/>
              </w:rPr>
              <w:t>房</w:t>
            </w:r>
            <w:r>
              <w:rPr>
                <w:rFonts w:hint="eastAsia" w:ascii="宋体" w:hAnsi="宋体" w:eastAsia="宋体" w:cs="宋体"/>
                <w:color w:val="auto"/>
                <w:spacing w:val="0"/>
                <w:sz w:val="24"/>
                <w:szCs w:val="24"/>
                <w:highlight w:val="none"/>
              </w:rPr>
              <w:t>外1m，进行厂界达标论证。采用上述预测方法，拟建项目主要噪声源对厂界噪声贡献值预测计算结果汇总见下表</w:t>
            </w:r>
            <w:r>
              <w:rPr>
                <w:rFonts w:hint="eastAsia" w:cs="宋体"/>
                <w:color w:val="auto"/>
                <w:spacing w:val="0"/>
                <w:sz w:val="24"/>
                <w:szCs w:val="24"/>
                <w:highlight w:val="none"/>
                <w:lang w:eastAsia="zh-CN"/>
              </w:rPr>
              <w:t>。</w:t>
            </w:r>
          </w:p>
          <w:p w14:paraId="567BEEFD">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color w:val="auto"/>
                <w:sz w:val="21"/>
                <w:szCs w:val="16"/>
                <w:highlight w:val="none"/>
                <w:lang w:val="en-US" w:eastAsia="zh-CN"/>
              </w:rPr>
            </w:pPr>
            <w:r>
              <w:rPr>
                <w:rFonts w:hint="eastAsia"/>
                <w:b/>
                <w:bCs/>
                <w:color w:val="auto"/>
                <w:sz w:val="21"/>
                <w:szCs w:val="16"/>
                <w:highlight w:val="none"/>
                <w:lang w:val="en-US" w:eastAsia="zh-CN"/>
              </w:rPr>
              <w:t>表4-14 在建工程厂界噪声结果预测表</w:t>
            </w:r>
            <w:r>
              <w:rPr>
                <w:rFonts w:hint="eastAsia"/>
                <w:color w:val="auto"/>
                <w:sz w:val="21"/>
                <w:szCs w:val="16"/>
                <w:highlight w:val="none"/>
                <w:lang w:val="en-US" w:eastAsia="zh-CN"/>
              </w:rPr>
              <w:t xml:space="preserve"> </w:t>
            </w:r>
            <w:r>
              <w:rPr>
                <w:rFonts w:hint="eastAsia" w:ascii="宋体" w:hAnsi="宋体" w:eastAsia="宋体" w:cs="宋体"/>
                <w:b/>
                <w:bCs/>
                <w:color w:val="auto"/>
                <w:spacing w:val="0"/>
                <w:sz w:val="21"/>
                <w:szCs w:val="21"/>
                <w:highlight w:val="none"/>
              </w:rPr>
              <w:t>单位dB(A)</w:t>
            </w:r>
          </w:p>
          <w:tbl>
            <w:tblPr>
              <w:tblStyle w:val="3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42"/>
              <w:gridCol w:w="1817"/>
              <w:gridCol w:w="2308"/>
            </w:tblGrid>
            <w:tr w14:paraId="288BA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43" w:type="pct"/>
                  <w:vMerge w:val="restart"/>
                  <w:tcBorders>
                    <w:top w:val="single" w:color="auto" w:sz="4" w:space="0"/>
                    <w:left w:val="single" w:color="auto" w:sz="4" w:space="0"/>
                  </w:tcBorders>
                  <w:noWrap w:val="0"/>
                  <w:vAlign w:val="center"/>
                </w:tcPr>
                <w:p w14:paraId="61B456B1">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预测点</w:t>
                  </w:r>
                </w:p>
              </w:tc>
              <w:tc>
                <w:tcPr>
                  <w:tcW w:w="1126" w:type="pct"/>
                  <w:vMerge w:val="restart"/>
                  <w:tcBorders>
                    <w:top w:val="single" w:color="auto" w:sz="4" w:space="0"/>
                  </w:tcBorders>
                  <w:noWrap w:val="0"/>
                  <w:vAlign w:val="center"/>
                </w:tcPr>
                <w:p w14:paraId="76ADCE70">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贡献值</w:t>
                  </w:r>
                </w:p>
              </w:tc>
              <w:tc>
                <w:tcPr>
                  <w:tcW w:w="1430" w:type="pct"/>
                  <w:vMerge w:val="restart"/>
                  <w:tcBorders>
                    <w:top w:val="single" w:color="auto" w:sz="4" w:space="0"/>
                    <w:right w:val="single" w:color="auto" w:sz="4" w:space="0"/>
                  </w:tcBorders>
                  <w:noWrap w:val="0"/>
                  <w:vAlign w:val="center"/>
                </w:tcPr>
                <w:p w14:paraId="08B9191C">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达标情况</w:t>
                  </w:r>
                </w:p>
              </w:tc>
            </w:tr>
            <w:tr w14:paraId="1C63F0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43" w:type="pct"/>
                  <w:vMerge w:val="continue"/>
                  <w:tcBorders>
                    <w:left w:val="single" w:color="auto" w:sz="4" w:space="0"/>
                  </w:tcBorders>
                  <w:noWrap w:val="0"/>
                  <w:vAlign w:val="center"/>
                </w:tcPr>
                <w:p w14:paraId="1DA89F8D">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rPr>
                  </w:pPr>
                </w:p>
              </w:tc>
              <w:tc>
                <w:tcPr>
                  <w:tcW w:w="1126" w:type="pct"/>
                  <w:vMerge w:val="continue"/>
                  <w:noWrap w:val="0"/>
                  <w:vAlign w:val="center"/>
                </w:tcPr>
                <w:p w14:paraId="18BD5B9D">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rPr>
                  </w:pPr>
                </w:p>
              </w:tc>
              <w:tc>
                <w:tcPr>
                  <w:tcW w:w="1430" w:type="pct"/>
                  <w:vMerge w:val="continue"/>
                  <w:tcBorders>
                    <w:right w:val="single" w:color="auto" w:sz="4" w:space="0"/>
                  </w:tcBorders>
                  <w:noWrap w:val="0"/>
                  <w:vAlign w:val="center"/>
                </w:tcPr>
                <w:p w14:paraId="7980C6C7">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rPr>
                  </w:pPr>
                </w:p>
              </w:tc>
            </w:tr>
            <w:tr w14:paraId="7BE554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43" w:type="pct"/>
                  <w:tcBorders>
                    <w:left w:val="single" w:color="auto" w:sz="4" w:space="0"/>
                  </w:tcBorders>
                  <w:noWrap w:val="0"/>
                  <w:vAlign w:val="center"/>
                </w:tcPr>
                <w:p w14:paraId="4C0EB6B2">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lang w:eastAsia="zh-CN"/>
                    </w:rPr>
                  </w:pPr>
                  <w:r>
                    <w:rPr>
                      <w:rFonts w:hint="eastAsia" w:ascii="宋体" w:hAnsi="宋体" w:eastAsia="宋体" w:cs="宋体"/>
                      <w:color w:val="auto"/>
                      <w:spacing w:val="0"/>
                      <w:kern w:val="0"/>
                      <w:sz w:val="21"/>
                      <w:szCs w:val="21"/>
                      <w:highlight w:val="none"/>
                    </w:rPr>
                    <w:t>厂界</w:t>
                  </w:r>
                  <w:r>
                    <w:rPr>
                      <w:rFonts w:hint="eastAsia" w:ascii="宋体" w:hAnsi="宋体" w:eastAsia="宋体" w:cs="宋体"/>
                      <w:color w:val="auto"/>
                      <w:spacing w:val="0"/>
                      <w:kern w:val="0"/>
                      <w:sz w:val="21"/>
                      <w:szCs w:val="21"/>
                      <w:highlight w:val="none"/>
                      <w:lang w:val="en-US" w:eastAsia="zh-CN"/>
                    </w:rPr>
                    <w:t>东</w:t>
                  </w:r>
                  <w:r>
                    <w:rPr>
                      <w:rFonts w:hint="eastAsia" w:ascii="宋体" w:hAnsi="宋体" w:eastAsia="宋体" w:cs="宋体"/>
                      <w:color w:val="auto"/>
                      <w:spacing w:val="0"/>
                      <w:kern w:val="0"/>
                      <w:sz w:val="21"/>
                      <w:szCs w:val="21"/>
                      <w:highlight w:val="none"/>
                    </w:rPr>
                    <w:t>侧</w:t>
                  </w:r>
                  <w:r>
                    <w:rPr>
                      <w:rFonts w:hint="eastAsia" w:ascii="宋体" w:hAnsi="宋体" w:eastAsia="宋体" w:cs="宋体"/>
                      <w:color w:val="auto"/>
                      <w:spacing w:val="0"/>
                      <w:kern w:val="0"/>
                      <w:sz w:val="21"/>
                      <w:szCs w:val="21"/>
                      <w:highlight w:val="none"/>
                      <w:lang w:val="en-US" w:eastAsia="zh-CN"/>
                    </w:rPr>
                    <w:t>1m处</w:t>
                  </w:r>
                </w:p>
              </w:tc>
              <w:tc>
                <w:tcPr>
                  <w:tcW w:w="1773" w:type="dxa"/>
                  <w:noWrap w:val="0"/>
                  <w:vAlign w:val="center"/>
                </w:tcPr>
                <w:p w14:paraId="4013C47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val="0"/>
                      <w:color w:val="auto"/>
                      <w:spacing w:val="0"/>
                      <w:kern w:val="0"/>
                      <w:sz w:val="21"/>
                      <w:szCs w:val="21"/>
                      <w:highlight w:val="none"/>
                      <w:lang w:val="en-US" w:eastAsia="zh-CN" w:bidi="ar-SA"/>
                    </w:rPr>
                  </w:pPr>
                  <w:r>
                    <w:rPr>
                      <w:rFonts w:hint="eastAsia" w:ascii="宋体" w:hAnsi="宋体" w:eastAsia="宋体" w:cs="宋体"/>
                      <w:bCs w:val="0"/>
                      <w:color w:val="auto"/>
                      <w:spacing w:val="0"/>
                      <w:kern w:val="0"/>
                      <w:sz w:val="21"/>
                      <w:szCs w:val="21"/>
                      <w:highlight w:val="none"/>
                      <w:lang w:val="en-US" w:eastAsia="zh-CN" w:bidi="ar-SA"/>
                    </w:rPr>
                    <w:t>51.7</w:t>
                  </w:r>
                </w:p>
              </w:tc>
              <w:tc>
                <w:tcPr>
                  <w:tcW w:w="1430" w:type="pct"/>
                  <w:tcBorders>
                    <w:right w:val="single" w:color="auto" w:sz="4" w:space="0"/>
                  </w:tcBorders>
                  <w:noWrap w:val="0"/>
                  <w:vAlign w:val="center"/>
                </w:tcPr>
                <w:p w14:paraId="60437B0B">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达标</w:t>
                  </w:r>
                </w:p>
              </w:tc>
            </w:tr>
            <w:tr w14:paraId="31F58B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43" w:type="pct"/>
                  <w:tcBorders>
                    <w:left w:val="single" w:color="auto" w:sz="4" w:space="0"/>
                  </w:tcBorders>
                  <w:noWrap w:val="0"/>
                  <w:vAlign w:val="center"/>
                </w:tcPr>
                <w:p w14:paraId="77D01730">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lang w:eastAsia="zh-CN"/>
                    </w:rPr>
                  </w:pPr>
                  <w:r>
                    <w:rPr>
                      <w:rFonts w:hint="eastAsia" w:ascii="宋体" w:hAnsi="宋体" w:eastAsia="宋体" w:cs="宋体"/>
                      <w:color w:val="auto"/>
                      <w:spacing w:val="0"/>
                      <w:kern w:val="0"/>
                      <w:sz w:val="21"/>
                      <w:szCs w:val="21"/>
                      <w:highlight w:val="none"/>
                      <w:lang w:val="en-US" w:eastAsia="zh-CN"/>
                    </w:rPr>
                    <w:t>厂界南侧1m处</w:t>
                  </w:r>
                </w:p>
              </w:tc>
              <w:tc>
                <w:tcPr>
                  <w:tcW w:w="1773" w:type="dxa"/>
                  <w:noWrap w:val="0"/>
                  <w:vAlign w:val="center"/>
                </w:tcPr>
                <w:p w14:paraId="205F7C9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val="0"/>
                      <w:color w:val="auto"/>
                      <w:spacing w:val="0"/>
                      <w:kern w:val="0"/>
                      <w:sz w:val="21"/>
                      <w:szCs w:val="21"/>
                      <w:highlight w:val="none"/>
                      <w:lang w:val="en-US" w:eastAsia="zh-CN" w:bidi="ar-SA"/>
                    </w:rPr>
                  </w:pPr>
                  <w:r>
                    <w:rPr>
                      <w:rFonts w:hint="eastAsia" w:ascii="宋体" w:hAnsi="宋体" w:eastAsia="宋体" w:cs="宋体"/>
                      <w:bCs w:val="0"/>
                      <w:color w:val="auto"/>
                      <w:spacing w:val="0"/>
                      <w:kern w:val="0"/>
                      <w:sz w:val="21"/>
                      <w:szCs w:val="21"/>
                      <w:highlight w:val="none"/>
                      <w:lang w:val="en-US" w:eastAsia="zh-CN" w:bidi="ar-SA"/>
                    </w:rPr>
                    <w:t>50.0</w:t>
                  </w:r>
                </w:p>
              </w:tc>
              <w:tc>
                <w:tcPr>
                  <w:tcW w:w="1430" w:type="pct"/>
                  <w:tcBorders>
                    <w:right w:val="single" w:color="auto" w:sz="4" w:space="0"/>
                  </w:tcBorders>
                  <w:noWrap w:val="0"/>
                  <w:vAlign w:val="center"/>
                </w:tcPr>
                <w:p w14:paraId="0848D9F3">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达标</w:t>
                  </w:r>
                </w:p>
              </w:tc>
            </w:tr>
            <w:tr w14:paraId="1F618D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43" w:type="pct"/>
                  <w:tcBorders>
                    <w:left w:val="single" w:color="auto" w:sz="4" w:space="0"/>
                  </w:tcBorders>
                  <w:noWrap w:val="0"/>
                  <w:vAlign w:val="center"/>
                </w:tcPr>
                <w:p w14:paraId="6CDD0BD5">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厂界</w:t>
                  </w:r>
                  <w:r>
                    <w:rPr>
                      <w:rFonts w:hint="eastAsia" w:ascii="宋体" w:hAnsi="宋体" w:eastAsia="宋体" w:cs="宋体"/>
                      <w:color w:val="auto"/>
                      <w:spacing w:val="0"/>
                      <w:kern w:val="0"/>
                      <w:sz w:val="21"/>
                      <w:szCs w:val="21"/>
                      <w:highlight w:val="none"/>
                      <w:lang w:val="en-US" w:eastAsia="zh-CN"/>
                    </w:rPr>
                    <w:t>西侧1m处</w:t>
                  </w:r>
                </w:p>
              </w:tc>
              <w:tc>
                <w:tcPr>
                  <w:tcW w:w="1773" w:type="dxa"/>
                  <w:noWrap w:val="0"/>
                  <w:vAlign w:val="center"/>
                </w:tcPr>
                <w:p w14:paraId="1D54B1C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val="0"/>
                      <w:color w:val="auto"/>
                      <w:spacing w:val="0"/>
                      <w:kern w:val="0"/>
                      <w:sz w:val="21"/>
                      <w:szCs w:val="21"/>
                      <w:highlight w:val="none"/>
                      <w:lang w:val="en-US" w:eastAsia="zh-CN" w:bidi="ar-SA"/>
                    </w:rPr>
                  </w:pPr>
                  <w:r>
                    <w:rPr>
                      <w:rFonts w:hint="eastAsia" w:ascii="宋体" w:hAnsi="宋体" w:eastAsia="宋体" w:cs="宋体"/>
                      <w:bCs w:val="0"/>
                      <w:color w:val="auto"/>
                      <w:spacing w:val="0"/>
                      <w:kern w:val="0"/>
                      <w:sz w:val="21"/>
                      <w:szCs w:val="21"/>
                      <w:highlight w:val="none"/>
                      <w:lang w:val="en-US" w:eastAsia="zh-CN" w:bidi="ar-SA"/>
                    </w:rPr>
                    <w:t>48.4</w:t>
                  </w:r>
                </w:p>
              </w:tc>
              <w:tc>
                <w:tcPr>
                  <w:tcW w:w="1430" w:type="pct"/>
                  <w:tcBorders>
                    <w:right w:val="single" w:color="auto" w:sz="4" w:space="0"/>
                  </w:tcBorders>
                  <w:noWrap w:val="0"/>
                  <w:vAlign w:val="center"/>
                </w:tcPr>
                <w:p w14:paraId="4252EFBD">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达标</w:t>
                  </w:r>
                </w:p>
              </w:tc>
            </w:tr>
            <w:tr w14:paraId="3DFA66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43" w:type="pct"/>
                  <w:tcBorders>
                    <w:left w:val="single" w:color="auto" w:sz="4" w:space="0"/>
                  </w:tcBorders>
                  <w:noWrap w:val="0"/>
                  <w:vAlign w:val="center"/>
                </w:tcPr>
                <w:p w14:paraId="291FE9DE">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lang w:val="en-US" w:eastAsia="zh-CN"/>
                    </w:rPr>
                    <w:t>厂界北侧1m处</w:t>
                  </w:r>
                </w:p>
              </w:tc>
              <w:tc>
                <w:tcPr>
                  <w:tcW w:w="1773" w:type="dxa"/>
                  <w:noWrap w:val="0"/>
                  <w:vAlign w:val="center"/>
                </w:tcPr>
                <w:p w14:paraId="2183F43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bCs/>
                      <w:i w:val="0"/>
                      <w:iCs w:val="0"/>
                      <w:color w:val="auto"/>
                      <w:kern w:val="0"/>
                      <w:sz w:val="21"/>
                      <w:szCs w:val="21"/>
                      <w:highlight w:val="none"/>
                      <w:u w:val="none"/>
                      <w:lang w:val="en-US" w:eastAsia="zh-CN" w:bidi="ar"/>
                    </w:rPr>
                    <w:t>49.2</w:t>
                  </w:r>
                </w:p>
              </w:tc>
              <w:tc>
                <w:tcPr>
                  <w:tcW w:w="1430" w:type="pct"/>
                  <w:tcBorders>
                    <w:right w:val="single" w:color="auto" w:sz="4" w:space="0"/>
                  </w:tcBorders>
                  <w:noWrap w:val="0"/>
                  <w:vAlign w:val="center"/>
                </w:tcPr>
                <w:p w14:paraId="4DAB0DA4">
                  <w:pPr>
                    <w:pStyle w:val="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outlineLvl w:val="9"/>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达标</w:t>
                  </w:r>
                </w:p>
              </w:tc>
            </w:tr>
          </w:tbl>
          <w:p w14:paraId="32275BAA">
            <w:pPr>
              <w:pStyle w:val="13"/>
              <w:keepNext w:val="0"/>
              <w:keepLines w:val="0"/>
              <w:pageBreakBefore w:val="0"/>
              <w:widowControl/>
              <w:kinsoku/>
              <w:wordWrap/>
              <w:overflowPunct/>
              <w:topLinePunct w:val="0"/>
              <w:autoSpaceDE/>
              <w:autoSpaceDN/>
              <w:bidi w:val="0"/>
              <w:adjustRightInd w:val="0"/>
              <w:snapToGrid w:val="0"/>
              <w:spacing w:before="0" w:after="0" w:line="240" w:lineRule="auto"/>
              <w:ind w:right="0"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表4-</w:t>
            </w:r>
            <w:r>
              <w:rPr>
                <w:rFonts w:hint="eastAsia" w:ascii="宋体" w:hAnsi="宋体" w:eastAsia="宋体" w:cs="宋体"/>
                <w:b/>
                <w:bCs/>
                <w:color w:val="auto"/>
                <w:spacing w:val="0"/>
                <w:sz w:val="21"/>
                <w:szCs w:val="21"/>
                <w:highlight w:val="none"/>
                <w:lang w:val="en-US" w:eastAsia="zh-CN"/>
              </w:rPr>
              <w:t>1</w:t>
            </w:r>
            <w:r>
              <w:rPr>
                <w:rFonts w:hint="eastAsia" w:ascii="宋体" w:hAnsi="宋体" w:cs="宋体"/>
                <w:b/>
                <w:bCs/>
                <w:color w:val="auto"/>
                <w:spacing w:val="0"/>
                <w:sz w:val="21"/>
                <w:szCs w:val="21"/>
                <w:highlight w:val="none"/>
                <w:lang w:val="en-US" w:eastAsia="zh-CN"/>
              </w:rPr>
              <w:t>5</w:t>
            </w:r>
            <w:r>
              <w:rPr>
                <w:rFonts w:hint="eastAsia" w:ascii="宋体" w:hAnsi="宋体" w:eastAsia="宋体" w:cs="宋体"/>
                <w:b/>
                <w:bCs/>
                <w:color w:val="auto"/>
                <w:spacing w:val="0"/>
                <w:sz w:val="21"/>
                <w:szCs w:val="21"/>
                <w:highlight w:val="none"/>
              </w:rPr>
              <w:t xml:space="preserve"> </w:t>
            </w:r>
            <w:r>
              <w:rPr>
                <w:rFonts w:hint="eastAsia" w:ascii="宋体" w:hAnsi="宋体" w:cs="宋体"/>
                <w:b/>
                <w:bCs/>
                <w:color w:val="auto"/>
                <w:spacing w:val="0"/>
                <w:sz w:val="21"/>
                <w:szCs w:val="21"/>
                <w:highlight w:val="none"/>
                <w:lang w:val="en-US" w:eastAsia="zh-CN"/>
              </w:rPr>
              <w:t>本项目</w:t>
            </w:r>
            <w:r>
              <w:rPr>
                <w:rFonts w:hint="eastAsia" w:ascii="宋体" w:hAnsi="宋体" w:eastAsia="宋体" w:cs="宋体"/>
                <w:b/>
                <w:bCs/>
                <w:color w:val="auto"/>
                <w:spacing w:val="0"/>
                <w:sz w:val="21"/>
                <w:szCs w:val="21"/>
                <w:highlight w:val="none"/>
              </w:rPr>
              <w:t>噪声预测结果统计表 单位dB(A)</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1"/>
              <w:gridCol w:w="2333"/>
              <w:gridCol w:w="1469"/>
              <w:gridCol w:w="1265"/>
              <w:gridCol w:w="1519"/>
            </w:tblGrid>
            <w:tr w14:paraId="1765A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restart"/>
                  <w:noWrap w:val="0"/>
                  <w:vAlign w:val="center"/>
                </w:tcPr>
                <w:p w14:paraId="64D1859B">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厂界方位</w:t>
                  </w:r>
                </w:p>
              </w:tc>
              <w:tc>
                <w:tcPr>
                  <w:tcW w:w="1447" w:type="pct"/>
                  <w:vMerge w:val="restart"/>
                  <w:noWrap w:val="0"/>
                  <w:vAlign w:val="center"/>
                </w:tcPr>
                <w:p w14:paraId="53DD4431">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噪声贡献值</w:t>
                  </w:r>
                </w:p>
              </w:tc>
              <w:tc>
                <w:tcPr>
                  <w:tcW w:w="1696" w:type="pct"/>
                  <w:gridSpan w:val="2"/>
                  <w:noWrap w:val="0"/>
                  <w:vAlign w:val="center"/>
                </w:tcPr>
                <w:p w14:paraId="5AA83D3C">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噪声限值</w:t>
                  </w:r>
                </w:p>
              </w:tc>
              <w:tc>
                <w:tcPr>
                  <w:tcW w:w="942" w:type="pct"/>
                  <w:vMerge w:val="restart"/>
                  <w:noWrap w:val="0"/>
                  <w:vAlign w:val="center"/>
                </w:tcPr>
                <w:p w14:paraId="730BB440">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达标情况</w:t>
                  </w:r>
                </w:p>
              </w:tc>
            </w:tr>
            <w:tr w14:paraId="49F5F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continue"/>
                  <w:noWrap w:val="0"/>
                  <w:vAlign w:val="center"/>
                </w:tcPr>
                <w:p w14:paraId="70A60ED0">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1447" w:type="pct"/>
                  <w:vMerge w:val="continue"/>
                  <w:noWrap w:val="0"/>
                  <w:vAlign w:val="center"/>
                </w:tcPr>
                <w:p w14:paraId="09D46BC1">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911" w:type="pct"/>
                  <w:noWrap w:val="0"/>
                  <w:vAlign w:val="center"/>
                </w:tcPr>
                <w:p w14:paraId="350F7D1B">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昼间</w:t>
                  </w:r>
                </w:p>
              </w:tc>
              <w:tc>
                <w:tcPr>
                  <w:tcW w:w="785" w:type="pct"/>
                  <w:noWrap w:val="0"/>
                  <w:vAlign w:val="center"/>
                </w:tcPr>
                <w:p w14:paraId="67D4D242">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夜间</w:t>
                  </w:r>
                </w:p>
              </w:tc>
              <w:tc>
                <w:tcPr>
                  <w:tcW w:w="942" w:type="pct"/>
                  <w:vMerge w:val="continue"/>
                  <w:noWrap w:val="0"/>
                  <w:vAlign w:val="center"/>
                </w:tcPr>
                <w:p w14:paraId="1CA1F265">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r>
            <w:tr w14:paraId="5D168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noWrap w:val="0"/>
                  <w:vAlign w:val="center"/>
                </w:tcPr>
                <w:p w14:paraId="39A9C200">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东侧厂界</w:t>
                  </w:r>
                </w:p>
              </w:tc>
              <w:tc>
                <w:tcPr>
                  <w:tcW w:w="2349" w:type="dxa"/>
                  <w:noWrap w:val="0"/>
                  <w:vAlign w:val="center"/>
                </w:tcPr>
                <w:p w14:paraId="462699B6">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36.7</w:t>
                  </w:r>
                </w:p>
              </w:tc>
              <w:tc>
                <w:tcPr>
                  <w:tcW w:w="911" w:type="pct"/>
                  <w:vMerge w:val="restart"/>
                  <w:noWrap w:val="0"/>
                  <w:vAlign w:val="center"/>
                </w:tcPr>
                <w:p w14:paraId="4B862842">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65</w:t>
                  </w:r>
                </w:p>
              </w:tc>
              <w:tc>
                <w:tcPr>
                  <w:tcW w:w="785" w:type="pct"/>
                  <w:vMerge w:val="restart"/>
                  <w:noWrap w:val="0"/>
                  <w:vAlign w:val="center"/>
                </w:tcPr>
                <w:p w14:paraId="142EE061">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55</w:t>
                  </w:r>
                </w:p>
              </w:tc>
              <w:tc>
                <w:tcPr>
                  <w:tcW w:w="942" w:type="pct"/>
                  <w:noWrap w:val="0"/>
                  <w:vAlign w:val="center"/>
                </w:tcPr>
                <w:p w14:paraId="3E9A507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lang w:eastAsia="zh-CN"/>
                    </w:rPr>
                  </w:pPr>
                  <w:r>
                    <w:rPr>
                      <w:rFonts w:hint="eastAsia" w:ascii="宋体" w:hAnsi="宋体" w:eastAsia="宋体" w:cs="宋体"/>
                      <w:color w:val="auto"/>
                      <w:spacing w:val="0"/>
                      <w:sz w:val="21"/>
                      <w:szCs w:val="21"/>
                      <w:highlight w:val="none"/>
                      <w:lang w:eastAsia="zh-CN"/>
                    </w:rPr>
                    <w:t>达标</w:t>
                  </w:r>
                </w:p>
              </w:tc>
            </w:tr>
            <w:tr w14:paraId="6A795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noWrap w:val="0"/>
                  <w:vAlign w:val="center"/>
                </w:tcPr>
                <w:p w14:paraId="7C687759">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南侧厂界</w:t>
                  </w:r>
                </w:p>
              </w:tc>
              <w:tc>
                <w:tcPr>
                  <w:tcW w:w="2349" w:type="dxa"/>
                  <w:noWrap w:val="0"/>
                  <w:vAlign w:val="center"/>
                </w:tcPr>
                <w:p w14:paraId="1216FA56">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33.8</w:t>
                  </w:r>
                </w:p>
              </w:tc>
              <w:tc>
                <w:tcPr>
                  <w:tcW w:w="911" w:type="pct"/>
                  <w:vMerge w:val="continue"/>
                  <w:noWrap w:val="0"/>
                  <w:vAlign w:val="center"/>
                </w:tcPr>
                <w:p w14:paraId="1FE4E291">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785" w:type="pct"/>
                  <w:vMerge w:val="continue"/>
                  <w:noWrap w:val="0"/>
                  <w:vAlign w:val="center"/>
                </w:tcPr>
                <w:p w14:paraId="4849CCD3">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942" w:type="pct"/>
                  <w:noWrap w:val="0"/>
                  <w:vAlign w:val="center"/>
                </w:tcPr>
                <w:p w14:paraId="565AEA3E">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lang w:eastAsia="zh-CN"/>
                    </w:rPr>
                    <w:t>达标</w:t>
                  </w:r>
                </w:p>
              </w:tc>
            </w:tr>
            <w:tr w14:paraId="21FBE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noWrap w:val="0"/>
                  <w:vAlign w:val="center"/>
                </w:tcPr>
                <w:p w14:paraId="5AE3A72A">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西侧厂界</w:t>
                  </w:r>
                </w:p>
              </w:tc>
              <w:tc>
                <w:tcPr>
                  <w:tcW w:w="2349" w:type="dxa"/>
                  <w:noWrap w:val="0"/>
                  <w:vAlign w:val="center"/>
                </w:tcPr>
                <w:p w14:paraId="079E85CD">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24.8</w:t>
                  </w:r>
                </w:p>
              </w:tc>
              <w:tc>
                <w:tcPr>
                  <w:tcW w:w="911" w:type="pct"/>
                  <w:vMerge w:val="continue"/>
                  <w:noWrap w:val="0"/>
                  <w:vAlign w:val="center"/>
                </w:tcPr>
                <w:p w14:paraId="13A016F6">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785" w:type="pct"/>
                  <w:vMerge w:val="continue"/>
                  <w:noWrap w:val="0"/>
                  <w:vAlign w:val="center"/>
                </w:tcPr>
                <w:p w14:paraId="78AE9515">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942" w:type="pct"/>
                  <w:noWrap w:val="0"/>
                  <w:vAlign w:val="center"/>
                </w:tcPr>
                <w:p w14:paraId="39D6B931">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lang w:eastAsia="zh-CN"/>
                    </w:rPr>
                    <w:t>达标</w:t>
                  </w:r>
                </w:p>
              </w:tc>
            </w:tr>
            <w:tr w14:paraId="3E5FE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noWrap w:val="0"/>
                  <w:vAlign w:val="center"/>
                </w:tcPr>
                <w:p w14:paraId="2009D4D2">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lang w:val="en-US" w:eastAsia="zh-CN"/>
                    </w:rPr>
                    <w:t>北</w:t>
                  </w:r>
                  <w:r>
                    <w:rPr>
                      <w:rFonts w:hint="eastAsia" w:ascii="宋体" w:hAnsi="宋体" w:eastAsia="宋体" w:cs="宋体"/>
                      <w:color w:val="auto"/>
                      <w:spacing w:val="0"/>
                      <w:sz w:val="21"/>
                      <w:szCs w:val="21"/>
                      <w:highlight w:val="none"/>
                    </w:rPr>
                    <w:t>侧厂界</w:t>
                  </w:r>
                </w:p>
              </w:tc>
              <w:tc>
                <w:tcPr>
                  <w:tcW w:w="2349" w:type="dxa"/>
                  <w:noWrap w:val="0"/>
                  <w:vAlign w:val="center"/>
                </w:tcPr>
                <w:p w14:paraId="471C3869">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28.0</w:t>
                  </w:r>
                </w:p>
              </w:tc>
              <w:tc>
                <w:tcPr>
                  <w:tcW w:w="911" w:type="pct"/>
                  <w:vMerge w:val="continue"/>
                  <w:noWrap w:val="0"/>
                  <w:vAlign w:val="center"/>
                </w:tcPr>
                <w:p w14:paraId="4D5F830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785" w:type="pct"/>
                  <w:vMerge w:val="continue"/>
                  <w:noWrap w:val="0"/>
                  <w:vAlign w:val="center"/>
                </w:tcPr>
                <w:p w14:paraId="3B02C33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942" w:type="pct"/>
                  <w:noWrap w:val="0"/>
                  <w:vAlign w:val="center"/>
                </w:tcPr>
                <w:p w14:paraId="4BF9DA3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lang w:eastAsia="zh-CN"/>
                    </w:rPr>
                    <w:t>达标</w:t>
                  </w:r>
                </w:p>
              </w:tc>
            </w:tr>
          </w:tbl>
          <w:p w14:paraId="3D513E87">
            <w:pPr>
              <w:pStyle w:val="14"/>
              <w:rPr>
                <w:rFonts w:hint="default" w:cs="宋体"/>
                <w:color w:val="auto"/>
                <w:sz w:val="24"/>
                <w:highlight w:val="none"/>
                <w:lang w:val="en-US" w:eastAsia="zh-CN"/>
              </w:rPr>
            </w:pPr>
            <w:r>
              <w:rPr>
                <w:rFonts w:hint="eastAsia" w:cs="宋体"/>
                <w:color w:val="auto"/>
                <w:sz w:val="24"/>
                <w:highlight w:val="none"/>
                <w:lang w:val="en-US" w:eastAsia="zh-CN"/>
              </w:rPr>
              <w:t>本项目建成后对在建工程噪声源进行叠加，叠加后全厂厂界噪声贡献值如下表：</w:t>
            </w:r>
          </w:p>
          <w:p w14:paraId="2B5F9857">
            <w:pPr>
              <w:pStyle w:val="14"/>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
                <w:bCs w:val="0"/>
                <w:color w:val="auto"/>
                <w:sz w:val="21"/>
                <w:szCs w:val="18"/>
                <w:highlight w:val="none"/>
                <w:lang w:val="en-US" w:eastAsia="zh-CN"/>
              </w:rPr>
            </w:pPr>
            <w:r>
              <w:rPr>
                <w:rFonts w:hint="eastAsia" w:cs="宋体"/>
                <w:b/>
                <w:bCs w:val="0"/>
                <w:color w:val="auto"/>
                <w:sz w:val="21"/>
                <w:szCs w:val="18"/>
                <w:highlight w:val="none"/>
                <w:lang w:val="en-US" w:eastAsia="zh-CN"/>
              </w:rPr>
              <w:t>表4-16 全厂厂界噪声贡献值统计表</w:t>
            </w:r>
            <w:r>
              <w:rPr>
                <w:rFonts w:hint="eastAsia" w:ascii="宋体" w:hAnsi="宋体" w:eastAsia="宋体" w:cs="宋体"/>
                <w:b/>
                <w:bCs w:val="0"/>
                <w:color w:val="auto"/>
                <w:spacing w:val="0"/>
                <w:sz w:val="21"/>
                <w:szCs w:val="21"/>
                <w:highlight w:val="none"/>
              </w:rPr>
              <w:t xml:space="preserve"> 单位dB(A)</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1"/>
              <w:gridCol w:w="2333"/>
              <w:gridCol w:w="1469"/>
              <w:gridCol w:w="1265"/>
              <w:gridCol w:w="1519"/>
            </w:tblGrid>
            <w:tr w14:paraId="39080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restart"/>
                  <w:noWrap w:val="0"/>
                  <w:vAlign w:val="center"/>
                </w:tcPr>
                <w:p w14:paraId="6E5F2A58">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厂界方位</w:t>
                  </w:r>
                </w:p>
              </w:tc>
              <w:tc>
                <w:tcPr>
                  <w:tcW w:w="1447" w:type="pct"/>
                  <w:vMerge w:val="restart"/>
                  <w:noWrap w:val="0"/>
                  <w:vAlign w:val="center"/>
                </w:tcPr>
                <w:p w14:paraId="5D22F8BA">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噪声贡献值</w:t>
                  </w:r>
                </w:p>
              </w:tc>
              <w:tc>
                <w:tcPr>
                  <w:tcW w:w="1696" w:type="pct"/>
                  <w:gridSpan w:val="2"/>
                  <w:noWrap w:val="0"/>
                  <w:vAlign w:val="center"/>
                </w:tcPr>
                <w:p w14:paraId="0892E5CE">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噪声限值</w:t>
                  </w:r>
                </w:p>
              </w:tc>
              <w:tc>
                <w:tcPr>
                  <w:tcW w:w="942" w:type="pct"/>
                  <w:vMerge w:val="restart"/>
                  <w:noWrap w:val="0"/>
                  <w:vAlign w:val="center"/>
                </w:tcPr>
                <w:p w14:paraId="503DF996">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达标情况</w:t>
                  </w:r>
                </w:p>
              </w:tc>
            </w:tr>
            <w:tr w14:paraId="163E0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vMerge w:val="continue"/>
                  <w:noWrap w:val="0"/>
                  <w:vAlign w:val="center"/>
                </w:tcPr>
                <w:p w14:paraId="0978A063">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1447" w:type="pct"/>
                  <w:vMerge w:val="continue"/>
                  <w:noWrap w:val="0"/>
                  <w:vAlign w:val="center"/>
                </w:tcPr>
                <w:p w14:paraId="2C446DA9">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911" w:type="pct"/>
                  <w:noWrap w:val="0"/>
                  <w:vAlign w:val="center"/>
                </w:tcPr>
                <w:p w14:paraId="275E0634">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昼间</w:t>
                  </w:r>
                </w:p>
              </w:tc>
              <w:tc>
                <w:tcPr>
                  <w:tcW w:w="785" w:type="pct"/>
                  <w:noWrap w:val="0"/>
                  <w:vAlign w:val="center"/>
                </w:tcPr>
                <w:p w14:paraId="712E1B1A">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b/>
                      <w:bCs/>
                      <w:color w:val="auto"/>
                      <w:spacing w:val="0"/>
                      <w:sz w:val="21"/>
                      <w:szCs w:val="21"/>
                      <w:highlight w:val="none"/>
                    </w:rPr>
                  </w:pPr>
                  <w:r>
                    <w:rPr>
                      <w:rFonts w:hint="eastAsia" w:ascii="宋体" w:hAnsi="宋体" w:eastAsia="宋体" w:cs="宋体"/>
                      <w:b/>
                      <w:bCs/>
                      <w:color w:val="auto"/>
                      <w:spacing w:val="0"/>
                      <w:sz w:val="21"/>
                      <w:szCs w:val="21"/>
                      <w:highlight w:val="none"/>
                    </w:rPr>
                    <w:t>夜间</w:t>
                  </w:r>
                </w:p>
              </w:tc>
              <w:tc>
                <w:tcPr>
                  <w:tcW w:w="942" w:type="pct"/>
                  <w:vMerge w:val="continue"/>
                  <w:noWrap w:val="0"/>
                  <w:vAlign w:val="center"/>
                </w:tcPr>
                <w:p w14:paraId="085F10DE">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r>
            <w:tr w14:paraId="4BD0A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noWrap w:val="0"/>
                  <w:vAlign w:val="center"/>
                </w:tcPr>
                <w:p w14:paraId="10B5248D">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东侧厂界</w:t>
                  </w:r>
                </w:p>
              </w:tc>
              <w:tc>
                <w:tcPr>
                  <w:tcW w:w="2349" w:type="dxa"/>
                  <w:noWrap w:val="0"/>
                  <w:vAlign w:val="center"/>
                </w:tcPr>
                <w:p w14:paraId="5F50DFAF">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51.84</w:t>
                  </w:r>
                </w:p>
              </w:tc>
              <w:tc>
                <w:tcPr>
                  <w:tcW w:w="911" w:type="pct"/>
                  <w:vMerge w:val="restart"/>
                  <w:noWrap w:val="0"/>
                  <w:vAlign w:val="center"/>
                </w:tcPr>
                <w:p w14:paraId="265FC10A">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65</w:t>
                  </w:r>
                </w:p>
              </w:tc>
              <w:tc>
                <w:tcPr>
                  <w:tcW w:w="785" w:type="pct"/>
                  <w:vMerge w:val="restart"/>
                  <w:noWrap w:val="0"/>
                  <w:vAlign w:val="center"/>
                </w:tcPr>
                <w:p w14:paraId="05899CC8">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55</w:t>
                  </w:r>
                </w:p>
              </w:tc>
              <w:tc>
                <w:tcPr>
                  <w:tcW w:w="942" w:type="pct"/>
                  <w:noWrap w:val="0"/>
                  <w:vAlign w:val="center"/>
                </w:tcPr>
                <w:p w14:paraId="1A4F3A4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lang w:eastAsia="zh-CN"/>
                    </w:rPr>
                  </w:pPr>
                  <w:r>
                    <w:rPr>
                      <w:rFonts w:hint="eastAsia" w:ascii="宋体" w:hAnsi="宋体" w:eastAsia="宋体" w:cs="宋体"/>
                      <w:color w:val="auto"/>
                      <w:spacing w:val="0"/>
                      <w:sz w:val="21"/>
                      <w:szCs w:val="21"/>
                      <w:highlight w:val="none"/>
                      <w:lang w:eastAsia="zh-CN"/>
                    </w:rPr>
                    <w:t>达标</w:t>
                  </w:r>
                </w:p>
              </w:tc>
            </w:tr>
            <w:tr w14:paraId="075E6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noWrap w:val="0"/>
                  <w:vAlign w:val="center"/>
                </w:tcPr>
                <w:p w14:paraId="633FA2BC">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南侧厂界</w:t>
                  </w:r>
                </w:p>
              </w:tc>
              <w:tc>
                <w:tcPr>
                  <w:tcW w:w="2349" w:type="dxa"/>
                  <w:noWrap w:val="0"/>
                  <w:vAlign w:val="center"/>
                </w:tcPr>
                <w:p w14:paraId="09BCC2C1">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50.10</w:t>
                  </w:r>
                </w:p>
              </w:tc>
              <w:tc>
                <w:tcPr>
                  <w:tcW w:w="911" w:type="pct"/>
                  <w:vMerge w:val="continue"/>
                  <w:noWrap w:val="0"/>
                  <w:vAlign w:val="center"/>
                </w:tcPr>
                <w:p w14:paraId="28BA3A29">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785" w:type="pct"/>
                  <w:vMerge w:val="continue"/>
                  <w:noWrap w:val="0"/>
                  <w:vAlign w:val="center"/>
                </w:tcPr>
                <w:p w14:paraId="20C198DF">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942" w:type="pct"/>
                  <w:noWrap w:val="0"/>
                  <w:vAlign w:val="center"/>
                </w:tcPr>
                <w:p w14:paraId="74A5CEE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lang w:eastAsia="zh-CN"/>
                    </w:rPr>
                    <w:t>达标</w:t>
                  </w:r>
                </w:p>
              </w:tc>
            </w:tr>
            <w:tr w14:paraId="005A6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noWrap w:val="0"/>
                  <w:vAlign w:val="center"/>
                </w:tcPr>
                <w:p w14:paraId="313D39AC">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西侧厂界</w:t>
                  </w:r>
                </w:p>
              </w:tc>
              <w:tc>
                <w:tcPr>
                  <w:tcW w:w="2349" w:type="dxa"/>
                  <w:noWrap w:val="0"/>
                  <w:vAlign w:val="center"/>
                </w:tcPr>
                <w:p w14:paraId="28B72184">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48.42</w:t>
                  </w:r>
                </w:p>
              </w:tc>
              <w:tc>
                <w:tcPr>
                  <w:tcW w:w="911" w:type="pct"/>
                  <w:vMerge w:val="continue"/>
                  <w:noWrap w:val="0"/>
                  <w:vAlign w:val="center"/>
                </w:tcPr>
                <w:p w14:paraId="22838CF7">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785" w:type="pct"/>
                  <w:vMerge w:val="continue"/>
                  <w:noWrap w:val="0"/>
                  <w:vAlign w:val="center"/>
                </w:tcPr>
                <w:p w14:paraId="61354115">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942" w:type="pct"/>
                  <w:noWrap w:val="0"/>
                  <w:vAlign w:val="center"/>
                </w:tcPr>
                <w:p w14:paraId="6330939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lang w:eastAsia="zh-CN"/>
                    </w:rPr>
                    <w:t>达标</w:t>
                  </w:r>
                </w:p>
              </w:tc>
            </w:tr>
            <w:tr w14:paraId="01AC1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3" w:type="pct"/>
                  <w:noWrap w:val="0"/>
                  <w:vAlign w:val="center"/>
                </w:tcPr>
                <w:p w14:paraId="6A8342C3">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lang w:val="en-US" w:eastAsia="zh-CN"/>
                    </w:rPr>
                    <w:t>北</w:t>
                  </w:r>
                  <w:r>
                    <w:rPr>
                      <w:rFonts w:hint="eastAsia" w:ascii="宋体" w:hAnsi="宋体" w:eastAsia="宋体" w:cs="宋体"/>
                      <w:color w:val="auto"/>
                      <w:spacing w:val="0"/>
                      <w:sz w:val="21"/>
                      <w:szCs w:val="21"/>
                      <w:highlight w:val="none"/>
                    </w:rPr>
                    <w:t>侧厂界</w:t>
                  </w:r>
                </w:p>
              </w:tc>
              <w:tc>
                <w:tcPr>
                  <w:tcW w:w="2349" w:type="dxa"/>
                  <w:noWrap w:val="0"/>
                  <w:vAlign w:val="center"/>
                </w:tcPr>
                <w:p w14:paraId="6C5E9E10">
                  <w:pPr>
                    <w:pStyle w:val="112"/>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49.23</w:t>
                  </w:r>
                </w:p>
              </w:tc>
              <w:tc>
                <w:tcPr>
                  <w:tcW w:w="911" w:type="pct"/>
                  <w:vMerge w:val="continue"/>
                  <w:noWrap w:val="0"/>
                  <w:vAlign w:val="center"/>
                </w:tcPr>
                <w:p w14:paraId="2D74F08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785" w:type="pct"/>
                  <w:vMerge w:val="continue"/>
                  <w:noWrap w:val="0"/>
                  <w:vAlign w:val="center"/>
                </w:tcPr>
                <w:p w14:paraId="4EBB7A2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p>
              </w:tc>
              <w:tc>
                <w:tcPr>
                  <w:tcW w:w="942" w:type="pct"/>
                  <w:noWrap w:val="0"/>
                  <w:vAlign w:val="center"/>
                </w:tcPr>
                <w:p w14:paraId="62F7CD1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lang w:eastAsia="zh-CN"/>
                    </w:rPr>
                    <w:t>达标</w:t>
                  </w:r>
                </w:p>
              </w:tc>
            </w:tr>
          </w:tbl>
          <w:p w14:paraId="63C34FBE">
            <w:pPr>
              <w:pStyle w:val="14"/>
              <w:rPr>
                <w:rFonts w:hint="eastAsia" w:ascii="宋体" w:hAnsi="宋体" w:eastAsia="宋体" w:cs="宋体"/>
                <w:color w:val="auto"/>
                <w:spacing w:val="0"/>
                <w:highlight w:val="none"/>
              </w:rPr>
            </w:pPr>
            <w:r>
              <w:rPr>
                <w:rFonts w:hint="eastAsia" w:ascii="宋体" w:hAnsi="宋体" w:eastAsia="宋体" w:cs="宋体"/>
                <w:color w:val="auto"/>
                <w:sz w:val="24"/>
                <w:highlight w:val="none"/>
              </w:rPr>
              <w:t>由预测结果可知</w:t>
            </w:r>
            <w:r>
              <w:rPr>
                <w:rFonts w:hint="eastAsia" w:ascii="宋体" w:hAnsi="宋体" w:eastAsia="宋体" w:cs="宋体"/>
                <w:color w:val="auto"/>
                <w:sz w:val="24"/>
                <w:highlight w:val="none"/>
                <w:lang w:eastAsia="zh-CN"/>
              </w:rPr>
              <w:t>，</w:t>
            </w:r>
            <w:r>
              <w:rPr>
                <w:rFonts w:hint="eastAsia" w:ascii="宋体" w:hAnsi="宋体" w:eastAsia="宋体" w:cs="宋体"/>
                <w:color w:val="auto"/>
                <w:kern w:val="0"/>
                <w:sz w:val="24"/>
                <w:highlight w:val="none"/>
              </w:rPr>
              <w:t>本</w:t>
            </w:r>
            <w:r>
              <w:rPr>
                <w:rFonts w:hint="eastAsia" w:ascii="宋体" w:hAnsi="宋体" w:eastAsia="宋体" w:cs="宋体"/>
                <w:color w:val="auto"/>
                <w:kern w:val="0"/>
                <w:sz w:val="24"/>
                <w:highlight w:val="none"/>
                <w:lang w:val="en-US" w:eastAsia="zh-CN"/>
              </w:rPr>
              <w:t>项目</w:t>
            </w:r>
            <w:r>
              <w:rPr>
                <w:rFonts w:hint="eastAsia" w:ascii="宋体" w:hAnsi="宋体" w:eastAsia="宋体" w:cs="宋体"/>
                <w:color w:val="auto"/>
                <w:kern w:val="0"/>
                <w:sz w:val="24"/>
                <w:highlight w:val="none"/>
              </w:rPr>
              <w:t>选用低噪声设备，经</w:t>
            </w:r>
            <w:r>
              <w:rPr>
                <w:rFonts w:hint="eastAsia" w:cs="宋体"/>
                <w:color w:val="auto"/>
                <w:kern w:val="0"/>
                <w:sz w:val="24"/>
                <w:highlight w:val="none"/>
                <w:lang w:val="en-US" w:eastAsia="zh-CN"/>
              </w:rPr>
              <w:t>基础</w:t>
            </w:r>
            <w:r>
              <w:rPr>
                <w:rFonts w:hint="eastAsia" w:ascii="宋体" w:hAnsi="宋体" w:eastAsia="宋体" w:cs="宋体"/>
                <w:color w:val="auto"/>
                <w:kern w:val="0"/>
                <w:sz w:val="24"/>
                <w:highlight w:val="none"/>
              </w:rPr>
              <w:t>减振、</w:t>
            </w:r>
            <w:r>
              <w:rPr>
                <w:rFonts w:hint="eastAsia" w:cs="宋体"/>
                <w:color w:val="auto"/>
                <w:kern w:val="0"/>
                <w:sz w:val="24"/>
                <w:highlight w:val="none"/>
                <w:lang w:val="en-US" w:eastAsia="zh-CN"/>
              </w:rPr>
              <w:t>厂房建筑</w:t>
            </w:r>
            <w:r>
              <w:rPr>
                <w:rFonts w:hint="eastAsia" w:ascii="宋体" w:hAnsi="宋体" w:eastAsia="宋体" w:cs="宋体"/>
                <w:color w:val="auto"/>
                <w:kern w:val="0"/>
                <w:sz w:val="24"/>
                <w:highlight w:val="none"/>
              </w:rPr>
              <w:t>隔声</w:t>
            </w:r>
            <w:r>
              <w:rPr>
                <w:rFonts w:hint="eastAsia" w:cs="宋体"/>
                <w:color w:val="auto"/>
                <w:kern w:val="0"/>
                <w:sz w:val="24"/>
                <w:highlight w:val="none"/>
                <w:lang w:val="en-US" w:eastAsia="zh-CN"/>
              </w:rPr>
              <w:t>以及消声器降噪</w:t>
            </w:r>
            <w:r>
              <w:rPr>
                <w:rFonts w:hint="eastAsia" w:ascii="宋体" w:hAnsi="宋体" w:eastAsia="宋体" w:cs="宋体"/>
                <w:color w:val="auto"/>
                <w:kern w:val="0"/>
                <w:sz w:val="24"/>
                <w:highlight w:val="none"/>
              </w:rPr>
              <w:t>处理</w:t>
            </w:r>
            <w:r>
              <w:rPr>
                <w:rFonts w:hint="eastAsia" w:ascii="宋体" w:hAnsi="宋体" w:eastAsia="宋体" w:cs="宋体"/>
                <w:color w:val="auto"/>
                <w:kern w:val="0"/>
                <w:sz w:val="24"/>
                <w:highlight w:val="none"/>
                <w:lang w:eastAsia="zh-CN"/>
              </w:rPr>
              <w:t>等</w:t>
            </w:r>
            <w:r>
              <w:rPr>
                <w:rFonts w:hint="eastAsia" w:ascii="宋体" w:hAnsi="宋体" w:eastAsia="宋体" w:cs="宋体"/>
                <w:color w:val="auto"/>
                <w:kern w:val="0"/>
                <w:sz w:val="24"/>
                <w:highlight w:val="none"/>
              </w:rPr>
              <w:t>降噪措施后，</w:t>
            </w:r>
            <w:r>
              <w:rPr>
                <w:rFonts w:hint="eastAsia" w:cs="宋体"/>
                <w:color w:val="auto"/>
                <w:kern w:val="0"/>
                <w:sz w:val="24"/>
                <w:highlight w:val="none"/>
                <w:lang w:val="en-US" w:eastAsia="zh-CN"/>
              </w:rPr>
              <w:t>建成后全厂</w:t>
            </w:r>
            <w:r>
              <w:rPr>
                <w:rFonts w:hint="eastAsia" w:ascii="宋体" w:hAnsi="宋体" w:eastAsia="宋体" w:cs="宋体"/>
                <w:color w:val="auto"/>
                <w:kern w:val="0"/>
                <w:sz w:val="24"/>
                <w:highlight w:val="none"/>
              </w:rPr>
              <w:t>厂界</w:t>
            </w:r>
            <w:r>
              <w:rPr>
                <w:rFonts w:hint="eastAsia" w:cs="宋体"/>
                <w:color w:val="auto"/>
                <w:kern w:val="0"/>
                <w:sz w:val="24"/>
                <w:highlight w:val="none"/>
                <w:lang w:val="en-US" w:eastAsia="zh-CN"/>
              </w:rPr>
              <w:t>四侧</w:t>
            </w:r>
            <w:r>
              <w:rPr>
                <w:rFonts w:hint="eastAsia" w:ascii="宋体" w:hAnsi="宋体" w:eastAsia="宋体" w:cs="宋体"/>
                <w:color w:val="auto"/>
                <w:kern w:val="0"/>
                <w:sz w:val="24"/>
                <w:highlight w:val="none"/>
              </w:rPr>
              <w:t>可满足《工业企业厂界环境噪声排放标准》（GB</w:t>
            </w:r>
            <w:r>
              <w:rPr>
                <w:rFonts w:hint="eastAsia" w:ascii="宋体" w:hAnsi="宋体" w:eastAsia="宋体" w:cs="宋体"/>
                <w:color w:val="auto"/>
                <w:kern w:val="0"/>
                <w:sz w:val="24"/>
                <w:highlight w:val="none"/>
                <w:lang w:val="en-US" w:eastAsia="zh-CN"/>
              </w:rPr>
              <w:t xml:space="preserve"> </w:t>
            </w:r>
            <w:r>
              <w:rPr>
                <w:rFonts w:hint="eastAsia" w:ascii="宋体" w:hAnsi="宋体" w:eastAsia="宋体" w:cs="宋体"/>
                <w:color w:val="auto"/>
                <w:kern w:val="0"/>
                <w:sz w:val="24"/>
                <w:highlight w:val="none"/>
              </w:rPr>
              <w:t>12348-2008）表1中</w:t>
            </w:r>
            <w:r>
              <w:rPr>
                <w:rFonts w:hint="eastAsia" w:cs="宋体"/>
                <w:color w:val="auto"/>
                <w:kern w:val="0"/>
                <w:sz w:val="24"/>
                <w:highlight w:val="none"/>
                <w:lang w:val="en-US" w:eastAsia="zh-CN"/>
              </w:rPr>
              <w:t>3</w:t>
            </w:r>
            <w:r>
              <w:rPr>
                <w:rFonts w:hint="eastAsia" w:ascii="宋体" w:hAnsi="宋体" w:eastAsia="宋体" w:cs="宋体"/>
                <w:color w:val="auto"/>
                <w:kern w:val="0"/>
                <w:sz w:val="24"/>
                <w:highlight w:val="none"/>
              </w:rPr>
              <w:t>类标准要求</w:t>
            </w:r>
            <w:r>
              <w:rPr>
                <w:rFonts w:hint="eastAsia" w:ascii="宋体" w:hAnsi="宋体" w:eastAsia="宋体" w:cs="宋体"/>
                <w:color w:val="auto"/>
                <w:kern w:val="0"/>
                <w:sz w:val="24"/>
                <w:highlight w:val="none"/>
                <w:lang w:val="en-US" w:eastAsia="zh-CN"/>
              </w:rPr>
              <w:t>。</w:t>
            </w:r>
          </w:p>
          <w:p w14:paraId="1177E370">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eastAsia" w:ascii="宋体" w:hAnsi="宋体" w:eastAsia="宋体" w:cs="宋体"/>
                <w:b/>
                <w:color w:val="auto"/>
                <w:spacing w:val="0"/>
                <w:kern w:val="0"/>
                <w:sz w:val="24"/>
                <w:highlight w:val="none"/>
              </w:rPr>
            </w:pPr>
            <w:r>
              <w:rPr>
                <w:rFonts w:hint="eastAsia" w:ascii="宋体" w:hAnsi="宋体" w:eastAsia="宋体" w:cs="宋体"/>
                <w:b/>
                <w:color w:val="auto"/>
                <w:spacing w:val="0"/>
                <w:kern w:val="0"/>
                <w:sz w:val="24"/>
                <w:highlight w:val="none"/>
                <w:lang w:val="en-US" w:eastAsia="zh-CN"/>
              </w:rPr>
              <w:t>3.4</w:t>
            </w:r>
            <w:r>
              <w:rPr>
                <w:rFonts w:hint="eastAsia" w:ascii="宋体" w:hAnsi="宋体" w:eastAsia="宋体" w:cs="宋体"/>
                <w:b/>
                <w:color w:val="auto"/>
                <w:spacing w:val="0"/>
                <w:kern w:val="0"/>
                <w:sz w:val="24"/>
                <w:highlight w:val="none"/>
              </w:rPr>
              <w:t>噪声监测要求</w:t>
            </w:r>
          </w:p>
          <w:p w14:paraId="33FB9271">
            <w:pPr>
              <w:adjustRightInd w:val="0"/>
              <w:snapToGrid w:val="0"/>
              <w:spacing w:line="360" w:lineRule="auto"/>
              <w:ind w:firstLine="480" w:firstLineChars="200"/>
              <w:rPr>
                <w:rFonts w:hint="eastAsia" w:ascii="宋体" w:hAnsi="宋体" w:eastAsia="宋体" w:cs="宋体"/>
                <w:color w:val="auto"/>
                <w:spacing w:val="0"/>
                <w:sz w:val="24"/>
                <w:szCs w:val="21"/>
                <w:highlight w:val="none"/>
              </w:rPr>
            </w:pPr>
            <w:r>
              <w:rPr>
                <w:rFonts w:hint="eastAsia" w:ascii="宋体" w:hAnsi="宋体" w:eastAsia="宋体" w:cs="宋体"/>
                <w:color w:val="auto"/>
                <w:spacing w:val="0"/>
                <w:sz w:val="24"/>
                <w:szCs w:val="21"/>
                <w:highlight w:val="none"/>
              </w:rPr>
              <w:t>依据</w:t>
            </w:r>
            <w:r>
              <w:rPr>
                <w:rFonts w:hint="eastAsia" w:ascii="宋体" w:hAnsi="宋体" w:eastAsia="宋体" w:cs="宋体"/>
                <w:color w:val="auto"/>
                <w:spacing w:val="0"/>
                <w:sz w:val="24"/>
                <w:szCs w:val="21"/>
                <w:highlight w:val="none"/>
                <w:lang w:val="en-US" w:eastAsia="zh-CN"/>
              </w:rPr>
              <w:t>《</w:t>
            </w:r>
            <w:r>
              <w:rPr>
                <w:rFonts w:hint="eastAsia" w:ascii="宋体" w:hAnsi="宋体" w:eastAsia="宋体" w:cs="宋体"/>
                <w:color w:val="auto"/>
                <w:spacing w:val="0"/>
                <w:sz w:val="24"/>
                <w:szCs w:val="21"/>
                <w:highlight w:val="none"/>
                <w:lang w:val="en-US" w:eastAsia="zh-CN"/>
              </w:rPr>
              <w:fldChar w:fldCharType="begin"/>
            </w:r>
            <w:r>
              <w:rPr>
                <w:rFonts w:hint="eastAsia" w:ascii="宋体" w:hAnsi="宋体" w:eastAsia="宋体" w:cs="宋体"/>
                <w:color w:val="auto"/>
                <w:spacing w:val="0"/>
                <w:sz w:val="24"/>
                <w:szCs w:val="21"/>
                <w:highlight w:val="none"/>
                <w:lang w:val="en-US" w:eastAsia="zh-CN"/>
              </w:rPr>
              <w:instrText xml:space="preserve"> HYPERLINK "https://www.mee.gov.cn/ywgz/fgbz/bz/bzwb/shjbh/xgbzh/201705/W020170511332490849000.pdf" </w:instrText>
            </w:r>
            <w:r>
              <w:rPr>
                <w:rFonts w:hint="eastAsia" w:ascii="宋体" w:hAnsi="宋体" w:eastAsia="宋体" w:cs="宋体"/>
                <w:color w:val="auto"/>
                <w:spacing w:val="0"/>
                <w:sz w:val="24"/>
                <w:szCs w:val="21"/>
                <w:highlight w:val="none"/>
                <w:lang w:val="en-US" w:eastAsia="zh-CN"/>
              </w:rPr>
              <w:fldChar w:fldCharType="separate"/>
            </w:r>
            <w:r>
              <w:rPr>
                <w:rFonts w:hint="eastAsia" w:ascii="宋体" w:hAnsi="宋体" w:eastAsia="宋体" w:cs="宋体"/>
                <w:color w:val="auto"/>
                <w:spacing w:val="0"/>
                <w:sz w:val="24"/>
                <w:szCs w:val="21"/>
                <w:highlight w:val="none"/>
                <w:lang w:val="en-US" w:eastAsia="zh-CN"/>
              </w:rPr>
              <w:t>排污单位自行监测技术指南 总则》</w:t>
            </w:r>
            <w:r>
              <w:rPr>
                <w:rFonts w:hint="eastAsia" w:cs="宋体"/>
                <w:color w:val="auto"/>
                <w:spacing w:val="0"/>
                <w:sz w:val="24"/>
                <w:szCs w:val="21"/>
                <w:highlight w:val="none"/>
                <w:lang w:val="en-US" w:eastAsia="zh-CN"/>
              </w:rPr>
              <w:t>（</w:t>
            </w:r>
            <w:r>
              <w:rPr>
                <w:rFonts w:hint="eastAsia" w:ascii="宋体" w:hAnsi="宋体" w:eastAsia="宋体" w:cs="宋体"/>
                <w:color w:val="auto"/>
                <w:spacing w:val="0"/>
                <w:sz w:val="24"/>
                <w:szCs w:val="21"/>
                <w:highlight w:val="none"/>
                <w:lang w:val="en-US" w:eastAsia="zh-CN"/>
              </w:rPr>
              <w:t>HJ819-2017</w:t>
            </w:r>
            <w:r>
              <w:rPr>
                <w:rFonts w:hint="eastAsia" w:cs="宋体"/>
                <w:color w:val="auto"/>
                <w:spacing w:val="0"/>
                <w:sz w:val="24"/>
                <w:szCs w:val="21"/>
                <w:highlight w:val="none"/>
                <w:lang w:val="en-US" w:eastAsia="zh-CN"/>
              </w:rPr>
              <w:t>）</w:t>
            </w:r>
            <w:r>
              <w:rPr>
                <w:rFonts w:hint="eastAsia" w:ascii="宋体" w:hAnsi="宋体" w:eastAsia="宋体" w:cs="宋体"/>
                <w:color w:val="auto"/>
                <w:spacing w:val="0"/>
                <w:sz w:val="24"/>
                <w:szCs w:val="21"/>
                <w:highlight w:val="none"/>
                <w:lang w:val="en-US" w:eastAsia="zh-CN"/>
              </w:rPr>
              <w:fldChar w:fldCharType="end"/>
            </w:r>
            <w:r>
              <w:rPr>
                <w:rFonts w:hint="eastAsia" w:ascii="宋体" w:hAnsi="宋体" w:eastAsia="宋体" w:cs="宋体"/>
                <w:color w:val="auto"/>
                <w:spacing w:val="0"/>
                <w:sz w:val="24"/>
                <w:szCs w:val="21"/>
                <w:highlight w:val="none"/>
              </w:rPr>
              <w:t>要求，运营期噪声监测计划如下：</w:t>
            </w:r>
          </w:p>
          <w:p w14:paraId="294798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color w:val="auto"/>
                <w:spacing w:val="0"/>
                <w:sz w:val="21"/>
                <w:szCs w:val="21"/>
                <w:highlight w:val="none"/>
              </w:rPr>
            </w:pPr>
            <w:r>
              <w:rPr>
                <w:rFonts w:hint="eastAsia" w:ascii="宋体" w:hAnsi="宋体" w:eastAsia="宋体" w:cs="宋体"/>
                <w:b/>
                <w:color w:val="auto"/>
                <w:spacing w:val="0"/>
                <w:sz w:val="21"/>
                <w:szCs w:val="21"/>
                <w:highlight w:val="none"/>
              </w:rPr>
              <w:t>表4-</w:t>
            </w:r>
            <w:r>
              <w:rPr>
                <w:rFonts w:hint="eastAsia" w:ascii="宋体" w:hAnsi="宋体" w:eastAsia="宋体" w:cs="宋体"/>
                <w:b/>
                <w:color w:val="auto"/>
                <w:spacing w:val="0"/>
                <w:sz w:val="21"/>
                <w:szCs w:val="21"/>
                <w:highlight w:val="none"/>
                <w:lang w:val="en-US" w:eastAsia="zh-CN"/>
              </w:rPr>
              <w:t>1</w:t>
            </w:r>
            <w:r>
              <w:rPr>
                <w:rFonts w:hint="eastAsia" w:cs="宋体"/>
                <w:b/>
                <w:color w:val="auto"/>
                <w:spacing w:val="0"/>
                <w:sz w:val="21"/>
                <w:szCs w:val="21"/>
                <w:highlight w:val="none"/>
                <w:lang w:val="en-US" w:eastAsia="zh-CN"/>
              </w:rPr>
              <w:t>7</w:t>
            </w:r>
            <w:r>
              <w:rPr>
                <w:rFonts w:hint="eastAsia" w:ascii="宋体" w:hAnsi="宋体" w:eastAsia="宋体" w:cs="宋体"/>
                <w:b/>
                <w:color w:val="auto"/>
                <w:spacing w:val="0"/>
                <w:sz w:val="21"/>
                <w:szCs w:val="21"/>
                <w:highlight w:val="none"/>
              </w:rPr>
              <w:t xml:space="preserve"> 噪声监测要求</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51"/>
              <w:gridCol w:w="2569"/>
              <w:gridCol w:w="1840"/>
            </w:tblGrid>
            <w:tr w14:paraId="55922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264" w:type="pct"/>
                  <w:tcBorders>
                    <w:top w:val="single" w:color="auto" w:sz="12" w:space="0"/>
                    <w:left w:val="nil"/>
                    <w:bottom w:val="single" w:color="auto" w:sz="8" w:space="0"/>
                  </w:tcBorders>
                  <w:noWrap w:val="0"/>
                  <w:vAlign w:val="center"/>
                </w:tcPr>
                <w:p w14:paraId="7237CB1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2"/>
                      <w:sz w:val="21"/>
                      <w:szCs w:val="21"/>
                      <w:highlight w:val="none"/>
                      <w:lang w:val="en-US" w:eastAsia="zh-CN" w:bidi="ar-SA"/>
                    </w:rPr>
                  </w:pPr>
                  <w:r>
                    <w:rPr>
                      <w:rFonts w:hint="eastAsia" w:ascii="宋体" w:hAnsi="宋体" w:eastAsia="宋体" w:cs="宋体"/>
                      <w:b/>
                      <w:color w:val="auto"/>
                      <w:spacing w:val="0"/>
                      <w:sz w:val="21"/>
                      <w:szCs w:val="21"/>
                      <w:highlight w:val="none"/>
                    </w:rPr>
                    <w:t>噪声监测点位</w:t>
                  </w:r>
                </w:p>
              </w:tc>
              <w:tc>
                <w:tcPr>
                  <w:tcW w:w="1593" w:type="pct"/>
                  <w:tcBorders>
                    <w:top w:val="single" w:color="auto" w:sz="12" w:space="0"/>
                    <w:bottom w:val="single" w:color="auto" w:sz="8" w:space="0"/>
                  </w:tcBorders>
                  <w:noWrap w:val="0"/>
                  <w:vAlign w:val="center"/>
                </w:tcPr>
                <w:p w14:paraId="29CD74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2"/>
                      <w:sz w:val="21"/>
                      <w:szCs w:val="21"/>
                      <w:highlight w:val="none"/>
                      <w:lang w:val="en-US" w:eastAsia="zh-CN" w:bidi="ar-SA"/>
                    </w:rPr>
                  </w:pPr>
                  <w:r>
                    <w:rPr>
                      <w:rFonts w:hint="eastAsia" w:ascii="宋体" w:hAnsi="宋体" w:eastAsia="宋体" w:cs="宋体"/>
                      <w:b/>
                      <w:color w:val="auto"/>
                      <w:spacing w:val="0"/>
                      <w:sz w:val="21"/>
                      <w:szCs w:val="21"/>
                      <w:highlight w:val="none"/>
                    </w:rPr>
                    <w:t>监测周期</w:t>
                  </w:r>
                </w:p>
              </w:tc>
              <w:tc>
                <w:tcPr>
                  <w:tcW w:w="1141" w:type="pct"/>
                  <w:tcBorders>
                    <w:top w:val="single" w:color="auto" w:sz="12" w:space="0"/>
                    <w:bottom w:val="single" w:color="auto" w:sz="8" w:space="0"/>
                    <w:right w:val="nil"/>
                  </w:tcBorders>
                  <w:noWrap w:val="0"/>
                  <w:vAlign w:val="center"/>
                </w:tcPr>
                <w:p w14:paraId="216CFC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2"/>
                      <w:sz w:val="21"/>
                      <w:szCs w:val="21"/>
                      <w:highlight w:val="none"/>
                      <w:lang w:val="en-US" w:eastAsia="zh-CN" w:bidi="ar-SA"/>
                    </w:rPr>
                  </w:pPr>
                  <w:r>
                    <w:rPr>
                      <w:rFonts w:hint="eastAsia" w:ascii="宋体" w:hAnsi="宋体" w:eastAsia="宋体" w:cs="宋体"/>
                      <w:b/>
                      <w:color w:val="auto"/>
                      <w:spacing w:val="0"/>
                      <w:sz w:val="21"/>
                      <w:szCs w:val="21"/>
                      <w:highlight w:val="none"/>
                    </w:rPr>
                    <w:t>监测频次</w:t>
                  </w:r>
                </w:p>
              </w:tc>
            </w:tr>
            <w:tr w14:paraId="3A145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264" w:type="pct"/>
                  <w:tcBorders>
                    <w:top w:val="single" w:color="auto" w:sz="8" w:space="0"/>
                    <w:left w:val="nil"/>
                    <w:bottom w:val="single" w:color="auto" w:sz="12" w:space="0"/>
                  </w:tcBorders>
                  <w:noWrap w:val="0"/>
                  <w:vAlign w:val="center"/>
                </w:tcPr>
                <w:p w14:paraId="37863BF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东侧、南侧、西侧、北侧厂界外1m</w:t>
                  </w:r>
                </w:p>
              </w:tc>
              <w:tc>
                <w:tcPr>
                  <w:tcW w:w="1593" w:type="pct"/>
                  <w:tcBorders>
                    <w:top w:val="single" w:color="auto" w:sz="8" w:space="0"/>
                    <w:bottom w:val="single" w:color="auto" w:sz="12" w:space="0"/>
                  </w:tcBorders>
                  <w:noWrap w:val="0"/>
                  <w:vAlign w:val="center"/>
                </w:tcPr>
                <w:p w14:paraId="48E538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1天</w:t>
                  </w:r>
                  <w:r>
                    <w:rPr>
                      <w:rFonts w:hint="eastAsia" w:ascii="宋体" w:hAnsi="宋体" w:eastAsia="宋体" w:cs="宋体"/>
                      <w:color w:val="auto"/>
                      <w:spacing w:val="0"/>
                      <w:sz w:val="21"/>
                      <w:szCs w:val="21"/>
                      <w:highlight w:val="none"/>
                      <w:lang w:eastAsia="zh-CN"/>
                    </w:rPr>
                    <w:t>（</w:t>
                  </w:r>
                  <w:r>
                    <w:rPr>
                      <w:rFonts w:hint="eastAsia" w:ascii="宋体" w:hAnsi="宋体" w:eastAsia="宋体" w:cs="宋体"/>
                      <w:color w:val="auto"/>
                      <w:spacing w:val="0"/>
                      <w:sz w:val="21"/>
                      <w:szCs w:val="21"/>
                      <w:highlight w:val="none"/>
                    </w:rPr>
                    <w:t>昼、夜间各一次</w:t>
                  </w:r>
                  <w:r>
                    <w:rPr>
                      <w:rFonts w:hint="eastAsia" w:cs="宋体"/>
                      <w:color w:val="auto"/>
                      <w:spacing w:val="0"/>
                      <w:sz w:val="21"/>
                      <w:szCs w:val="21"/>
                      <w:highlight w:val="none"/>
                      <w:lang w:eastAsia="zh-CN"/>
                    </w:rPr>
                    <w:t>）</w:t>
                  </w:r>
                </w:p>
              </w:tc>
              <w:tc>
                <w:tcPr>
                  <w:tcW w:w="1141" w:type="pct"/>
                  <w:tcBorders>
                    <w:top w:val="single" w:color="auto" w:sz="8" w:space="0"/>
                    <w:bottom w:val="single" w:color="auto" w:sz="12" w:space="0"/>
                    <w:right w:val="nil"/>
                  </w:tcBorders>
                  <w:noWrap w:val="0"/>
                  <w:vAlign w:val="center"/>
                </w:tcPr>
                <w:p w14:paraId="3141F6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1次/季度</w:t>
                  </w:r>
                </w:p>
              </w:tc>
            </w:tr>
          </w:tbl>
          <w:p w14:paraId="3626A438">
            <w:pPr>
              <w:spacing w:line="360" w:lineRule="auto"/>
              <w:ind w:left="0" w:leftChars="0" w:firstLine="0" w:firstLineChars="0"/>
              <w:rPr>
                <w:rFonts w:hint="eastAsia" w:ascii="宋体" w:hAnsi="宋体" w:eastAsia="宋体" w:cs="宋体"/>
                <w:b/>
                <w:bCs w:val="0"/>
                <w:color w:val="auto"/>
                <w:spacing w:val="0"/>
                <w:sz w:val="24"/>
                <w:szCs w:val="24"/>
                <w:highlight w:val="none"/>
                <w:lang w:val="en-US" w:eastAsia="zh-CN"/>
              </w:rPr>
            </w:pPr>
            <w:r>
              <w:rPr>
                <w:rFonts w:hint="eastAsia" w:cs="宋体"/>
                <w:b/>
                <w:bCs w:val="0"/>
                <w:color w:val="auto"/>
                <w:spacing w:val="0"/>
                <w:sz w:val="24"/>
                <w:szCs w:val="24"/>
                <w:highlight w:val="none"/>
                <w:lang w:val="en-US" w:eastAsia="zh-CN"/>
              </w:rPr>
              <w:t>4.</w:t>
            </w:r>
            <w:r>
              <w:rPr>
                <w:rFonts w:hint="eastAsia" w:ascii="宋体" w:hAnsi="宋体" w:eastAsia="宋体" w:cs="宋体"/>
                <w:b/>
                <w:bCs w:val="0"/>
                <w:color w:val="auto"/>
                <w:spacing w:val="0"/>
                <w:sz w:val="24"/>
                <w:szCs w:val="24"/>
                <w:highlight w:val="none"/>
                <w:lang w:val="en-US" w:eastAsia="zh-CN"/>
              </w:rPr>
              <w:t>固体废物</w:t>
            </w:r>
          </w:p>
          <w:p w14:paraId="2BA90A0E">
            <w:pPr>
              <w:spacing w:line="360" w:lineRule="auto"/>
              <w:ind w:firstLine="480" w:firstLineChars="200"/>
              <w:rPr>
                <w:rFonts w:hint="eastAsia" w:ascii="宋体" w:hAnsi="宋体" w:eastAsia="宋体" w:cs="宋体"/>
                <w:color w:val="auto"/>
                <w:spacing w:val="0"/>
                <w:szCs w:val="21"/>
                <w:highlight w:val="none"/>
                <w:lang w:eastAsia="zh-CN"/>
              </w:rPr>
            </w:pPr>
            <w:r>
              <w:rPr>
                <w:rFonts w:hint="eastAsia" w:ascii="宋体" w:hAnsi="宋体" w:eastAsia="宋体" w:cs="宋体"/>
                <w:color w:val="auto"/>
                <w:spacing w:val="0"/>
                <w:sz w:val="24"/>
                <w:highlight w:val="none"/>
              </w:rPr>
              <w:t>本项目营运期产生的固体废物包括一般工业固体废物</w:t>
            </w:r>
            <w:r>
              <w:rPr>
                <w:rFonts w:hint="eastAsia" w:cs="宋体"/>
                <w:color w:val="auto"/>
                <w:spacing w:val="0"/>
                <w:sz w:val="24"/>
                <w:highlight w:val="none"/>
                <w:lang w:val="en-US" w:eastAsia="zh-CN"/>
              </w:rPr>
              <w:t>和危险废物</w:t>
            </w:r>
            <w:r>
              <w:rPr>
                <w:rFonts w:hint="eastAsia" w:cs="宋体"/>
                <w:color w:val="auto"/>
                <w:spacing w:val="0"/>
                <w:sz w:val="24"/>
                <w:highlight w:val="none"/>
                <w:lang w:eastAsia="zh-CN"/>
              </w:rPr>
              <w:t>。</w:t>
            </w:r>
          </w:p>
          <w:p w14:paraId="352787CC">
            <w:pPr>
              <w:keepNext w:val="0"/>
              <w:keepLines w:val="0"/>
              <w:pageBreakBefore w:val="0"/>
              <w:widowControl w:val="0"/>
              <w:kinsoku/>
              <w:wordWrap/>
              <w:overflowPunct/>
              <w:topLinePunct w:val="0"/>
              <w:autoSpaceDE/>
              <w:autoSpaceDN/>
              <w:bidi w:val="0"/>
              <w:adjustRightInd w:val="0"/>
              <w:snapToGrid w:val="0"/>
              <w:spacing w:line="360" w:lineRule="auto"/>
              <w:ind w:left="0" w:leftChars="0" w:right="72" w:rightChars="30" w:firstLine="482" w:firstLineChars="200"/>
              <w:jc w:val="left"/>
              <w:textAlignment w:val="auto"/>
              <w:rPr>
                <w:rFonts w:hint="eastAsia" w:ascii="宋体" w:hAnsi="宋体" w:eastAsia="宋体" w:cs="宋体"/>
                <w:b/>
                <w:bCs/>
                <w:color w:val="auto"/>
                <w:spacing w:val="0"/>
                <w:sz w:val="24"/>
                <w:highlight w:val="none"/>
              </w:rPr>
            </w:pPr>
            <w:r>
              <w:rPr>
                <w:rFonts w:hint="eastAsia" w:ascii="宋体" w:hAnsi="宋体" w:eastAsia="宋体" w:cs="宋体"/>
                <w:b/>
                <w:bCs/>
                <w:color w:val="auto"/>
                <w:spacing w:val="0"/>
                <w:sz w:val="24"/>
                <w:highlight w:val="none"/>
              </w:rPr>
              <w:t>4.1一般工业固体废物影响分析</w:t>
            </w:r>
          </w:p>
          <w:p w14:paraId="0ACDFAB2">
            <w:pPr>
              <w:spacing w:line="360" w:lineRule="auto"/>
              <w:ind w:right="72" w:rightChars="30" w:firstLine="480" w:firstLineChars="200"/>
              <w:jc w:val="left"/>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rPr>
              <w:t>本项目</w:t>
            </w:r>
            <w:r>
              <w:rPr>
                <w:rFonts w:hint="eastAsia" w:ascii="宋体" w:hAnsi="宋体" w:eastAsia="宋体" w:cs="宋体"/>
                <w:color w:val="auto"/>
                <w:spacing w:val="0"/>
                <w:sz w:val="24"/>
                <w:szCs w:val="24"/>
                <w:highlight w:val="none"/>
                <w:lang w:val="en-US" w:eastAsia="zh-CN"/>
              </w:rPr>
              <w:t>产生的主要固体废物为</w:t>
            </w:r>
            <w:r>
              <w:rPr>
                <w:rFonts w:hint="eastAsia" w:cs="宋体"/>
                <w:color w:val="auto"/>
                <w:spacing w:val="0"/>
                <w:sz w:val="24"/>
                <w:szCs w:val="24"/>
                <w:highlight w:val="none"/>
                <w:lang w:val="en-US" w:eastAsia="zh-CN"/>
              </w:rPr>
              <w:t>废离子交换树脂、废布袋、锅炉灰渣、除尘器集尘、废机油、废油桶、含油棉纱</w:t>
            </w:r>
            <w:r>
              <w:rPr>
                <w:rFonts w:hint="eastAsia" w:ascii="宋体" w:hAnsi="宋体" w:eastAsia="宋体" w:cs="宋体"/>
                <w:color w:val="auto"/>
                <w:spacing w:val="0"/>
                <w:sz w:val="24"/>
                <w:szCs w:val="24"/>
                <w:highlight w:val="none"/>
                <w:lang w:val="en-US" w:eastAsia="zh-CN"/>
              </w:rPr>
              <w:t>。</w:t>
            </w:r>
          </w:p>
          <w:p w14:paraId="2681E9EC">
            <w:pPr>
              <w:adjustRightInd w:val="0"/>
              <w:snapToGrid w:val="0"/>
              <w:spacing w:line="360" w:lineRule="auto"/>
              <w:ind w:firstLine="480" w:firstLineChars="200"/>
              <w:rPr>
                <w:rFonts w:ascii="Times New Roman" w:hAnsi="Times New Roman"/>
                <w:color w:val="auto"/>
                <w:kern w:val="0"/>
                <w:sz w:val="24"/>
                <w:highlight w:val="none"/>
              </w:rPr>
            </w:pPr>
            <w:r>
              <w:rPr>
                <w:rFonts w:ascii="Times New Roman" w:hAnsi="Times New Roman"/>
                <w:color w:val="auto"/>
                <w:kern w:val="0"/>
                <w:sz w:val="24"/>
                <w:highlight w:val="none"/>
              </w:rPr>
              <w:t>（</w:t>
            </w:r>
            <w:r>
              <w:rPr>
                <w:rFonts w:hint="eastAsia" w:ascii="Times New Roman" w:hAnsi="Times New Roman"/>
                <w:color w:val="auto"/>
                <w:kern w:val="0"/>
                <w:sz w:val="24"/>
                <w:highlight w:val="none"/>
                <w:lang w:val="en-US" w:eastAsia="zh-CN"/>
              </w:rPr>
              <w:t>1</w:t>
            </w:r>
            <w:r>
              <w:rPr>
                <w:rFonts w:ascii="Times New Roman" w:hAnsi="Times New Roman"/>
                <w:color w:val="auto"/>
                <w:kern w:val="0"/>
                <w:sz w:val="24"/>
                <w:highlight w:val="none"/>
              </w:rPr>
              <w:t>）锅炉炉渣</w:t>
            </w:r>
          </w:p>
          <w:p w14:paraId="1473DAD1">
            <w:pPr>
              <w:adjustRightInd w:val="0"/>
              <w:snapToGrid w:val="0"/>
              <w:spacing w:line="360" w:lineRule="auto"/>
              <w:ind w:firstLine="480" w:firstLineChars="200"/>
              <w:rPr>
                <w:rFonts w:ascii="Times New Roman" w:hAnsi="Times New Roman"/>
                <w:color w:val="auto"/>
                <w:kern w:val="0"/>
                <w:sz w:val="24"/>
                <w:highlight w:val="none"/>
              </w:rPr>
            </w:pPr>
            <w:r>
              <w:rPr>
                <w:rFonts w:ascii="Times New Roman" w:hAnsi="Times New Roman"/>
                <w:color w:val="auto"/>
                <w:kern w:val="0"/>
                <w:sz w:val="24"/>
                <w:highlight w:val="none"/>
              </w:rPr>
              <w:t>根据《污染源源强核算技术指南锅炉》（HJ991-2018）中的规定，生物质锅炉灰渣产生量以下式进行计算：</w:t>
            </w:r>
          </w:p>
          <w:p w14:paraId="38CC8A13">
            <w:pPr>
              <w:spacing w:line="360" w:lineRule="auto"/>
              <w:ind w:firstLine="482"/>
              <w:jc w:val="center"/>
              <w:rPr>
                <w:rFonts w:ascii="Times New Roman" w:hAnsi="Times New Roman"/>
                <w:b/>
                <w:color w:val="auto"/>
                <w:sz w:val="24"/>
                <w:highlight w:val="none"/>
              </w:rPr>
            </w:pPr>
            <w:r>
              <w:rPr>
                <w:rFonts w:ascii="Times New Roman" w:hAnsi="Times New Roman"/>
                <w:b/>
                <w:color w:val="auto"/>
                <w:sz w:val="24"/>
                <w:highlight w:val="none"/>
              </w:rPr>
              <w:object>
                <v:shape id="_x0000_i1028" o:spt="75" type="#_x0000_t75" style="height:37.5pt;width:149.25pt;" o:ole="t" filled="f" o:preferrelative="t" stroked="f" coordsize="21600,21600">
                  <v:path/>
                  <v:fill on="f" focussize="0,0"/>
                  <v:stroke on="f"/>
                  <v:imagedata r:id="rId33" o:title=""/>
                  <o:lock v:ext="edit" aspectratio="t"/>
                  <w10:wrap type="none"/>
                  <w10:anchorlock/>
                </v:shape>
                <o:OLEObject Type="Embed" ProgID="Equation.3" ShapeID="_x0000_i1028" DrawAspect="Content" ObjectID="_1468075728" r:id="rId32">
                  <o:LockedField>false</o:LockedField>
                </o:OLEObject>
              </w:object>
            </w:r>
          </w:p>
          <w:p w14:paraId="38E05D1E">
            <w:pPr>
              <w:spacing w:line="360" w:lineRule="auto"/>
              <w:ind w:firstLine="460" w:firstLineChars="192"/>
              <w:rPr>
                <w:rFonts w:ascii="Times New Roman" w:hAnsi="Times New Roman"/>
                <w:color w:val="auto"/>
                <w:sz w:val="24"/>
                <w:highlight w:val="none"/>
              </w:rPr>
            </w:pPr>
            <w:r>
              <w:rPr>
                <w:rFonts w:ascii="Times New Roman" w:hAnsi="Times New Roman"/>
                <w:color w:val="auto"/>
                <w:sz w:val="24"/>
                <w:highlight w:val="none"/>
              </w:rPr>
              <w:t>式中：</w:t>
            </w:r>
            <w:r>
              <w:rPr>
                <w:rFonts w:ascii="Times New Roman" w:hAnsi="Times New Roman"/>
                <w:color w:val="auto"/>
                <w:sz w:val="24"/>
                <w:highlight w:val="none"/>
              </w:rPr>
              <w:object>
                <v:shape id="_x0000_i1029" o:spt="75" type="#_x0000_t75" style="height:17.25pt;width:17.25pt;" o:ole="t" filled="f" o:preferrelative="t" stroked="f" coordsize="21600,21600">
                  <v:path/>
                  <v:fill on="f" focussize="0,0"/>
                  <v:stroke on="f"/>
                  <v:imagedata r:id="rId35" o:title=""/>
                  <o:lock v:ext="edit" aspectratio="t"/>
                  <w10:wrap type="none"/>
                  <w10:anchorlock/>
                </v:shape>
                <o:OLEObject Type="Embed" ProgID="Equation.3" ShapeID="_x0000_i1029" DrawAspect="Content" ObjectID="_1468075729" r:id="rId34">
                  <o:LockedField>false</o:LockedField>
                </o:OLEObject>
              </w:object>
            </w:r>
            <w:r>
              <w:rPr>
                <w:rFonts w:ascii="Times New Roman" w:hAnsi="Times New Roman"/>
                <w:color w:val="auto"/>
                <w:sz w:val="24"/>
                <w:highlight w:val="none"/>
              </w:rPr>
              <w:t>——核算时段内灰渣产生量；t</w:t>
            </w:r>
          </w:p>
          <w:p w14:paraId="42B48BB3">
            <w:pPr>
              <w:spacing w:line="360" w:lineRule="auto"/>
              <w:ind w:firstLine="1214" w:firstLineChars="506"/>
              <w:rPr>
                <w:rFonts w:ascii="Times New Roman" w:hAnsi="Times New Roman"/>
                <w:color w:val="auto"/>
                <w:sz w:val="24"/>
                <w:highlight w:val="none"/>
              </w:rPr>
            </w:pPr>
            <w:r>
              <w:rPr>
                <w:rFonts w:ascii="Times New Roman" w:hAnsi="Times New Roman"/>
                <w:color w:val="auto"/>
                <w:sz w:val="24"/>
                <w:highlight w:val="none"/>
              </w:rPr>
              <w:object>
                <v:shape id="_x0000_i1030" o:spt="75" type="#_x0000_t75" style="height:12.75pt;width:12.75pt;" o:ole="t" filled="f" o:preferrelative="t" stroked="f" coordsize="21600,21600">
                  <v:path/>
                  <v:fill on="f" focussize="0,0"/>
                  <v:stroke on="f"/>
                  <v:imagedata r:id="rId37" o:title=""/>
                  <o:lock v:ext="edit" aspectratio="t"/>
                  <w10:wrap type="none"/>
                  <w10:anchorlock/>
                </v:shape>
                <o:OLEObject Type="Embed" ProgID="Equation.3" ShapeID="_x0000_i1030" DrawAspect="Content" ObjectID="_1468075730" r:id="rId36">
                  <o:LockedField>false</o:LockedField>
                </o:OLEObject>
              </w:object>
            </w:r>
            <w:r>
              <w:rPr>
                <w:rFonts w:ascii="Times New Roman" w:hAnsi="Times New Roman"/>
                <w:color w:val="auto"/>
                <w:sz w:val="24"/>
                <w:highlight w:val="none"/>
              </w:rPr>
              <w:t>——核算时段内，锅炉燃料消耗量，t（</w:t>
            </w:r>
            <w:r>
              <w:rPr>
                <w:rFonts w:hint="eastAsia" w:ascii="Times New Roman" w:hAnsi="Times New Roman"/>
                <w:color w:val="auto"/>
                <w:sz w:val="24"/>
                <w:highlight w:val="none"/>
                <w:lang w:val="en-US" w:eastAsia="zh-CN"/>
              </w:rPr>
              <w:t>3113.568</w:t>
            </w:r>
            <w:r>
              <w:rPr>
                <w:rFonts w:ascii="Times New Roman" w:hAnsi="Times New Roman"/>
                <w:color w:val="auto"/>
                <w:sz w:val="24"/>
                <w:highlight w:val="none"/>
              </w:rPr>
              <w:t>t/a）</w:t>
            </w:r>
          </w:p>
          <w:p w14:paraId="7641CBAB">
            <w:pPr>
              <w:spacing w:line="360" w:lineRule="auto"/>
              <w:ind w:firstLine="1262" w:firstLineChars="526"/>
              <w:rPr>
                <w:rFonts w:ascii="Times New Roman" w:hAnsi="Times New Roman"/>
                <w:color w:val="auto"/>
                <w:sz w:val="24"/>
                <w:highlight w:val="none"/>
              </w:rPr>
            </w:pPr>
            <w:r>
              <w:rPr>
                <w:rFonts w:ascii="Times New Roman" w:hAnsi="Times New Roman"/>
                <w:color w:val="auto"/>
                <w:sz w:val="24"/>
                <w:highlight w:val="none"/>
              </w:rPr>
              <w:object>
                <v:shape id="_x0000_i1031" o:spt="75" type="#_x0000_t75" style="height:17.25pt;width:17.25pt;" o:ole="t" filled="f" o:preferrelative="t" stroked="f" coordsize="21600,21600">
                  <v:path/>
                  <v:fill on="f" focussize="0,0"/>
                  <v:stroke on="f"/>
                  <v:imagedata r:id="rId39" o:title=""/>
                  <o:lock v:ext="edit" aspectratio="t"/>
                  <w10:wrap type="none"/>
                  <w10:anchorlock/>
                </v:shape>
                <o:OLEObject Type="Embed" ProgID="Equation.3" ShapeID="_x0000_i1031" DrawAspect="Content" ObjectID="_1468075731" r:id="rId38">
                  <o:LockedField>false</o:LockedField>
                </o:OLEObject>
              </w:object>
            </w:r>
            <w:r>
              <w:rPr>
                <w:rFonts w:ascii="Times New Roman" w:hAnsi="Times New Roman"/>
                <w:color w:val="auto"/>
                <w:sz w:val="24"/>
                <w:highlight w:val="none"/>
              </w:rPr>
              <w:t>——收到基灰分的质量分数，%（</w:t>
            </w:r>
            <w:r>
              <w:rPr>
                <w:rFonts w:hint="eastAsia" w:ascii="Times New Roman" w:hAnsi="Times New Roman" w:cs="宋体"/>
                <w:color w:val="auto"/>
                <w:spacing w:val="-10"/>
                <w:sz w:val="24"/>
                <w:szCs w:val="24"/>
                <w:highlight w:val="none"/>
                <w:lang w:val="en-US" w:eastAsia="zh-CN"/>
              </w:rPr>
              <w:t>16.33</w:t>
            </w:r>
            <w:r>
              <w:rPr>
                <w:rFonts w:ascii="Times New Roman" w:hAnsi="Times New Roman" w:eastAsia="宋体" w:cs="宋体"/>
                <w:color w:val="auto"/>
                <w:spacing w:val="-10"/>
                <w:sz w:val="24"/>
                <w:szCs w:val="24"/>
                <w:highlight w:val="none"/>
              </w:rPr>
              <w:t>%</w:t>
            </w:r>
            <w:r>
              <w:rPr>
                <w:rFonts w:ascii="Times New Roman" w:hAnsi="Times New Roman"/>
                <w:color w:val="auto"/>
                <w:sz w:val="24"/>
                <w:highlight w:val="none"/>
              </w:rPr>
              <w:t>）</w:t>
            </w:r>
          </w:p>
          <w:p w14:paraId="10716F6C">
            <w:pPr>
              <w:spacing w:line="360" w:lineRule="auto"/>
              <w:ind w:firstLine="1214" w:firstLineChars="506"/>
              <w:rPr>
                <w:rFonts w:ascii="Times New Roman" w:hAnsi="Times New Roman"/>
                <w:color w:val="auto"/>
                <w:sz w:val="24"/>
                <w:highlight w:val="none"/>
              </w:rPr>
            </w:pPr>
            <w:r>
              <w:rPr>
                <w:rFonts w:ascii="Times New Roman" w:hAnsi="Times New Roman"/>
                <w:color w:val="auto"/>
                <w:sz w:val="24"/>
                <w:highlight w:val="none"/>
              </w:rPr>
              <w:object>
                <v:shape id="_x0000_i1032" o:spt="75" type="#_x0000_t75" style="height:17.25pt;width:13.5pt;" o:ole="t" filled="f" o:preferrelative="t" stroked="f" coordsize="21600,21600">
                  <v:path/>
                  <v:fill on="f" focussize="0,0"/>
                  <v:stroke on="f"/>
                  <v:imagedata r:id="rId41" o:title=""/>
                  <o:lock v:ext="edit" aspectratio="t"/>
                  <w10:wrap type="none"/>
                  <w10:anchorlock/>
                </v:shape>
                <o:OLEObject Type="Embed" ProgID="Equation.3" ShapeID="_x0000_i1032" DrawAspect="Content" ObjectID="_1468075732" r:id="rId40">
                  <o:LockedField>false</o:LockedField>
                </o:OLEObject>
              </w:object>
            </w:r>
            <w:r>
              <w:rPr>
                <w:rFonts w:ascii="Times New Roman" w:hAnsi="Times New Roman"/>
                <w:color w:val="auto"/>
                <w:sz w:val="24"/>
                <w:highlight w:val="none"/>
              </w:rPr>
              <w:t>——锅炉机械不完全燃烧热损失，%（取1</w:t>
            </w:r>
            <w:r>
              <w:rPr>
                <w:rFonts w:hint="eastAsia" w:ascii="Times New Roman" w:hAnsi="Times New Roman"/>
                <w:color w:val="auto"/>
                <w:sz w:val="24"/>
                <w:highlight w:val="none"/>
                <w:lang w:val="en-US" w:eastAsia="zh-CN"/>
              </w:rPr>
              <w:t>0</w:t>
            </w:r>
            <w:r>
              <w:rPr>
                <w:rFonts w:ascii="Times New Roman" w:hAnsi="Times New Roman"/>
                <w:color w:val="auto"/>
                <w:sz w:val="24"/>
                <w:highlight w:val="none"/>
              </w:rPr>
              <w:t>%）</w:t>
            </w:r>
          </w:p>
          <w:p w14:paraId="764D6341">
            <w:pPr>
              <w:spacing w:line="360" w:lineRule="auto"/>
              <w:ind w:firstLine="1214" w:firstLineChars="506"/>
              <w:rPr>
                <w:rFonts w:ascii="Times New Roman" w:hAnsi="Times New Roman"/>
                <w:color w:val="auto"/>
                <w:sz w:val="24"/>
                <w:highlight w:val="none"/>
              </w:rPr>
            </w:pPr>
            <w:r>
              <w:rPr>
                <w:rFonts w:ascii="Times New Roman" w:hAnsi="Times New Roman"/>
                <w:color w:val="auto"/>
                <w:sz w:val="24"/>
                <w:highlight w:val="none"/>
              </w:rPr>
              <w:object>
                <v:shape id="_x0000_i1033" o:spt="75" type="#_x0000_t75" style="height:19.5pt;width:30pt;" o:ole="t" filled="f" o:preferrelative="t" stroked="f" coordsize="21600,21600">
                  <v:path/>
                  <v:fill on="f" focussize="0,0"/>
                  <v:stroke on="f"/>
                  <v:imagedata r:id="rId43" o:title=""/>
                  <o:lock v:ext="edit" aspectratio="t"/>
                  <w10:wrap type="none"/>
                  <w10:anchorlock/>
                </v:shape>
                <o:OLEObject Type="Embed" ProgID="Equation.3" ShapeID="_x0000_i1033" DrawAspect="Content" ObjectID="_1468075733" r:id="rId42">
                  <o:LockedField>false</o:LockedField>
                </o:OLEObject>
              </w:object>
            </w:r>
            <w:r>
              <w:rPr>
                <w:rFonts w:ascii="Times New Roman" w:hAnsi="Times New Roman"/>
                <w:color w:val="auto"/>
                <w:sz w:val="24"/>
                <w:highlight w:val="none"/>
              </w:rPr>
              <w:t>——收到基低位发热量，kJ/kg（</w:t>
            </w:r>
            <w:r>
              <w:rPr>
                <w:rFonts w:hint="eastAsia" w:ascii="Times New Roman" w:hAnsi="Times New Roman" w:cs="宋体"/>
                <w:caps w:val="0"/>
                <w:color w:val="auto"/>
                <w:sz w:val="24"/>
                <w:highlight w:val="none"/>
                <w:lang w:val="en-US" w:eastAsia="zh-CN"/>
              </w:rPr>
              <w:t>16770</w:t>
            </w:r>
            <w:r>
              <w:rPr>
                <w:rFonts w:hint="eastAsia" w:ascii="Times New Roman" w:hAnsi="Times New Roman" w:eastAsia="宋体" w:cs="宋体"/>
                <w:caps w:val="0"/>
                <w:color w:val="auto"/>
                <w:sz w:val="24"/>
                <w:highlight w:val="none"/>
              </w:rPr>
              <w:t>KJ/kg</w:t>
            </w:r>
            <w:r>
              <w:rPr>
                <w:rFonts w:ascii="Times New Roman" w:hAnsi="Times New Roman"/>
                <w:color w:val="auto"/>
                <w:sz w:val="24"/>
                <w:highlight w:val="none"/>
              </w:rPr>
              <w:t>）</w:t>
            </w:r>
          </w:p>
          <w:p w14:paraId="4F9C9797">
            <w:pPr>
              <w:adjustRightInd w:val="0"/>
              <w:snapToGrid w:val="0"/>
              <w:spacing w:line="360" w:lineRule="auto"/>
              <w:ind w:firstLine="480" w:firstLineChars="200"/>
              <w:rPr>
                <w:color w:val="auto"/>
                <w:highlight w:val="none"/>
              </w:rPr>
            </w:pPr>
            <w:r>
              <w:rPr>
                <w:rFonts w:ascii="Times New Roman" w:hAnsi="Times New Roman"/>
                <w:color w:val="auto"/>
                <w:kern w:val="0"/>
                <w:sz w:val="24"/>
                <w:highlight w:val="none"/>
              </w:rPr>
              <w:t>计算公式后最终求得本项目生物质锅炉灰和炉渣产生量为</w:t>
            </w:r>
            <w:r>
              <w:rPr>
                <w:rFonts w:hint="eastAsia" w:ascii="Times New Roman" w:hAnsi="Times New Roman"/>
                <w:color w:val="auto"/>
                <w:kern w:val="0"/>
                <w:sz w:val="24"/>
                <w:highlight w:val="none"/>
                <w:lang w:val="en-US" w:eastAsia="zh-CN"/>
              </w:rPr>
              <w:t>509.98</w:t>
            </w:r>
            <w:r>
              <w:rPr>
                <w:rFonts w:ascii="Times New Roman" w:hAnsi="Times New Roman"/>
                <w:color w:val="auto"/>
                <w:kern w:val="0"/>
                <w:sz w:val="24"/>
                <w:highlight w:val="none"/>
              </w:rPr>
              <w:t>t/a，锅炉灰和炉渣</w:t>
            </w:r>
            <w:r>
              <w:rPr>
                <w:rFonts w:ascii="Times New Roman" w:hAnsi="Times New Roman"/>
                <w:color w:val="auto"/>
                <w:sz w:val="24"/>
                <w:highlight w:val="none"/>
              </w:rPr>
              <w:t>暂存于封闭</w:t>
            </w:r>
            <w:r>
              <w:rPr>
                <w:rFonts w:ascii="Times New Roman" w:hAnsi="Times New Roman"/>
                <w:color w:val="auto"/>
                <w:kern w:val="0"/>
                <w:sz w:val="24"/>
                <w:highlight w:val="none"/>
              </w:rPr>
              <w:t>灰渣间内</w:t>
            </w:r>
            <w:r>
              <w:rPr>
                <w:rFonts w:ascii="Times New Roman" w:hAnsi="Times New Roman"/>
                <w:color w:val="auto"/>
                <w:sz w:val="24"/>
                <w:highlight w:val="none"/>
              </w:rPr>
              <w:t>，</w:t>
            </w:r>
            <w:r>
              <w:rPr>
                <w:rFonts w:ascii="Times New Roman" w:hAnsi="Times New Roman"/>
                <w:bCs/>
                <w:color w:val="auto"/>
                <w:kern w:val="0"/>
                <w:sz w:val="24"/>
                <w:highlight w:val="none"/>
              </w:rPr>
              <w:t>定期外售综合利用</w:t>
            </w:r>
            <w:r>
              <w:rPr>
                <w:rFonts w:ascii="Times New Roman" w:hAnsi="Times New Roman"/>
                <w:color w:val="auto"/>
                <w:kern w:val="0"/>
                <w:sz w:val="24"/>
                <w:highlight w:val="none"/>
              </w:rPr>
              <w:t>。</w:t>
            </w:r>
            <w:r>
              <w:rPr>
                <w:rFonts w:hint="eastAsia" w:ascii="Times New Roman" w:hAnsi="Times New Roman"/>
                <w:color w:val="auto"/>
                <w:kern w:val="0"/>
                <w:sz w:val="24"/>
                <w:highlight w:val="none"/>
                <w:lang w:val="en-US" w:eastAsia="zh-CN"/>
              </w:rPr>
              <w:t>废物种类为SW03炉渣，废物代码为900-099-S03。</w:t>
            </w:r>
          </w:p>
          <w:p w14:paraId="1B7483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auto"/>
                <w:spacing w:val="0"/>
                <w:sz w:val="24"/>
                <w:szCs w:val="24"/>
                <w:highlight w:val="none"/>
                <w:lang w:val="en-US" w:eastAsia="zh-CN"/>
              </w:rPr>
            </w:pPr>
            <w:r>
              <w:rPr>
                <w:rFonts w:hint="eastAsia" w:cs="宋体"/>
                <w:color w:val="auto"/>
                <w:spacing w:val="0"/>
                <w:sz w:val="24"/>
                <w:szCs w:val="24"/>
                <w:highlight w:val="none"/>
                <w:lang w:val="en-US" w:eastAsia="zh-CN"/>
              </w:rPr>
              <w:t>锅炉灰渣存放于现有工程的204仓库，204仓库建筑面积722.5m</w:t>
            </w:r>
            <w:r>
              <w:rPr>
                <w:rFonts w:hint="eastAsia" w:cs="宋体"/>
                <w:color w:val="auto"/>
                <w:spacing w:val="0"/>
                <w:sz w:val="24"/>
                <w:szCs w:val="24"/>
                <w:highlight w:val="none"/>
                <w:vertAlign w:val="superscript"/>
                <w:lang w:val="en-US" w:eastAsia="zh-CN"/>
              </w:rPr>
              <w:t>2</w:t>
            </w:r>
            <w:r>
              <w:rPr>
                <w:rFonts w:hint="eastAsia" w:cs="宋体"/>
                <w:color w:val="auto"/>
                <w:spacing w:val="0"/>
                <w:sz w:val="24"/>
                <w:szCs w:val="24"/>
                <w:highlight w:val="none"/>
                <w:lang w:val="en-US" w:eastAsia="zh-CN"/>
              </w:rPr>
              <w:t>，主要用于存放生物质燃料及锅炉灰渣，灰渣最大存储量为80t。</w:t>
            </w:r>
          </w:p>
          <w:p w14:paraId="1A010771">
            <w:pPr>
              <w:adjustRightInd w:val="0"/>
              <w:snapToGrid w:val="0"/>
              <w:spacing w:line="360" w:lineRule="auto"/>
              <w:ind w:firstLine="480" w:firstLineChars="200"/>
              <w:rPr>
                <w:rFonts w:ascii="Times New Roman" w:hAnsi="Times New Roman"/>
                <w:color w:val="auto"/>
                <w:kern w:val="0"/>
                <w:sz w:val="24"/>
                <w:highlight w:val="none"/>
              </w:rPr>
            </w:pPr>
            <w:r>
              <w:rPr>
                <w:rFonts w:ascii="Times New Roman" w:hAnsi="Times New Roman"/>
                <w:color w:val="auto"/>
                <w:kern w:val="0"/>
                <w:sz w:val="24"/>
                <w:highlight w:val="none"/>
              </w:rPr>
              <w:t>（</w:t>
            </w:r>
            <w:r>
              <w:rPr>
                <w:rFonts w:hint="eastAsia" w:ascii="Times New Roman" w:hAnsi="Times New Roman"/>
                <w:color w:val="auto"/>
                <w:kern w:val="0"/>
                <w:sz w:val="24"/>
                <w:highlight w:val="none"/>
                <w:lang w:val="en-US" w:eastAsia="zh-CN"/>
              </w:rPr>
              <w:t>2</w:t>
            </w:r>
            <w:r>
              <w:rPr>
                <w:rFonts w:ascii="Times New Roman" w:hAnsi="Times New Roman"/>
                <w:color w:val="auto"/>
                <w:kern w:val="0"/>
                <w:sz w:val="24"/>
                <w:highlight w:val="none"/>
              </w:rPr>
              <w:t>）</w:t>
            </w:r>
            <w:r>
              <w:rPr>
                <w:rFonts w:hint="eastAsia" w:ascii="Times New Roman" w:hAnsi="Times New Roman"/>
                <w:color w:val="auto"/>
                <w:kern w:val="0"/>
                <w:sz w:val="24"/>
                <w:highlight w:val="none"/>
                <w:lang w:eastAsia="zh-CN"/>
              </w:rPr>
              <w:t>旋风除尘器+布袋除尘器</w:t>
            </w:r>
            <w:r>
              <w:rPr>
                <w:rFonts w:ascii="Times New Roman" w:hAnsi="Times New Roman"/>
                <w:color w:val="auto"/>
                <w:kern w:val="0"/>
                <w:sz w:val="24"/>
                <w:highlight w:val="none"/>
              </w:rPr>
              <w:t>收集的粉尘</w:t>
            </w:r>
          </w:p>
          <w:p w14:paraId="5D54D393">
            <w:pPr>
              <w:spacing w:line="360" w:lineRule="auto"/>
              <w:ind w:right="72" w:rightChars="30"/>
              <w:jc w:val="left"/>
              <w:rPr>
                <w:rFonts w:hint="default" w:ascii="宋体" w:hAnsi="宋体" w:eastAsia="宋体" w:cs="宋体"/>
                <w:color w:val="auto"/>
                <w:spacing w:val="0"/>
                <w:sz w:val="24"/>
                <w:highlight w:val="none"/>
                <w:lang w:val="en-US" w:eastAsia="zh-CN"/>
              </w:rPr>
            </w:pPr>
            <w:r>
              <w:rPr>
                <w:rFonts w:ascii="Times New Roman" w:hAnsi="Times New Roman"/>
                <w:color w:val="auto"/>
                <w:sz w:val="24"/>
                <w:highlight w:val="none"/>
              </w:rPr>
              <w:t>本项目</w:t>
            </w:r>
            <w:r>
              <w:rPr>
                <w:rFonts w:hint="eastAsia"/>
                <w:color w:val="auto"/>
                <w:sz w:val="24"/>
                <w:highlight w:val="none"/>
              </w:rPr>
              <w:t>高效</w:t>
            </w:r>
            <w:r>
              <w:rPr>
                <w:rFonts w:hint="eastAsia" w:ascii="Times New Roman" w:hAnsi="Times New Roman"/>
                <w:color w:val="auto"/>
                <w:kern w:val="0"/>
                <w:sz w:val="24"/>
                <w:highlight w:val="none"/>
                <w:lang w:eastAsia="zh-CN"/>
              </w:rPr>
              <w:t>旋风除尘器+布袋除尘器</w:t>
            </w:r>
            <w:r>
              <w:rPr>
                <w:rFonts w:ascii="Times New Roman" w:hAnsi="Times New Roman"/>
                <w:color w:val="auto"/>
                <w:kern w:val="0"/>
                <w:sz w:val="24"/>
                <w:highlight w:val="none"/>
              </w:rPr>
              <w:t>净化效率为99</w:t>
            </w:r>
            <w:r>
              <w:rPr>
                <w:rFonts w:hint="eastAsia" w:ascii="Times New Roman" w:hAnsi="Times New Roman"/>
                <w:color w:val="auto"/>
                <w:kern w:val="0"/>
                <w:sz w:val="24"/>
                <w:highlight w:val="none"/>
                <w:lang w:val="en-US" w:eastAsia="zh-CN"/>
              </w:rPr>
              <w:t>.7</w:t>
            </w:r>
            <w:r>
              <w:rPr>
                <w:rFonts w:ascii="Times New Roman" w:hAnsi="Times New Roman"/>
                <w:color w:val="auto"/>
                <w:kern w:val="0"/>
                <w:sz w:val="24"/>
                <w:highlight w:val="none"/>
              </w:rPr>
              <w:t>%，则除尘器收集粉尘量为</w:t>
            </w:r>
            <w:r>
              <w:rPr>
                <w:rFonts w:hint="eastAsia" w:ascii="Times New Roman" w:hAnsi="Times New Roman"/>
                <w:color w:val="auto"/>
                <w:kern w:val="0"/>
                <w:sz w:val="24"/>
                <w:highlight w:val="none"/>
                <w:lang w:val="en-US" w:eastAsia="zh-CN"/>
              </w:rPr>
              <w:t>33.825</w:t>
            </w:r>
            <w:r>
              <w:rPr>
                <w:rFonts w:ascii="Times New Roman" w:hAnsi="Times New Roman"/>
                <w:color w:val="auto"/>
                <w:kern w:val="0"/>
                <w:sz w:val="24"/>
                <w:highlight w:val="none"/>
              </w:rPr>
              <w:t>t/a。除尘器收集的粉尘</w:t>
            </w:r>
            <w:r>
              <w:rPr>
                <w:rFonts w:ascii="Times New Roman" w:hAnsi="Times New Roman"/>
                <w:color w:val="auto"/>
                <w:sz w:val="24"/>
                <w:highlight w:val="none"/>
              </w:rPr>
              <w:t>袋装暂存于</w:t>
            </w:r>
            <w:r>
              <w:rPr>
                <w:rFonts w:ascii="Times New Roman" w:hAnsi="Times New Roman"/>
                <w:color w:val="auto"/>
                <w:kern w:val="0"/>
                <w:sz w:val="24"/>
                <w:highlight w:val="none"/>
              </w:rPr>
              <w:t>灰渣间内</w:t>
            </w:r>
            <w:r>
              <w:rPr>
                <w:rFonts w:ascii="Times New Roman" w:hAnsi="Times New Roman"/>
                <w:color w:val="auto"/>
                <w:sz w:val="24"/>
                <w:highlight w:val="none"/>
              </w:rPr>
              <w:t>，</w:t>
            </w:r>
            <w:r>
              <w:rPr>
                <w:rFonts w:ascii="Times New Roman" w:hAnsi="Times New Roman"/>
                <w:bCs/>
                <w:color w:val="auto"/>
                <w:kern w:val="0"/>
                <w:sz w:val="24"/>
                <w:highlight w:val="none"/>
              </w:rPr>
              <w:t>定期外售综合利用</w:t>
            </w:r>
            <w:r>
              <w:rPr>
                <w:rFonts w:ascii="Times New Roman" w:hAnsi="Times New Roman"/>
                <w:color w:val="auto"/>
                <w:kern w:val="0"/>
                <w:sz w:val="24"/>
                <w:highlight w:val="none"/>
              </w:rPr>
              <w:t>。</w:t>
            </w:r>
            <w:r>
              <w:rPr>
                <w:rFonts w:hint="eastAsia" w:ascii="Times New Roman" w:hAnsi="Times New Roman"/>
                <w:color w:val="auto"/>
                <w:kern w:val="0"/>
                <w:sz w:val="24"/>
                <w:highlight w:val="none"/>
                <w:lang w:val="en-US" w:eastAsia="zh-CN"/>
              </w:rPr>
              <w:t>废物种类为SW02粉煤灰，废物代码为900-002-S02。</w:t>
            </w:r>
          </w:p>
          <w:p w14:paraId="0F498135">
            <w:pPr>
              <w:spacing w:line="360" w:lineRule="auto"/>
              <w:ind w:right="72" w:rightChars="30"/>
              <w:jc w:val="left"/>
              <w:rPr>
                <w:rFonts w:hint="eastAsia" w:cs="宋体"/>
                <w:color w:val="auto"/>
                <w:spacing w:val="0"/>
                <w:sz w:val="24"/>
                <w:highlight w:val="none"/>
                <w:lang w:eastAsia="zh-CN"/>
              </w:rPr>
            </w:pPr>
            <w:r>
              <w:rPr>
                <w:rFonts w:hint="eastAsia" w:cs="宋体"/>
                <w:color w:val="auto"/>
                <w:spacing w:val="0"/>
                <w:sz w:val="24"/>
                <w:highlight w:val="none"/>
                <w:lang w:eastAsia="zh-CN"/>
              </w:rPr>
              <w:t>（</w:t>
            </w:r>
            <w:r>
              <w:rPr>
                <w:rFonts w:hint="eastAsia" w:cs="宋体"/>
                <w:color w:val="auto"/>
                <w:spacing w:val="0"/>
                <w:sz w:val="24"/>
                <w:highlight w:val="none"/>
                <w:lang w:val="en-US" w:eastAsia="zh-CN"/>
              </w:rPr>
              <w:t>3</w:t>
            </w:r>
            <w:r>
              <w:rPr>
                <w:rFonts w:hint="eastAsia" w:cs="宋体"/>
                <w:color w:val="auto"/>
                <w:spacing w:val="0"/>
                <w:sz w:val="24"/>
                <w:highlight w:val="none"/>
                <w:lang w:eastAsia="zh-CN"/>
              </w:rPr>
              <w:t>）</w:t>
            </w:r>
            <w:r>
              <w:rPr>
                <w:rFonts w:ascii="Times New Roman" w:hAnsi="Times New Roman"/>
                <w:color w:val="auto"/>
                <w:kern w:val="0"/>
                <w:sz w:val="24"/>
                <w:highlight w:val="none"/>
              </w:rPr>
              <w:t>废离子交换树脂</w:t>
            </w:r>
          </w:p>
          <w:p w14:paraId="07072F11">
            <w:pPr>
              <w:spacing w:line="360" w:lineRule="auto"/>
              <w:ind w:right="72" w:rightChars="30"/>
              <w:jc w:val="left"/>
              <w:rPr>
                <w:rFonts w:hint="default" w:ascii="宋体" w:hAnsi="宋体" w:eastAsia="宋体" w:cs="宋体"/>
                <w:color w:val="auto"/>
                <w:spacing w:val="0"/>
                <w:sz w:val="24"/>
                <w:highlight w:val="none"/>
                <w:lang w:val="en-US" w:eastAsia="zh-CN"/>
              </w:rPr>
            </w:pPr>
            <w:r>
              <w:rPr>
                <w:rFonts w:ascii="Times New Roman" w:hAnsi="Times New Roman"/>
                <w:color w:val="auto"/>
                <w:kern w:val="0"/>
                <w:sz w:val="24"/>
                <w:highlight w:val="none"/>
              </w:rPr>
              <w:t>软化水制取系统的离子交换树脂会定期更换，从而产生废离子交换树脂。废离子交换树脂产生量约为</w:t>
            </w:r>
            <w:r>
              <w:rPr>
                <w:rFonts w:hint="eastAsia" w:ascii="Times New Roman" w:hAnsi="Times New Roman"/>
                <w:color w:val="auto"/>
                <w:kern w:val="0"/>
                <w:sz w:val="24"/>
                <w:highlight w:val="none"/>
                <w:lang w:val="en-US" w:eastAsia="zh-CN"/>
              </w:rPr>
              <w:t>0.5</w:t>
            </w:r>
            <w:r>
              <w:rPr>
                <w:rFonts w:ascii="Times New Roman" w:hAnsi="Times New Roman"/>
                <w:color w:val="auto"/>
                <w:kern w:val="0"/>
                <w:sz w:val="24"/>
                <w:highlight w:val="none"/>
              </w:rPr>
              <w:t>t/a，</w:t>
            </w:r>
            <w:r>
              <w:rPr>
                <w:rFonts w:hint="eastAsia" w:ascii="Times New Roman" w:hAnsi="Times New Roman"/>
                <w:color w:val="auto"/>
                <w:kern w:val="0"/>
                <w:sz w:val="24"/>
                <w:highlight w:val="none"/>
                <w:lang w:val="en-US" w:eastAsia="zh-CN"/>
              </w:rPr>
              <w:t>废物种类为</w:t>
            </w:r>
            <w:r>
              <w:rPr>
                <w:rFonts w:ascii="宋体" w:hAnsi="宋体" w:eastAsia="宋体" w:cs="宋体"/>
                <w:color w:val="auto"/>
                <w:sz w:val="24"/>
                <w:szCs w:val="24"/>
                <w:highlight w:val="none"/>
              </w:rPr>
              <w:t>SW59其他工业固体废物</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pacing w:val="0"/>
                <w:sz w:val="24"/>
                <w:szCs w:val="24"/>
                <w:highlight w:val="none"/>
              </w:rPr>
              <w:t>固废代码为（</w:t>
            </w:r>
            <w:r>
              <w:rPr>
                <w:rFonts w:ascii="宋体" w:hAnsi="宋体" w:eastAsia="宋体" w:cs="宋体"/>
                <w:color w:val="auto"/>
                <w:sz w:val="24"/>
                <w:szCs w:val="24"/>
                <w:highlight w:val="none"/>
              </w:rPr>
              <w:t xml:space="preserve">900-008-S59 </w:t>
            </w:r>
            <w:r>
              <w:rPr>
                <w:rFonts w:hint="eastAsia" w:ascii="宋体" w:hAnsi="宋体" w:eastAsia="宋体" w:cs="宋体"/>
                <w:color w:val="auto"/>
                <w:spacing w:val="0"/>
                <w:sz w:val="24"/>
                <w:szCs w:val="24"/>
                <w:highlight w:val="none"/>
              </w:rPr>
              <w:t>）</w:t>
            </w:r>
            <w:r>
              <w:rPr>
                <w:rFonts w:ascii="Times New Roman" w:hAnsi="Times New Roman"/>
                <w:color w:val="auto"/>
                <w:sz w:val="24"/>
                <w:highlight w:val="none"/>
              </w:rPr>
              <w:t>不在厂区内存放，产生后直接返回厂家回收处置</w:t>
            </w:r>
            <w:r>
              <w:rPr>
                <w:rFonts w:ascii="Times New Roman" w:hAnsi="Times New Roman"/>
                <w:color w:val="auto"/>
                <w:kern w:val="0"/>
                <w:sz w:val="24"/>
                <w:highlight w:val="none"/>
              </w:rPr>
              <w:t>。</w:t>
            </w:r>
          </w:p>
          <w:p w14:paraId="1E7A73AC">
            <w:pPr>
              <w:keepNext w:val="0"/>
              <w:keepLines w:val="0"/>
              <w:pageBreakBefore w:val="0"/>
              <w:widowControl w:val="0"/>
              <w:kinsoku/>
              <w:wordWrap/>
              <w:overflowPunct/>
              <w:topLinePunct w:val="0"/>
              <w:autoSpaceDE/>
              <w:autoSpaceDN/>
              <w:bidi w:val="0"/>
              <w:adjustRightInd/>
              <w:snapToGrid/>
              <w:spacing w:line="360" w:lineRule="auto"/>
              <w:ind w:right="72" w:rightChars="30" w:firstLine="480" w:firstLineChars="200"/>
              <w:jc w:val="both"/>
              <w:textAlignment w:val="auto"/>
              <w:rPr>
                <w:rFonts w:hint="eastAsia" w:ascii="Times New Roman" w:hAnsi="Times New Roman" w:eastAsia="宋体" w:cs="宋体"/>
                <w:caps w:val="0"/>
                <w:color w:val="auto"/>
                <w:sz w:val="24"/>
                <w:highlight w:val="none"/>
                <w:lang w:val="en-US" w:eastAsia="zh-CN"/>
              </w:rPr>
            </w:pPr>
            <w:r>
              <w:rPr>
                <w:rFonts w:hint="eastAsia" w:ascii="Times New Roman" w:hAnsi="Times New Roman" w:eastAsia="宋体" w:cs="宋体"/>
                <w:caps w:val="0"/>
                <w:color w:val="auto"/>
                <w:sz w:val="24"/>
                <w:highlight w:val="none"/>
                <w:lang w:val="en-US" w:eastAsia="zh-CN"/>
              </w:rPr>
              <w:t>（4）废布袋</w:t>
            </w:r>
          </w:p>
          <w:p w14:paraId="7B1EF76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auto"/>
                <w:spacing w:val="0"/>
                <w:sz w:val="24"/>
                <w:szCs w:val="24"/>
                <w:highlight w:val="none"/>
                <w:lang w:val="en-US"/>
              </w:rPr>
            </w:pPr>
            <w:r>
              <w:rPr>
                <w:rFonts w:hint="eastAsia" w:ascii="Times New Roman" w:hAnsi="Times New Roman" w:cs="宋体"/>
                <w:caps w:val="0"/>
                <w:color w:val="auto"/>
                <w:sz w:val="24"/>
                <w:highlight w:val="none"/>
                <w:lang w:val="en-US" w:eastAsia="zh-CN"/>
              </w:rPr>
              <w:t>旋风除尘器+布袋除尘器</w:t>
            </w:r>
            <w:r>
              <w:rPr>
                <w:rFonts w:hint="eastAsia" w:ascii="Times New Roman" w:hAnsi="Times New Roman" w:eastAsia="宋体" w:cs="宋体"/>
                <w:caps w:val="0"/>
                <w:color w:val="auto"/>
                <w:sz w:val="24"/>
                <w:highlight w:val="none"/>
                <w:lang w:val="en-US" w:eastAsia="zh-CN"/>
              </w:rPr>
              <w:t>定期更换布袋，保证环保设施的运行效率。本项目约年更换50条布袋，每条布袋约2kg，则产生废布袋量为0.1t/a。产生的废布袋集中收集，</w:t>
            </w:r>
            <w:r>
              <w:rPr>
                <w:rFonts w:hint="eastAsia" w:ascii="Times New Roman" w:hAnsi="Times New Roman" w:cs="宋体"/>
                <w:caps w:val="0"/>
                <w:color w:val="auto"/>
                <w:sz w:val="24"/>
                <w:highlight w:val="none"/>
                <w:lang w:val="en-US" w:eastAsia="zh-CN"/>
              </w:rPr>
              <w:t>集中存放与锅炉房内，定期</w:t>
            </w:r>
            <w:r>
              <w:rPr>
                <w:rFonts w:hint="eastAsia" w:ascii="Times New Roman" w:hAnsi="Times New Roman" w:eastAsia="宋体" w:cs="宋体"/>
                <w:caps w:val="0"/>
                <w:color w:val="auto"/>
                <w:sz w:val="24"/>
                <w:highlight w:val="none"/>
                <w:lang w:val="en-US" w:eastAsia="zh-CN"/>
              </w:rPr>
              <w:t>由厂家回收处理。固废类别为SW17可再生类废物，废物代码为900-099-S17</w:t>
            </w:r>
            <w:r>
              <w:rPr>
                <w:rFonts w:hint="eastAsia" w:ascii="Times New Roman" w:hAnsi="Times New Roman" w:cs="宋体"/>
                <w:caps w:val="0"/>
                <w:color w:val="auto"/>
                <w:sz w:val="24"/>
                <w:highlight w:val="none"/>
                <w:lang w:val="en-US" w:eastAsia="zh-CN"/>
              </w:rPr>
              <w:t>。锅炉房按照一般防渗区要求建设，防渗要求为等效黏土防渗层Mb≥1.5m，K≤1×10</w:t>
            </w:r>
            <w:r>
              <w:rPr>
                <w:rFonts w:hint="eastAsia" w:ascii="Times New Roman" w:hAnsi="Times New Roman" w:cs="宋体"/>
                <w:caps w:val="0"/>
                <w:color w:val="auto"/>
                <w:sz w:val="24"/>
                <w:highlight w:val="none"/>
                <w:vertAlign w:val="superscript"/>
                <w:lang w:val="en-US" w:eastAsia="zh-CN"/>
              </w:rPr>
              <w:t>-7</w:t>
            </w:r>
            <w:r>
              <w:rPr>
                <w:rFonts w:hint="eastAsia" w:ascii="Times New Roman" w:hAnsi="Times New Roman" w:cs="宋体"/>
                <w:caps w:val="0"/>
                <w:color w:val="auto"/>
                <w:sz w:val="24"/>
                <w:highlight w:val="none"/>
                <w:lang w:val="en-US" w:eastAsia="zh-CN"/>
              </w:rPr>
              <w:t>cm/s。</w:t>
            </w:r>
          </w:p>
          <w:p w14:paraId="475FB0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spacing w:val="0"/>
                <w:sz w:val="24"/>
                <w:szCs w:val="24"/>
                <w:highlight w:val="none"/>
                <w:lang w:eastAsia="zh-CN"/>
              </w:rPr>
            </w:pPr>
            <w:r>
              <w:rPr>
                <w:rFonts w:hint="eastAsia" w:ascii="宋体" w:hAnsi="宋体" w:eastAsia="宋体" w:cs="宋体"/>
                <w:color w:val="auto"/>
                <w:spacing w:val="0"/>
                <w:sz w:val="24"/>
                <w:szCs w:val="24"/>
                <w:highlight w:val="none"/>
              </w:rPr>
              <w:t>由上述分析可知，项目产生的固体废物得到有效的处理处置，对外环境影响较小</w:t>
            </w:r>
            <w:r>
              <w:rPr>
                <w:rFonts w:hint="eastAsia" w:ascii="宋体" w:hAnsi="宋体" w:eastAsia="宋体" w:cs="宋体"/>
                <w:color w:val="auto"/>
                <w:spacing w:val="0"/>
                <w:sz w:val="24"/>
                <w:szCs w:val="24"/>
                <w:highlight w:val="none"/>
                <w:lang w:eastAsia="zh-CN"/>
              </w:rPr>
              <w:t>。</w:t>
            </w:r>
          </w:p>
          <w:p w14:paraId="245C1ED6">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textAlignment w:val="auto"/>
              <w:rPr>
                <w:rFonts w:hint="eastAsia" w:ascii="Times New Roman" w:hAnsi="Times New Roman" w:eastAsia="宋体" w:cs="宋体"/>
                <w:b/>
                <w:bCs/>
                <w:caps w:val="0"/>
                <w:color w:val="auto"/>
                <w:kern w:val="0"/>
                <w:sz w:val="24"/>
                <w:highlight w:val="none"/>
              </w:rPr>
            </w:pPr>
            <w:bookmarkStart w:id="14" w:name="_Toc29485"/>
            <w:bookmarkStart w:id="15" w:name="_Toc16907"/>
            <w:r>
              <w:rPr>
                <w:rFonts w:hint="eastAsia" w:ascii="Times New Roman" w:hAnsi="Times New Roman" w:eastAsia="宋体" w:cs="宋体"/>
                <w:b/>
                <w:bCs/>
                <w:caps w:val="0"/>
                <w:color w:val="auto"/>
                <w:kern w:val="0"/>
                <w:sz w:val="24"/>
                <w:highlight w:val="none"/>
              </w:rPr>
              <w:t>4.2危险废物环境影响分析</w:t>
            </w:r>
          </w:p>
          <w:p w14:paraId="50173500">
            <w:pPr>
              <w:adjustRightInd w:val="0"/>
              <w:snapToGrid w:val="0"/>
              <w:spacing w:line="360" w:lineRule="auto"/>
              <w:ind w:firstLine="480" w:firstLineChars="200"/>
              <w:rPr>
                <w:rFonts w:hint="eastAsia" w:ascii="Times New Roman" w:hAnsi="Times New Roman" w:eastAsia="宋体" w:cs="宋体"/>
                <w:caps w:val="0"/>
                <w:color w:val="auto"/>
                <w:kern w:val="0"/>
                <w:sz w:val="24"/>
                <w:highlight w:val="none"/>
              </w:rPr>
            </w:pPr>
            <w:r>
              <w:rPr>
                <w:rFonts w:hint="eastAsia" w:ascii="Times New Roman" w:hAnsi="Times New Roman" w:eastAsia="宋体" w:cs="宋体"/>
                <w:caps w:val="0"/>
                <w:color w:val="auto"/>
                <w:kern w:val="0"/>
                <w:sz w:val="24"/>
                <w:highlight w:val="none"/>
              </w:rPr>
              <w:t>4.2.1危险废物基本情况</w:t>
            </w:r>
          </w:p>
          <w:p w14:paraId="0A6BF985">
            <w:pPr>
              <w:keepNext w:val="0"/>
              <w:keepLines w:val="0"/>
              <w:pageBreakBefore w:val="0"/>
              <w:widowControl w:val="0"/>
              <w:kinsoku/>
              <w:wordWrap/>
              <w:overflowPunct/>
              <w:topLinePunct w:val="0"/>
              <w:autoSpaceDE/>
              <w:autoSpaceDN/>
              <w:bidi w:val="0"/>
              <w:adjustRightInd/>
              <w:snapToGrid/>
              <w:spacing w:line="360" w:lineRule="auto"/>
              <w:ind w:firstLine="504" w:firstLineChars="200"/>
              <w:jc w:val="left"/>
              <w:textAlignment w:val="auto"/>
              <w:rPr>
                <w:rFonts w:hint="eastAsia" w:ascii="Times New Roman" w:hAnsi="Times New Roman" w:eastAsia="宋体" w:cs="宋体"/>
                <w:b/>
                <w:bCs/>
                <w:caps w:val="0"/>
                <w:color w:val="auto"/>
                <w:spacing w:val="6"/>
                <w:sz w:val="24"/>
                <w:szCs w:val="24"/>
                <w:highlight w:val="none"/>
              </w:rPr>
            </w:pPr>
            <w:r>
              <w:rPr>
                <w:rFonts w:hint="eastAsia" w:ascii="Times New Roman" w:hAnsi="Times New Roman" w:eastAsia="宋体" w:cs="宋体"/>
                <w:b w:val="0"/>
                <w:bCs w:val="0"/>
                <w:caps w:val="0"/>
                <w:color w:val="auto"/>
                <w:spacing w:val="6"/>
                <w:sz w:val="24"/>
                <w:highlight w:val="none"/>
              </w:rPr>
              <w:t>本项目产生的</w:t>
            </w:r>
            <w:r>
              <w:rPr>
                <w:rFonts w:hint="eastAsia" w:ascii="Times New Roman" w:hAnsi="Times New Roman" w:eastAsia="宋体" w:cs="宋体"/>
                <w:b w:val="0"/>
                <w:bCs w:val="0"/>
                <w:caps w:val="0"/>
                <w:color w:val="auto"/>
                <w:spacing w:val="6"/>
                <w:sz w:val="24"/>
                <w:highlight w:val="none"/>
                <w:lang w:eastAsia="zh-CN"/>
              </w:rPr>
              <w:t>危险废物</w:t>
            </w:r>
            <w:r>
              <w:rPr>
                <w:rFonts w:hint="eastAsia" w:ascii="Times New Roman" w:hAnsi="Times New Roman" w:eastAsia="宋体" w:cs="宋体"/>
                <w:b w:val="0"/>
                <w:bCs w:val="0"/>
                <w:caps w:val="0"/>
                <w:color w:val="auto"/>
                <w:spacing w:val="6"/>
                <w:sz w:val="24"/>
                <w:highlight w:val="none"/>
                <w:lang w:val="en-US" w:eastAsia="zh-CN"/>
              </w:rPr>
              <w:t>依托</w:t>
            </w:r>
            <w:r>
              <w:rPr>
                <w:rFonts w:hint="eastAsia" w:ascii="Times New Roman" w:hAnsi="Times New Roman" w:cs="宋体"/>
                <w:b w:val="0"/>
                <w:bCs w:val="0"/>
                <w:caps w:val="0"/>
                <w:color w:val="auto"/>
                <w:spacing w:val="6"/>
                <w:sz w:val="24"/>
                <w:highlight w:val="none"/>
                <w:lang w:val="en-US" w:eastAsia="zh-CN"/>
              </w:rPr>
              <w:t>在建</w:t>
            </w:r>
            <w:r>
              <w:rPr>
                <w:rFonts w:hint="eastAsia" w:ascii="Times New Roman" w:hAnsi="Times New Roman" w:eastAsia="宋体" w:cs="宋体"/>
                <w:b w:val="0"/>
                <w:bCs w:val="0"/>
                <w:caps w:val="0"/>
                <w:color w:val="auto"/>
                <w:spacing w:val="6"/>
                <w:sz w:val="24"/>
                <w:highlight w:val="none"/>
                <w:lang w:val="en-US" w:eastAsia="zh-CN"/>
              </w:rPr>
              <w:t>工程危废贮存库</w:t>
            </w:r>
            <w:r>
              <w:rPr>
                <w:rFonts w:hint="eastAsia" w:ascii="Times New Roman" w:hAnsi="Times New Roman" w:eastAsia="宋体" w:cs="宋体"/>
                <w:b w:val="0"/>
                <w:bCs w:val="0"/>
                <w:caps w:val="0"/>
                <w:color w:val="auto"/>
                <w:spacing w:val="6"/>
                <w:sz w:val="24"/>
                <w:highlight w:val="none"/>
              </w:rPr>
              <w:t>，</w:t>
            </w:r>
            <w:r>
              <w:rPr>
                <w:rFonts w:hint="eastAsia" w:ascii="Times New Roman" w:hAnsi="Times New Roman" w:eastAsia="宋体" w:cs="宋体"/>
                <w:b w:val="0"/>
                <w:bCs w:val="0"/>
                <w:caps w:val="0"/>
                <w:color w:val="auto"/>
                <w:spacing w:val="6"/>
                <w:sz w:val="24"/>
                <w:highlight w:val="none"/>
                <w:lang w:val="en-US" w:eastAsia="zh-CN"/>
              </w:rPr>
              <w:t>建筑</w:t>
            </w:r>
            <w:r>
              <w:rPr>
                <w:rFonts w:hint="eastAsia" w:ascii="Times New Roman" w:hAnsi="Times New Roman" w:eastAsia="宋体" w:cs="宋体"/>
                <w:b w:val="0"/>
                <w:bCs w:val="0"/>
                <w:caps w:val="0"/>
                <w:color w:val="auto"/>
                <w:spacing w:val="6"/>
                <w:sz w:val="24"/>
                <w:highlight w:val="none"/>
              </w:rPr>
              <w:t>面积</w:t>
            </w:r>
            <w:r>
              <w:rPr>
                <w:rFonts w:hint="eastAsia" w:ascii="Times New Roman" w:hAnsi="Times New Roman" w:eastAsia="宋体" w:cs="宋体"/>
                <w:b w:val="0"/>
                <w:bCs w:val="0"/>
                <w:caps w:val="0"/>
                <w:color w:val="auto"/>
                <w:spacing w:val="6"/>
                <w:sz w:val="24"/>
                <w:highlight w:val="none"/>
                <w:lang w:val="en-US" w:eastAsia="zh-CN"/>
              </w:rPr>
              <w:t>430</w:t>
            </w:r>
            <w:r>
              <w:rPr>
                <w:rFonts w:hint="eastAsia" w:ascii="Times New Roman" w:hAnsi="Times New Roman" w:eastAsia="宋体" w:cs="宋体"/>
                <w:b w:val="0"/>
                <w:bCs w:val="0"/>
                <w:caps w:val="0"/>
                <w:color w:val="auto"/>
                <w:spacing w:val="6"/>
                <w:sz w:val="24"/>
                <w:highlight w:val="none"/>
              </w:rPr>
              <w:t>m</w:t>
            </w:r>
            <w:r>
              <w:rPr>
                <w:rFonts w:hint="eastAsia" w:ascii="Times New Roman" w:hAnsi="Times New Roman" w:eastAsia="宋体" w:cs="宋体"/>
                <w:b w:val="0"/>
                <w:bCs w:val="0"/>
                <w:caps w:val="0"/>
                <w:color w:val="auto"/>
                <w:spacing w:val="6"/>
                <w:sz w:val="24"/>
                <w:highlight w:val="none"/>
                <w:vertAlign w:val="superscript"/>
              </w:rPr>
              <w:t>2</w:t>
            </w:r>
            <w:r>
              <w:rPr>
                <w:rFonts w:hint="eastAsia" w:ascii="Times New Roman" w:hAnsi="Times New Roman" w:eastAsia="宋体" w:cs="宋体"/>
                <w:b w:val="0"/>
                <w:bCs w:val="0"/>
                <w:caps w:val="0"/>
                <w:color w:val="auto"/>
                <w:spacing w:val="6"/>
                <w:sz w:val="24"/>
                <w:highlight w:val="none"/>
              </w:rPr>
              <w:t>。</w:t>
            </w:r>
            <w:r>
              <w:rPr>
                <w:rFonts w:hint="eastAsia" w:ascii="Times New Roman" w:hAnsi="Times New Roman" w:cs="宋体"/>
                <w:b w:val="0"/>
                <w:bCs w:val="0"/>
                <w:caps w:val="0"/>
                <w:color w:val="auto"/>
                <w:spacing w:val="6"/>
                <w:sz w:val="24"/>
                <w:highlight w:val="none"/>
                <w:lang w:val="en-US" w:eastAsia="zh-CN"/>
              </w:rPr>
              <w:t>在建工程危废共产17354.1344t/a。本项目危废产生量为0.025t/a，建成后全厂危废产生量为17354.1594t/a。危废贮存库最大储存量为500t。最大贮存周期为34d。在建工程危险废物的转运周期为20d，本项目危险废物产生量较小，不会缩短全厂危险废物的转运周期，在建工程危废贮存库可满足全厂危险废物的贮存要求。</w:t>
            </w:r>
            <w:r>
              <w:rPr>
                <w:rFonts w:hint="eastAsia" w:ascii="Times New Roman" w:hAnsi="Times New Roman" w:eastAsia="宋体" w:cs="宋体"/>
                <w:b w:val="0"/>
                <w:bCs w:val="0"/>
                <w:caps w:val="0"/>
                <w:color w:val="auto"/>
                <w:spacing w:val="6"/>
                <w:sz w:val="24"/>
                <w:highlight w:val="none"/>
              </w:rPr>
              <w:t>该</w:t>
            </w:r>
            <w:r>
              <w:rPr>
                <w:rFonts w:hint="eastAsia" w:ascii="Times New Roman" w:hAnsi="Times New Roman" w:eastAsia="宋体" w:cs="宋体"/>
                <w:b w:val="0"/>
                <w:bCs w:val="0"/>
                <w:caps w:val="0"/>
                <w:color w:val="auto"/>
                <w:spacing w:val="6"/>
                <w:sz w:val="24"/>
                <w:highlight w:val="none"/>
                <w:lang w:eastAsia="zh-CN"/>
              </w:rPr>
              <w:t>危废贮存库</w:t>
            </w:r>
            <w:r>
              <w:rPr>
                <w:rFonts w:hint="eastAsia" w:ascii="Times New Roman" w:hAnsi="Times New Roman" w:eastAsia="宋体" w:cs="宋体"/>
                <w:b w:val="0"/>
                <w:bCs w:val="0"/>
                <w:caps w:val="0"/>
                <w:color w:val="auto"/>
                <w:spacing w:val="6"/>
                <w:sz w:val="24"/>
                <w:highlight w:val="none"/>
              </w:rPr>
              <w:t>需满足“四防”（防风、防雨、防晒、防渗漏）要求，并设置标示牌。</w:t>
            </w:r>
          </w:p>
          <w:p w14:paraId="4E6E396D">
            <w:pPr>
              <w:keepNext w:val="0"/>
              <w:keepLines w:val="0"/>
              <w:pageBreakBefore w:val="0"/>
              <w:widowControl w:val="0"/>
              <w:kinsoku/>
              <w:wordWrap/>
              <w:overflowPunct/>
              <w:topLinePunct w:val="0"/>
              <w:autoSpaceDE/>
              <w:autoSpaceDN/>
              <w:bidi w:val="0"/>
              <w:adjustRightInd/>
              <w:snapToGrid/>
              <w:spacing w:line="360" w:lineRule="auto"/>
              <w:ind w:firstLine="504" w:firstLineChars="200"/>
              <w:jc w:val="left"/>
              <w:textAlignment w:val="auto"/>
              <w:rPr>
                <w:rFonts w:hint="eastAsia" w:ascii="Times New Roman" w:hAnsi="Times New Roman" w:eastAsia="宋体" w:cs="宋体"/>
                <w:b w:val="0"/>
                <w:bCs w:val="0"/>
                <w:caps w:val="0"/>
                <w:color w:val="auto"/>
                <w:spacing w:val="6"/>
                <w:sz w:val="24"/>
                <w:szCs w:val="24"/>
                <w:highlight w:val="none"/>
              </w:rPr>
            </w:pPr>
            <w:r>
              <w:rPr>
                <w:rFonts w:hint="eastAsia" w:ascii="Times New Roman" w:hAnsi="Times New Roman" w:eastAsia="宋体" w:cs="宋体"/>
                <w:b w:val="0"/>
                <w:bCs w:val="0"/>
                <w:caps w:val="0"/>
                <w:color w:val="auto"/>
                <w:spacing w:val="6"/>
                <w:sz w:val="24"/>
                <w:szCs w:val="24"/>
                <w:highlight w:val="none"/>
                <w:lang w:eastAsia="zh-CN"/>
              </w:rPr>
              <w:t>危险废物贮存库</w:t>
            </w:r>
            <w:r>
              <w:rPr>
                <w:rFonts w:hint="eastAsia" w:ascii="Times New Roman" w:hAnsi="Times New Roman" w:eastAsia="宋体" w:cs="宋体"/>
                <w:b w:val="0"/>
                <w:bCs w:val="0"/>
                <w:caps w:val="0"/>
                <w:color w:val="auto"/>
                <w:spacing w:val="6"/>
                <w:sz w:val="24"/>
                <w:szCs w:val="24"/>
                <w:highlight w:val="none"/>
              </w:rPr>
              <w:t>配备通讯设备、照明设施、安全防护服装及工具，并设有应急防护设施。</w:t>
            </w:r>
          </w:p>
          <w:p w14:paraId="7E5B059E">
            <w:pPr>
              <w:tabs>
                <w:tab w:val="left" w:pos="3052"/>
              </w:tabs>
              <w:adjustRightInd w:val="0"/>
              <w:spacing w:line="360" w:lineRule="auto"/>
              <w:ind w:firstLine="504" w:firstLineChars="200"/>
              <w:rPr>
                <w:rFonts w:hint="default" w:ascii="Times New Roman" w:hAnsi="Times New Roman" w:eastAsia="宋体" w:cs="宋体"/>
                <w:b/>
                <w:caps w:val="0"/>
                <w:color w:val="auto"/>
                <w:sz w:val="24"/>
                <w:highlight w:val="none"/>
                <w:lang w:val="en-US" w:eastAsia="zh-CN"/>
              </w:rPr>
            </w:pPr>
            <w:r>
              <w:rPr>
                <w:rFonts w:hint="eastAsia" w:ascii="Times New Roman" w:hAnsi="Times New Roman" w:eastAsia="宋体" w:cs="宋体"/>
                <w:b w:val="0"/>
                <w:bCs w:val="0"/>
                <w:caps w:val="0"/>
                <w:color w:val="auto"/>
                <w:spacing w:val="6"/>
                <w:sz w:val="24"/>
                <w:szCs w:val="24"/>
                <w:highlight w:val="none"/>
                <w:lang w:eastAsia="zh-CN"/>
              </w:rPr>
              <w:t>危险废物贮存库</w:t>
            </w:r>
            <w:r>
              <w:rPr>
                <w:rFonts w:hint="eastAsia" w:ascii="Times New Roman" w:hAnsi="Times New Roman" w:eastAsia="宋体" w:cs="宋体"/>
                <w:b w:val="0"/>
                <w:bCs w:val="0"/>
                <w:caps w:val="0"/>
                <w:color w:val="auto"/>
                <w:spacing w:val="6"/>
                <w:sz w:val="24"/>
                <w:szCs w:val="24"/>
                <w:highlight w:val="none"/>
              </w:rPr>
              <w:t>地面及</w:t>
            </w:r>
            <w:r>
              <w:rPr>
                <w:rFonts w:hint="eastAsia" w:ascii="Times New Roman" w:hAnsi="Times New Roman" w:eastAsia="宋体" w:cs="宋体"/>
                <w:b w:val="0"/>
                <w:bCs w:val="0"/>
                <w:caps w:val="0"/>
                <w:color w:val="auto"/>
                <w:spacing w:val="6"/>
                <w:sz w:val="24"/>
                <w:szCs w:val="24"/>
                <w:highlight w:val="none"/>
                <w:lang w:eastAsia="zh-CN"/>
              </w:rPr>
              <w:t>裙脚</w:t>
            </w:r>
            <w:r>
              <w:rPr>
                <w:rFonts w:hint="eastAsia" w:ascii="Times New Roman" w:hAnsi="Times New Roman" w:eastAsia="宋体" w:cs="宋体"/>
                <w:b w:val="0"/>
                <w:bCs w:val="0"/>
                <w:caps w:val="0"/>
                <w:color w:val="auto"/>
                <w:spacing w:val="6"/>
                <w:sz w:val="24"/>
                <w:szCs w:val="24"/>
                <w:highlight w:val="none"/>
              </w:rPr>
              <w:t>基础底层至少采用2mm厚的高密度聚乙烯板，渗透系数≤10</w:t>
            </w:r>
            <w:r>
              <w:rPr>
                <w:rFonts w:hint="eastAsia" w:ascii="Times New Roman" w:hAnsi="Times New Roman" w:eastAsia="宋体" w:cs="宋体"/>
                <w:b w:val="0"/>
                <w:bCs w:val="0"/>
                <w:caps w:val="0"/>
                <w:color w:val="auto"/>
                <w:spacing w:val="6"/>
                <w:sz w:val="24"/>
                <w:szCs w:val="24"/>
                <w:highlight w:val="none"/>
                <w:vertAlign w:val="superscript"/>
              </w:rPr>
              <w:t>-10</w:t>
            </w:r>
            <w:r>
              <w:rPr>
                <w:rFonts w:hint="eastAsia" w:ascii="Times New Roman" w:hAnsi="Times New Roman" w:eastAsia="宋体" w:cs="宋体"/>
                <w:b w:val="0"/>
                <w:bCs w:val="0"/>
                <w:caps w:val="0"/>
                <w:color w:val="auto"/>
                <w:spacing w:val="6"/>
                <w:sz w:val="24"/>
                <w:szCs w:val="24"/>
                <w:highlight w:val="none"/>
              </w:rPr>
              <w:t>cm/s，上层采用混凝土结构并刷防水防渗漆，防止渗漏造成二次污染。</w:t>
            </w:r>
            <w:r>
              <w:rPr>
                <w:rFonts w:hint="eastAsia" w:ascii="Times New Roman" w:hAnsi="Times New Roman" w:eastAsia="宋体" w:cs="宋体"/>
                <w:b w:val="0"/>
                <w:bCs w:val="0"/>
                <w:caps w:val="0"/>
                <w:color w:val="auto"/>
                <w:spacing w:val="6"/>
                <w:sz w:val="24"/>
                <w:szCs w:val="24"/>
                <w:highlight w:val="none"/>
                <w:lang w:val="en-US" w:eastAsia="zh-CN"/>
              </w:rPr>
              <w:t>产生的危险废物具体情况如下：</w:t>
            </w:r>
          </w:p>
          <w:p w14:paraId="06918B9C">
            <w:pPr>
              <w:tabs>
                <w:tab w:val="left" w:pos="3052"/>
              </w:tabs>
              <w:adjustRightInd w:val="0"/>
              <w:spacing w:line="360" w:lineRule="auto"/>
              <w:ind w:firstLine="482" w:firstLineChars="200"/>
              <w:rPr>
                <w:rFonts w:hint="eastAsia" w:ascii="Times New Roman" w:hAnsi="Times New Roman" w:eastAsia="宋体" w:cs="宋体"/>
                <w:bCs/>
                <w:caps w:val="0"/>
                <w:color w:val="auto"/>
                <w:sz w:val="24"/>
                <w:highlight w:val="none"/>
              </w:rPr>
            </w:pPr>
            <w:r>
              <w:rPr>
                <w:rFonts w:hint="eastAsia" w:ascii="Times New Roman" w:hAnsi="Times New Roman" w:eastAsia="宋体" w:cs="宋体"/>
                <w:b/>
                <w:caps w:val="0"/>
                <w:color w:val="auto"/>
                <w:sz w:val="24"/>
                <w:highlight w:val="none"/>
                <w:lang w:val="en-US" w:eastAsia="zh-CN"/>
              </w:rPr>
              <w:t>危险废物</w:t>
            </w:r>
            <w:r>
              <w:rPr>
                <w:rFonts w:hint="eastAsia" w:ascii="Times New Roman" w:hAnsi="Times New Roman" w:eastAsia="宋体" w:cs="宋体"/>
                <w:b/>
                <w:caps w:val="0"/>
                <w:color w:val="auto"/>
                <w:sz w:val="24"/>
                <w:highlight w:val="none"/>
              </w:rPr>
              <w:t>：</w:t>
            </w:r>
            <w:r>
              <w:rPr>
                <w:rFonts w:hint="eastAsia" w:ascii="宋体" w:hAnsi="宋体" w:eastAsia="宋体" w:cs="宋体"/>
                <w:bCs/>
                <w:color w:val="auto"/>
                <w:kern w:val="0"/>
                <w:sz w:val="24"/>
                <w:szCs w:val="24"/>
                <w:highlight w:val="none"/>
                <w:lang w:val="en-US" w:eastAsia="zh-CN" w:bidi="ar"/>
              </w:rPr>
              <w:t>锅炉设备停工检修期间产生废机油</w:t>
            </w:r>
            <w:r>
              <w:rPr>
                <w:rFonts w:hint="eastAsia" w:cs="宋体"/>
                <w:bCs/>
                <w:color w:val="auto"/>
                <w:kern w:val="0"/>
                <w:sz w:val="24"/>
                <w:szCs w:val="24"/>
                <w:highlight w:val="none"/>
                <w:lang w:val="en-US" w:eastAsia="zh-CN" w:bidi="ar"/>
              </w:rPr>
              <w:t>、废机油桶、含油棉纱（手套、抹布）</w:t>
            </w:r>
            <w:r>
              <w:rPr>
                <w:rFonts w:hint="eastAsia" w:ascii="宋体" w:hAnsi="宋体" w:eastAsia="宋体" w:cs="宋体"/>
                <w:bCs/>
                <w:color w:val="auto"/>
                <w:kern w:val="0"/>
                <w:sz w:val="24"/>
                <w:szCs w:val="24"/>
                <w:highlight w:val="none"/>
                <w:lang w:val="en-US" w:eastAsia="zh-CN" w:bidi="ar"/>
              </w:rPr>
              <w:t>，废机油危废类别</w:t>
            </w:r>
            <w:r>
              <w:rPr>
                <w:rFonts w:hint="default" w:ascii="Times New Roman" w:hAnsi="Times New Roman" w:eastAsia="宋体" w:cs="Times New Roman"/>
                <w:bCs/>
                <w:color w:val="auto"/>
                <w:kern w:val="0"/>
                <w:sz w:val="24"/>
                <w:szCs w:val="24"/>
                <w:highlight w:val="none"/>
                <w:lang w:val="en-US" w:eastAsia="zh-CN" w:bidi="ar"/>
              </w:rPr>
              <w:t>HW08</w:t>
            </w:r>
            <w:r>
              <w:rPr>
                <w:rFonts w:hint="eastAsia" w:ascii="宋体" w:hAnsi="宋体" w:eastAsia="宋体" w:cs="宋体"/>
                <w:bCs/>
                <w:color w:val="auto"/>
                <w:kern w:val="0"/>
                <w:sz w:val="24"/>
                <w:szCs w:val="24"/>
                <w:highlight w:val="none"/>
                <w:lang w:val="en-US" w:eastAsia="zh-CN" w:bidi="ar"/>
              </w:rPr>
              <w:t>（废物代码</w:t>
            </w:r>
            <w:r>
              <w:rPr>
                <w:rFonts w:hint="default" w:ascii="Times New Roman" w:hAnsi="Times New Roman" w:eastAsia="宋体" w:cs="Times New Roman"/>
                <w:bCs/>
                <w:color w:val="auto"/>
                <w:kern w:val="0"/>
                <w:sz w:val="24"/>
                <w:szCs w:val="24"/>
                <w:highlight w:val="none"/>
                <w:lang w:val="en-US" w:eastAsia="zh-CN" w:bidi="ar"/>
              </w:rPr>
              <w:t>900-249-08</w:t>
            </w:r>
            <w:r>
              <w:rPr>
                <w:rFonts w:hint="eastAsia" w:ascii="宋体" w:hAnsi="宋体" w:eastAsia="宋体" w:cs="宋体"/>
                <w:bCs/>
                <w:color w:val="auto"/>
                <w:kern w:val="0"/>
                <w:sz w:val="24"/>
                <w:szCs w:val="24"/>
                <w:highlight w:val="none"/>
                <w:lang w:val="en-US" w:eastAsia="zh-CN" w:bidi="ar"/>
              </w:rPr>
              <w:t>），</w:t>
            </w:r>
            <w:r>
              <w:rPr>
                <w:rFonts w:hint="eastAsia" w:cs="宋体"/>
                <w:bCs/>
                <w:color w:val="auto"/>
                <w:kern w:val="0"/>
                <w:sz w:val="24"/>
                <w:szCs w:val="24"/>
                <w:highlight w:val="none"/>
                <w:lang w:val="en-US" w:eastAsia="zh-CN" w:bidi="ar"/>
              </w:rPr>
              <w:t>废机油桶危废类比HW49（废物代码</w:t>
            </w:r>
            <w:r>
              <w:rPr>
                <w:rFonts w:hint="default" w:ascii="Times New Roman" w:hAnsi="Times New Roman" w:cs="Times New Roman"/>
                <w:bCs/>
                <w:color w:val="auto"/>
                <w:kern w:val="0"/>
                <w:sz w:val="24"/>
                <w:szCs w:val="24"/>
                <w:highlight w:val="none"/>
                <w:lang w:val="en-US" w:eastAsia="zh-CN" w:bidi="ar"/>
              </w:rPr>
              <w:t>900-041-49</w:t>
            </w:r>
            <w:r>
              <w:rPr>
                <w:rFonts w:hint="eastAsia" w:cs="宋体"/>
                <w:bCs/>
                <w:color w:val="auto"/>
                <w:kern w:val="0"/>
                <w:sz w:val="24"/>
                <w:szCs w:val="24"/>
                <w:highlight w:val="none"/>
                <w:lang w:val="en-US" w:eastAsia="zh-CN" w:bidi="ar"/>
              </w:rPr>
              <w:t>），含油棉纱（手套、抹布）</w:t>
            </w:r>
            <w:r>
              <w:rPr>
                <w:rFonts w:hint="eastAsia" w:ascii="宋体" w:hAnsi="宋体" w:eastAsia="宋体" w:cs="宋体"/>
                <w:bCs/>
                <w:color w:val="auto"/>
                <w:kern w:val="0"/>
                <w:sz w:val="24"/>
                <w:szCs w:val="24"/>
                <w:highlight w:val="none"/>
                <w:lang w:val="en-US" w:eastAsia="zh-CN" w:bidi="ar"/>
              </w:rPr>
              <w:t>危废类别</w:t>
            </w:r>
            <w:r>
              <w:rPr>
                <w:rFonts w:hint="default" w:ascii="Times New Roman" w:hAnsi="Times New Roman" w:cs="Times New Roman"/>
                <w:bCs/>
                <w:color w:val="auto"/>
                <w:kern w:val="0"/>
                <w:sz w:val="24"/>
                <w:szCs w:val="24"/>
                <w:highlight w:val="none"/>
                <w:lang w:val="en-US" w:eastAsia="zh-CN" w:bidi="ar"/>
              </w:rPr>
              <w:t>HW49（废物代码900-041-49</w:t>
            </w:r>
            <w:r>
              <w:rPr>
                <w:rFonts w:hint="eastAsia" w:cs="宋体"/>
                <w:bCs/>
                <w:color w:val="auto"/>
                <w:kern w:val="0"/>
                <w:sz w:val="24"/>
                <w:szCs w:val="24"/>
                <w:highlight w:val="none"/>
                <w:lang w:val="en-US" w:eastAsia="zh-CN" w:bidi="ar"/>
              </w:rPr>
              <w:t>）。</w:t>
            </w:r>
          </w:p>
          <w:p w14:paraId="4F453E3C">
            <w:pPr>
              <w:spacing w:line="360" w:lineRule="auto"/>
              <w:ind w:firstLine="480" w:firstLineChars="200"/>
              <w:rPr>
                <w:rFonts w:ascii="Times New Roman" w:hAnsi="Times New Roman" w:eastAsia="宋体" w:cs="宋体"/>
                <w:caps w:val="0"/>
                <w:color w:val="auto"/>
                <w:sz w:val="24"/>
                <w:szCs w:val="24"/>
                <w:highlight w:val="none"/>
              </w:rPr>
            </w:pPr>
            <w:r>
              <w:rPr>
                <w:rFonts w:hint="eastAsia" w:ascii="Times New Roman" w:hAnsi="Times New Roman" w:eastAsia="宋体" w:cs="宋体"/>
                <w:caps w:val="0"/>
                <w:color w:val="auto"/>
                <w:sz w:val="24"/>
                <w:szCs w:val="24"/>
                <w:highlight w:val="none"/>
              </w:rPr>
              <w:t>本项目</w:t>
            </w:r>
            <w:r>
              <w:rPr>
                <w:rFonts w:hint="eastAsia" w:ascii="Times New Roman" w:hAnsi="Times New Roman" w:cs="宋体"/>
                <w:caps w:val="0"/>
                <w:color w:val="auto"/>
                <w:sz w:val="24"/>
                <w:szCs w:val="24"/>
                <w:highlight w:val="none"/>
                <w:lang w:eastAsia="zh-CN"/>
              </w:rPr>
              <w:t>危废贮存库</w:t>
            </w:r>
            <w:r>
              <w:rPr>
                <w:rFonts w:hint="eastAsia" w:ascii="Times New Roman" w:hAnsi="Times New Roman" w:eastAsia="宋体" w:cs="宋体"/>
                <w:caps w:val="0"/>
                <w:color w:val="auto"/>
                <w:sz w:val="24"/>
                <w:szCs w:val="24"/>
                <w:highlight w:val="none"/>
              </w:rPr>
              <w:t>设置情况见表4-</w:t>
            </w:r>
            <w:r>
              <w:rPr>
                <w:rFonts w:hint="eastAsia" w:ascii="Times New Roman" w:hAnsi="Times New Roman" w:eastAsia="宋体" w:cs="宋体"/>
                <w:caps w:val="0"/>
                <w:color w:val="auto"/>
                <w:sz w:val="24"/>
                <w:szCs w:val="24"/>
                <w:highlight w:val="none"/>
                <w:lang w:val="en-US" w:eastAsia="zh-CN"/>
              </w:rPr>
              <w:t>17</w:t>
            </w:r>
            <w:r>
              <w:rPr>
                <w:rFonts w:hint="eastAsia" w:ascii="Times New Roman" w:hAnsi="Times New Roman" w:eastAsia="宋体" w:cs="宋体"/>
                <w:caps w:val="0"/>
                <w:color w:val="auto"/>
                <w:sz w:val="24"/>
                <w:szCs w:val="24"/>
                <w:highlight w:val="none"/>
              </w:rPr>
              <w:t>。</w:t>
            </w:r>
          </w:p>
          <w:p w14:paraId="028D49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eastAsia="宋体" w:cs="宋体"/>
                <w:b/>
                <w:bCs/>
                <w:caps w:val="0"/>
                <w:color w:val="auto"/>
                <w:sz w:val="24"/>
                <w:szCs w:val="24"/>
                <w:highlight w:val="none"/>
              </w:rPr>
            </w:pPr>
            <w:r>
              <w:rPr>
                <w:rFonts w:hint="eastAsia" w:ascii="Times New Roman" w:hAnsi="Times New Roman" w:eastAsia="宋体" w:cs="宋体"/>
                <w:b/>
                <w:bCs/>
                <w:caps w:val="0"/>
                <w:color w:val="auto"/>
                <w:sz w:val="24"/>
                <w:szCs w:val="24"/>
                <w:highlight w:val="none"/>
              </w:rPr>
              <w:t>表4-1</w:t>
            </w:r>
            <w:r>
              <w:rPr>
                <w:rFonts w:hint="eastAsia" w:ascii="Times New Roman" w:hAnsi="Times New Roman" w:eastAsia="宋体" w:cs="宋体"/>
                <w:b/>
                <w:bCs/>
                <w:caps w:val="0"/>
                <w:color w:val="auto"/>
                <w:sz w:val="24"/>
                <w:szCs w:val="24"/>
                <w:highlight w:val="none"/>
                <w:lang w:val="en-US" w:eastAsia="zh-CN"/>
              </w:rPr>
              <w:t>7</w:t>
            </w:r>
            <w:r>
              <w:rPr>
                <w:rFonts w:hint="eastAsia" w:ascii="Times New Roman" w:hAnsi="Times New Roman" w:eastAsia="宋体" w:cs="宋体"/>
                <w:b/>
                <w:bCs/>
                <w:caps w:val="0"/>
                <w:color w:val="auto"/>
                <w:sz w:val="24"/>
                <w:szCs w:val="24"/>
                <w:highlight w:val="none"/>
              </w:rPr>
              <w:t xml:space="preserve"> 危险废物贮存场所（设施）基本情况样表</w:t>
            </w:r>
          </w:p>
          <w:tbl>
            <w:tblPr>
              <w:tblStyle w:val="37"/>
              <w:tblW w:w="78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23"/>
              <w:gridCol w:w="1223"/>
              <w:gridCol w:w="1110"/>
              <w:gridCol w:w="795"/>
              <w:gridCol w:w="1290"/>
              <w:gridCol w:w="1031"/>
              <w:gridCol w:w="654"/>
              <w:gridCol w:w="719"/>
              <w:gridCol w:w="621"/>
            </w:tblGrid>
            <w:tr w14:paraId="57D5E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1" w:hRule="atLeast"/>
                <w:jc w:val="center"/>
              </w:trPr>
              <w:tc>
                <w:tcPr>
                  <w:tcW w:w="423" w:type="dxa"/>
                  <w:noWrap w:val="0"/>
                  <w:vAlign w:val="center"/>
                </w:tcPr>
                <w:p w14:paraId="4F8F9769">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auto"/>
                      <w:kern w:val="0"/>
                      <w:sz w:val="21"/>
                      <w:szCs w:val="21"/>
                      <w:highlight w:val="none"/>
                    </w:rPr>
                  </w:pPr>
                  <w:r>
                    <w:rPr>
                      <w:rFonts w:ascii="Times New Roman" w:hAnsi="Times New Roman" w:eastAsia="宋体" w:cs="宋体"/>
                      <w:b/>
                      <w:caps w:val="0"/>
                      <w:color w:val="auto"/>
                      <w:kern w:val="0"/>
                      <w:sz w:val="21"/>
                      <w:szCs w:val="21"/>
                      <w:highlight w:val="none"/>
                    </w:rPr>
                    <w:t>序号</w:t>
                  </w:r>
                </w:p>
              </w:tc>
              <w:tc>
                <w:tcPr>
                  <w:tcW w:w="1223" w:type="dxa"/>
                  <w:noWrap w:val="0"/>
                  <w:vAlign w:val="center"/>
                </w:tcPr>
                <w:p w14:paraId="5583EBF3">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auto"/>
                      <w:kern w:val="0"/>
                      <w:sz w:val="21"/>
                      <w:szCs w:val="21"/>
                      <w:highlight w:val="none"/>
                    </w:rPr>
                  </w:pPr>
                  <w:r>
                    <w:rPr>
                      <w:rFonts w:ascii="Times New Roman" w:hAnsi="Times New Roman" w:eastAsia="宋体" w:cs="宋体"/>
                      <w:b/>
                      <w:caps w:val="0"/>
                      <w:color w:val="auto"/>
                      <w:kern w:val="0"/>
                      <w:sz w:val="21"/>
                      <w:szCs w:val="21"/>
                      <w:highlight w:val="none"/>
                    </w:rPr>
                    <w:t>贮存场所（设施）名称</w:t>
                  </w:r>
                </w:p>
              </w:tc>
              <w:tc>
                <w:tcPr>
                  <w:tcW w:w="1110" w:type="dxa"/>
                  <w:noWrap w:val="0"/>
                  <w:vAlign w:val="center"/>
                </w:tcPr>
                <w:p w14:paraId="0A1D7FF8">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auto"/>
                      <w:kern w:val="0"/>
                      <w:sz w:val="21"/>
                      <w:szCs w:val="21"/>
                      <w:highlight w:val="none"/>
                    </w:rPr>
                  </w:pPr>
                  <w:r>
                    <w:rPr>
                      <w:rFonts w:ascii="Times New Roman" w:hAnsi="Times New Roman" w:eastAsia="宋体" w:cs="宋体"/>
                      <w:b/>
                      <w:caps w:val="0"/>
                      <w:color w:val="auto"/>
                      <w:kern w:val="0"/>
                      <w:sz w:val="21"/>
                      <w:szCs w:val="21"/>
                      <w:highlight w:val="none"/>
                    </w:rPr>
                    <w:t>危险废物名称</w:t>
                  </w:r>
                </w:p>
              </w:tc>
              <w:tc>
                <w:tcPr>
                  <w:tcW w:w="795" w:type="dxa"/>
                  <w:noWrap w:val="0"/>
                  <w:vAlign w:val="center"/>
                </w:tcPr>
                <w:p w14:paraId="1CB5AFA9">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auto"/>
                      <w:kern w:val="0"/>
                      <w:sz w:val="21"/>
                      <w:szCs w:val="21"/>
                      <w:highlight w:val="none"/>
                    </w:rPr>
                  </w:pPr>
                  <w:r>
                    <w:rPr>
                      <w:rFonts w:ascii="Times New Roman" w:hAnsi="Times New Roman" w:eastAsia="宋体" w:cs="宋体"/>
                      <w:b/>
                      <w:caps w:val="0"/>
                      <w:color w:val="auto"/>
                      <w:kern w:val="0"/>
                      <w:sz w:val="21"/>
                      <w:szCs w:val="21"/>
                      <w:highlight w:val="none"/>
                    </w:rPr>
                    <w:t>危险废物类别</w:t>
                  </w:r>
                </w:p>
              </w:tc>
              <w:tc>
                <w:tcPr>
                  <w:tcW w:w="1290" w:type="dxa"/>
                  <w:noWrap w:val="0"/>
                  <w:vAlign w:val="center"/>
                </w:tcPr>
                <w:p w14:paraId="023E6E68">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auto"/>
                      <w:kern w:val="0"/>
                      <w:sz w:val="21"/>
                      <w:szCs w:val="21"/>
                      <w:highlight w:val="none"/>
                    </w:rPr>
                  </w:pPr>
                  <w:r>
                    <w:rPr>
                      <w:rFonts w:ascii="Times New Roman" w:hAnsi="Times New Roman" w:eastAsia="宋体" w:cs="宋体"/>
                      <w:b/>
                      <w:caps w:val="0"/>
                      <w:color w:val="auto"/>
                      <w:kern w:val="0"/>
                      <w:sz w:val="21"/>
                      <w:szCs w:val="21"/>
                      <w:highlight w:val="none"/>
                    </w:rPr>
                    <w:t>危险废物</w:t>
                  </w:r>
                </w:p>
                <w:p w14:paraId="1002830C">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auto"/>
                      <w:kern w:val="0"/>
                      <w:sz w:val="21"/>
                      <w:szCs w:val="21"/>
                      <w:highlight w:val="none"/>
                    </w:rPr>
                  </w:pPr>
                  <w:r>
                    <w:rPr>
                      <w:rFonts w:ascii="Times New Roman" w:hAnsi="Times New Roman" w:eastAsia="宋体" w:cs="宋体"/>
                      <w:b/>
                      <w:caps w:val="0"/>
                      <w:color w:val="auto"/>
                      <w:kern w:val="0"/>
                      <w:sz w:val="21"/>
                      <w:szCs w:val="21"/>
                      <w:highlight w:val="none"/>
                    </w:rPr>
                    <w:t>代码</w:t>
                  </w:r>
                </w:p>
              </w:tc>
              <w:tc>
                <w:tcPr>
                  <w:tcW w:w="1031" w:type="dxa"/>
                  <w:noWrap w:val="0"/>
                  <w:vAlign w:val="center"/>
                </w:tcPr>
                <w:p w14:paraId="238868B9">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auto"/>
                      <w:kern w:val="0"/>
                      <w:sz w:val="21"/>
                      <w:szCs w:val="21"/>
                      <w:highlight w:val="none"/>
                    </w:rPr>
                  </w:pPr>
                  <w:r>
                    <w:rPr>
                      <w:rFonts w:ascii="Times New Roman" w:hAnsi="Times New Roman" w:eastAsia="宋体" w:cs="宋体"/>
                      <w:b/>
                      <w:caps w:val="0"/>
                      <w:color w:val="auto"/>
                      <w:kern w:val="0"/>
                      <w:sz w:val="21"/>
                      <w:szCs w:val="21"/>
                      <w:highlight w:val="none"/>
                    </w:rPr>
                    <w:t>位置</w:t>
                  </w:r>
                </w:p>
              </w:tc>
              <w:tc>
                <w:tcPr>
                  <w:tcW w:w="654" w:type="dxa"/>
                  <w:noWrap w:val="0"/>
                  <w:vAlign w:val="center"/>
                </w:tcPr>
                <w:p w14:paraId="1CA6493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auto"/>
                      <w:kern w:val="0"/>
                      <w:sz w:val="21"/>
                      <w:szCs w:val="21"/>
                      <w:highlight w:val="none"/>
                    </w:rPr>
                  </w:pPr>
                  <w:r>
                    <w:rPr>
                      <w:rFonts w:ascii="Times New Roman" w:hAnsi="Times New Roman" w:eastAsia="宋体" w:cs="宋体"/>
                      <w:b/>
                      <w:caps w:val="0"/>
                      <w:color w:val="auto"/>
                      <w:kern w:val="0"/>
                      <w:sz w:val="21"/>
                      <w:szCs w:val="21"/>
                      <w:highlight w:val="none"/>
                    </w:rPr>
                    <w:t>占地</w:t>
                  </w:r>
                </w:p>
                <w:p w14:paraId="130F3470">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auto"/>
                      <w:kern w:val="0"/>
                      <w:sz w:val="21"/>
                      <w:szCs w:val="21"/>
                      <w:highlight w:val="none"/>
                    </w:rPr>
                  </w:pPr>
                  <w:r>
                    <w:rPr>
                      <w:rFonts w:ascii="Times New Roman" w:hAnsi="Times New Roman" w:eastAsia="宋体" w:cs="宋体"/>
                      <w:b/>
                      <w:caps w:val="0"/>
                      <w:color w:val="auto"/>
                      <w:kern w:val="0"/>
                      <w:sz w:val="21"/>
                      <w:szCs w:val="21"/>
                      <w:highlight w:val="none"/>
                    </w:rPr>
                    <w:t>面积</w:t>
                  </w:r>
                </w:p>
              </w:tc>
              <w:tc>
                <w:tcPr>
                  <w:tcW w:w="719" w:type="dxa"/>
                  <w:noWrap w:val="0"/>
                  <w:vAlign w:val="center"/>
                </w:tcPr>
                <w:p w14:paraId="667831D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auto"/>
                      <w:kern w:val="0"/>
                      <w:sz w:val="21"/>
                      <w:szCs w:val="21"/>
                      <w:highlight w:val="none"/>
                    </w:rPr>
                  </w:pPr>
                  <w:r>
                    <w:rPr>
                      <w:rFonts w:ascii="Times New Roman" w:hAnsi="Times New Roman" w:eastAsia="宋体" w:cs="宋体"/>
                      <w:b/>
                      <w:caps w:val="0"/>
                      <w:color w:val="auto"/>
                      <w:kern w:val="0"/>
                      <w:sz w:val="21"/>
                      <w:szCs w:val="21"/>
                      <w:highlight w:val="none"/>
                    </w:rPr>
                    <w:t>贮存</w:t>
                  </w:r>
                </w:p>
                <w:p w14:paraId="6B990CB1">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auto"/>
                      <w:kern w:val="0"/>
                      <w:sz w:val="21"/>
                      <w:szCs w:val="21"/>
                      <w:highlight w:val="none"/>
                    </w:rPr>
                  </w:pPr>
                  <w:r>
                    <w:rPr>
                      <w:rFonts w:ascii="Times New Roman" w:hAnsi="Times New Roman" w:eastAsia="宋体" w:cs="宋体"/>
                      <w:b/>
                      <w:caps w:val="0"/>
                      <w:color w:val="auto"/>
                      <w:kern w:val="0"/>
                      <w:sz w:val="21"/>
                      <w:szCs w:val="21"/>
                      <w:highlight w:val="none"/>
                    </w:rPr>
                    <w:t>方式</w:t>
                  </w:r>
                </w:p>
              </w:tc>
              <w:tc>
                <w:tcPr>
                  <w:tcW w:w="621" w:type="dxa"/>
                  <w:noWrap w:val="0"/>
                  <w:vAlign w:val="center"/>
                </w:tcPr>
                <w:p w14:paraId="47249A2C">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auto"/>
                      <w:kern w:val="0"/>
                      <w:sz w:val="21"/>
                      <w:szCs w:val="21"/>
                      <w:highlight w:val="none"/>
                    </w:rPr>
                  </w:pPr>
                  <w:r>
                    <w:rPr>
                      <w:rFonts w:hint="eastAsia" w:ascii="Times New Roman" w:hAnsi="Times New Roman" w:eastAsia="宋体" w:cs="宋体"/>
                      <w:b/>
                      <w:caps w:val="0"/>
                      <w:color w:val="auto"/>
                      <w:kern w:val="0"/>
                      <w:sz w:val="21"/>
                      <w:szCs w:val="21"/>
                      <w:highlight w:val="none"/>
                    </w:rPr>
                    <w:t>贮</w:t>
                  </w:r>
                  <w:r>
                    <w:rPr>
                      <w:rFonts w:ascii="Times New Roman" w:hAnsi="Times New Roman" w:eastAsia="宋体" w:cs="宋体"/>
                      <w:b/>
                      <w:caps w:val="0"/>
                      <w:color w:val="auto"/>
                      <w:kern w:val="0"/>
                      <w:sz w:val="21"/>
                      <w:szCs w:val="21"/>
                      <w:highlight w:val="none"/>
                    </w:rPr>
                    <w:t>存</w:t>
                  </w:r>
                </w:p>
                <w:p w14:paraId="01B9A60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caps w:val="0"/>
                      <w:color w:val="auto"/>
                      <w:kern w:val="0"/>
                      <w:sz w:val="21"/>
                      <w:szCs w:val="21"/>
                      <w:highlight w:val="none"/>
                    </w:rPr>
                  </w:pPr>
                  <w:r>
                    <w:rPr>
                      <w:rFonts w:ascii="Times New Roman" w:hAnsi="Times New Roman" w:eastAsia="宋体" w:cs="宋体"/>
                      <w:b/>
                      <w:caps w:val="0"/>
                      <w:color w:val="auto"/>
                      <w:kern w:val="0"/>
                      <w:sz w:val="21"/>
                      <w:szCs w:val="21"/>
                      <w:highlight w:val="none"/>
                    </w:rPr>
                    <w:t>能力</w:t>
                  </w:r>
                </w:p>
              </w:tc>
            </w:tr>
            <w:tr w14:paraId="03E50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1" w:hRule="atLeast"/>
                <w:jc w:val="center"/>
              </w:trPr>
              <w:tc>
                <w:tcPr>
                  <w:tcW w:w="423" w:type="dxa"/>
                  <w:noWrap w:val="0"/>
                  <w:vAlign w:val="center"/>
                </w:tcPr>
                <w:p w14:paraId="458CB684">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1</w:t>
                  </w:r>
                </w:p>
              </w:tc>
              <w:tc>
                <w:tcPr>
                  <w:tcW w:w="1223" w:type="dxa"/>
                  <w:vMerge w:val="restart"/>
                  <w:noWrap w:val="0"/>
                  <w:vAlign w:val="center"/>
                </w:tcPr>
                <w:p w14:paraId="6CAD84D5">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auto"/>
                      <w:sz w:val="21"/>
                      <w:szCs w:val="21"/>
                      <w:highlight w:val="none"/>
                    </w:rPr>
                  </w:pPr>
                  <w:r>
                    <w:rPr>
                      <w:rFonts w:hint="eastAsia" w:ascii="Times New Roman" w:hAnsi="Times New Roman" w:eastAsia="宋体" w:cs="宋体"/>
                      <w:caps w:val="0"/>
                      <w:color w:val="auto"/>
                      <w:sz w:val="21"/>
                      <w:szCs w:val="21"/>
                      <w:highlight w:val="none"/>
                      <w:lang w:eastAsia="zh-CN"/>
                    </w:rPr>
                    <w:t>危废贮存库</w:t>
                  </w:r>
                </w:p>
              </w:tc>
              <w:tc>
                <w:tcPr>
                  <w:tcW w:w="1110" w:type="dxa"/>
                  <w:noWrap w:val="0"/>
                  <w:vAlign w:val="center"/>
                </w:tcPr>
                <w:p w14:paraId="690D43F7">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废机油</w:t>
                  </w:r>
                </w:p>
              </w:tc>
              <w:tc>
                <w:tcPr>
                  <w:tcW w:w="795" w:type="dxa"/>
                  <w:noWrap w:val="0"/>
                  <w:vAlign w:val="center"/>
                </w:tcPr>
                <w:p w14:paraId="4C7DFBAD">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ascii="Times New Roman" w:hAnsi="Times New Roman" w:eastAsia="宋体" w:cs="宋体"/>
                      <w:caps w:val="0"/>
                      <w:color w:val="auto"/>
                      <w:sz w:val="21"/>
                      <w:szCs w:val="21"/>
                      <w:highlight w:val="none"/>
                    </w:rPr>
                    <w:t>HW</w:t>
                  </w:r>
                  <w:r>
                    <w:rPr>
                      <w:rFonts w:hint="eastAsia" w:ascii="Times New Roman" w:hAnsi="Times New Roman" w:eastAsia="宋体" w:cs="宋体"/>
                      <w:caps w:val="0"/>
                      <w:color w:val="auto"/>
                      <w:sz w:val="21"/>
                      <w:szCs w:val="21"/>
                      <w:highlight w:val="none"/>
                      <w:lang w:val="en-US" w:eastAsia="zh-CN"/>
                    </w:rPr>
                    <w:t>08</w:t>
                  </w:r>
                </w:p>
              </w:tc>
              <w:tc>
                <w:tcPr>
                  <w:tcW w:w="1290" w:type="dxa"/>
                  <w:noWrap w:val="0"/>
                  <w:vAlign w:val="center"/>
                </w:tcPr>
                <w:p w14:paraId="5F5C0E74">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auto"/>
                      <w:sz w:val="21"/>
                      <w:szCs w:val="21"/>
                      <w:highlight w:val="none"/>
                    </w:rPr>
                  </w:pPr>
                  <w:r>
                    <w:rPr>
                      <w:rFonts w:hint="default" w:ascii="Times New Roman" w:hAnsi="Times New Roman" w:eastAsia="宋体" w:cs="宋体"/>
                      <w:caps w:val="0"/>
                      <w:color w:val="auto"/>
                      <w:sz w:val="21"/>
                      <w:szCs w:val="21"/>
                      <w:highlight w:val="none"/>
                      <w:lang w:val="en-US" w:eastAsia="zh-CN"/>
                    </w:rPr>
                    <w:t>900-249-08</w:t>
                  </w:r>
                </w:p>
              </w:tc>
              <w:tc>
                <w:tcPr>
                  <w:tcW w:w="1031" w:type="dxa"/>
                  <w:vMerge w:val="restart"/>
                  <w:noWrap w:val="0"/>
                  <w:vAlign w:val="center"/>
                </w:tcPr>
                <w:p w14:paraId="405283D1">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kern w:val="0"/>
                      <w:sz w:val="21"/>
                      <w:szCs w:val="21"/>
                      <w:highlight w:val="none"/>
                      <w:lang w:val="en-US" w:eastAsia="zh-CN"/>
                    </w:rPr>
                  </w:pPr>
                  <w:r>
                    <w:rPr>
                      <w:rFonts w:hint="eastAsia" w:ascii="Times New Roman" w:hAnsi="Times New Roman" w:eastAsia="宋体" w:cs="宋体"/>
                      <w:caps w:val="0"/>
                      <w:color w:val="auto"/>
                      <w:kern w:val="0"/>
                      <w:sz w:val="21"/>
                      <w:szCs w:val="21"/>
                      <w:highlight w:val="none"/>
                      <w:lang w:val="en-US" w:eastAsia="zh-CN"/>
                    </w:rPr>
                    <w:t>202仓库</w:t>
                  </w:r>
                </w:p>
              </w:tc>
              <w:tc>
                <w:tcPr>
                  <w:tcW w:w="654" w:type="dxa"/>
                  <w:vMerge w:val="restart"/>
                  <w:noWrap w:val="0"/>
                  <w:vAlign w:val="center"/>
                </w:tcPr>
                <w:p w14:paraId="67B0DE02">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auto"/>
                      <w:kern w:val="0"/>
                      <w:sz w:val="21"/>
                      <w:szCs w:val="21"/>
                      <w:highlight w:val="none"/>
                    </w:rPr>
                  </w:pPr>
                  <w:r>
                    <w:rPr>
                      <w:rFonts w:hint="eastAsia" w:ascii="Times New Roman" w:hAnsi="Times New Roman" w:eastAsia="宋体" w:cs="宋体"/>
                      <w:caps w:val="0"/>
                      <w:color w:val="auto"/>
                      <w:kern w:val="0"/>
                      <w:sz w:val="21"/>
                      <w:szCs w:val="21"/>
                      <w:highlight w:val="none"/>
                      <w:lang w:val="en-US" w:eastAsia="zh-CN"/>
                    </w:rPr>
                    <w:t>430</w:t>
                  </w:r>
                  <w:r>
                    <w:rPr>
                      <w:rFonts w:ascii="Times New Roman" w:hAnsi="Times New Roman" w:eastAsia="宋体" w:cs="宋体"/>
                      <w:caps w:val="0"/>
                      <w:color w:val="auto"/>
                      <w:kern w:val="0"/>
                      <w:sz w:val="21"/>
                      <w:szCs w:val="21"/>
                      <w:highlight w:val="none"/>
                    </w:rPr>
                    <w:t>m</w:t>
                  </w:r>
                  <w:r>
                    <w:rPr>
                      <w:rFonts w:ascii="Times New Roman" w:hAnsi="Times New Roman" w:eastAsia="宋体" w:cs="宋体"/>
                      <w:caps w:val="0"/>
                      <w:color w:val="auto"/>
                      <w:kern w:val="0"/>
                      <w:sz w:val="21"/>
                      <w:szCs w:val="21"/>
                      <w:highlight w:val="none"/>
                      <w:vertAlign w:val="superscript"/>
                    </w:rPr>
                    <w:t>2</w:t>
                  </w:r>
                </w:p>
              </w:tc>
              <w:tc>
                <w:tcPr>
                  <w:tcW w:w="719" w:type="dxa"/>
                  <w:vMerge w:val="restart"/>
                  <w:noWrap w:val="0"/>
                  <w:vAlign w:val="center"/>
                </w:tcPr>
                <w:p w14:paraId="2D1E42B2">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auto"/>
                      <w:kern w:val="0"/>
                      <w:sz w:val="21"/>
                      <w:szCs w:val="21"/>
                      <w:highlight w:val="none"/>
                    </w:rPr>
                  </w:pPr>
                  <w:r>
                    <w:rPr>
                      <w:rFonts w:ascii="Times New Roman" w:hAnsi="Times New Roman" w:eastAsia="宋体" w:cs="宋体"/>
                      <w:caps w:val="0"/>
                      <w:color w:val="auto"/>
                      <w:kern w:val="0"/>
                      <w:sz w:val="21"/>
                      <w:szCs w:val="21"/>
                      <w:highlight w:val="none"/>
                    </w:rPr>
                    <w:t>分类单独容器</w:t>
                  </w:r>
                  <w:r>
                    <w:rPr>
                      <w:rFonts w:hint="eastAsia" w:ascii="Times New Roman" w:hAnsi="Times New Roman" w:eastAsia="宋体" w:cs="宋体"/>
                      <w:caps w:val="0"/>
                      <w:color w:val="auto"/>
                      <w:kern w:val="0"/>
                      <w:sz w:val="21"/>
                      <w:szCs w:val="21"/>
                      <w:highlight w:val="none"/>
                    </w:rPr>
                    <w:t>暂存</w:t>
                  </w:r>
                </w:p>
              </w:tc>
              <w:tc>
                <w:tcPr>
                  <w:tcW w:w="621" w:type="dxa"/>
                  <w:vMerge w:val="restart"/>
                  <w:noWrap w:val="0"/>
                  <w:vAlign w:val="center"/>
                </w:tcPr>
                <w:p w14:paraId="2D9329A2">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auto"/>
                      <w:kern w:val="0"/>
                      <w:sz w:val="21"/>
                      <w:szCs w:val="21"/>
                      <w:highlight w:val="none"/>
                    </w:rPr>
                  </w:pPr>
                  <w:r>
                    <w:rPr>
                      <w:rFonts w:hint="eastAsia" w:ascii="Times New Roman" w:hAnsi="Times New Roman" w:eastAsia="宋体" w:cs="宋体"/>
                      <w:caps w:val="0"/>
                      <w:color w:val="auto"/>
                      <w:kern w:val="0"/>
                      <w:sz w:val="21"/>
                      <w:szCs w:val="21"/>
                      <w:highlight w:val="none"/>
                      <w:lang w:val="en-US" w:eastAsia="zh-CN"/>
                    </w:rPr>
                    <w:t>500</w:t>
                  </w:r>
                  <w:r>
                    <w:rPr>
                      <w:rFonts w:ascii="Times New Roman" w:hAnsi="Times New Roman" w:eastAsia="宋体" w:cs="宋体"/>
                      <w:caps w:val="0"/>
                      <w:color w:val="auto"/>
                      <w:kern w:val="0"/>
                      <w:sz w:val="21"/>
                      <w:szCs w:val="21"/>
                      <w:highlight w:val="none"/>
                    </w:rPr>
                    <w:t>t</w:t>
                  </w:r>
                </w:p>
              </w:tc>
            </w:tr>
            <w:tr w14:paraId="3865E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1" w:hRule="atLeast"/>
                <w:jc w:val="center"/>
              </w:trPr>
              <w:tc>
                <w:tcPr>
                  <w:tcW w:w="423" w:type="dxa"/>
                  <w:noWrap w:val="0"/>
                  <w:vAlign w:val="center"/>
                </w:tcPr>
                <w:p w14:paraId="0CE99FA3">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2</w:t>
                  </w:r>
                </w:p>
              </w:tc>
              <w:tc>
                <w:tcPr>
                  <w:tcW w:w="1223" w:type="dxa"/>
                  <w:vMerge w:val="continue"/>
                  <w:noWrap w:val="0"/>
                  <w:vAlign w:val="center"/>
                </w:tcPr>
                <w:p w14:paraId="5BCF0B13">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auto"/>
                      <w:sz w:val="21"/>
                      <w:szCs w:val="21"/>
                      <w:highlight w:val="none"/>
                      <w:lang w:eastAsia="zh-CN"/>
                    </w:rPr>
                  </w:pPr>
                </w:p>
              </w:tc>
              <w:tc>
                <w:tcPr>
                  <w:tcW w:w="1110" w:type="dxa"/>
                  <w:noWrap w:val="0"/>
                  <w:vAlign w:val="center"/>
                </w:tcPr>
                <w:p w14:paraId="24FF0AD7">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废机油桶</w:t>
                  </w:r>
                </w:p>
              </w:tc>
              <w:tc>
                <w:tcPr>
                  <w:tcW w:w="795" w:type="dxa"/>
                  <w:noWrap w:val="0"/>
                  <w:vAlign w:val="center"/>
                </w:tcPr>
                <w:p w14:paraId="0502F24C">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HW49</w:t>
                  </w:r>
                </w:p>
              </w:tc>
              <w:tc>
                <w:tcPr>
                  <w:tcW w:w="1290" w:type="dxa"/>
                  <w:noWrap w:val="0"/>
                  <w:vAlign w:val="center"/>
                </w:tcPr>
                <w:p w14:paraId="1F478EB1">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default" w:ascii="Times New Roman" w:hAnsi="Times New Roman" w:eastAsia="宋体" w:cs="宋体"/>
                      <w:caps w:val="0"/>
                      <w:color w:val="auto"/>
                      <w:sz w:val="21"/>
                      <w:szCs w:val="21"/>
                      <w:highlight w:val="none"/>
                      <w:lang w:val="en-US" w:eastAsia="zh-CN"/>
                    </w:rPr>
                    <w:t>900-041-49</w:t>
                  </w:r>
                </w:p>
              </w:tc>
              <w:tc>
                <w:tcPr>
                  <w:tcW w:w="1031" w:type="dxa"/>
                  <w:vMerge w:val="continue"/>
                  <w:noWrap w:val="0"/>
                  <w:vAlign w:val="center"/>
                </w:tcPr>
                <w:p w14:paraId="5234C29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auto"/>
                      <w:kern w:val="0"/>
                      <w:sz w:val="21"/>
                      <w:szCs w:val="21"/>
                      <w:highlight w:val="none"/>
                      <w:lang w:val="en-US" w:eastAsia="zh-CN"/>
                    </w:rPr>
                  </w:pPr>
                </w:p>
              </w:tc>
              <w:tc>
                <w:tcPr>
                  <w:tcW w:w="654" w:type="dxa"/>
                  <w:vMerge w:val="continue"/>
                  <w:noWrap w:val="0"/>
                  <w:vAlign w:val="center"/>
                </w:tcPr>
                <w:p w14:paraId="59010D15">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auto"/>
                      <w:kern w:val="0"/>
                      <w:sz w:val="21"/>
                      <w:szCs w:val="21"/>
                      <w:highlight w:val="none"/>
                      <w:lang w:val="en-US" w:eastAsia="zh-CN"/>
                    </w:rPr>
                  </w:pPr>
                </w:p>
              </w:tc>
              <w:tc>
                <w:tcPr>
                  <w:tcW w:w="719" w:type="dxa"/>
                  <w:vMerge w:val="continue"/>
                  <w:noWrap w:val="0"/>
                  <w:vAlign w:val="center"/>
                </w:tcPr>
                <w:p w14:paraId="7B4B1480">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auto"/>
                      <w:kern w:val="0"/>
                      <w:sz w:val="21"/>
                      <w:szCs w:val="21"/>
                      <w:highlight w:val="none"/>
                    </w:rPr>
                  </w:pPr>
                </w:p>
              </w:tc>
              <w:tc>
                <w:tcPr>
                  <w:tcW w:w="621" w:type="dxa"/>
                  <w:vMerge w:val="continue"/>
                  <w:noWrap w:val="0"/>
                  <w:vAlign w:val="center"/>
                </w:tcPr>
                <w:p w14:paraId="317996D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auto"/>
                      <w:kern w:val="0"/>
                      <w:sz w:val="21"/>
                      <w:szCs w:val="21"/>
                      <w:highlight w:val="none"/>
                      <w:lang w:val="en-US" w:eastAsia="zh-CN"/>
                    </w:rPr>
                  </w:pPr>
                </w:p>
              </w:tc>
            </w:tr>
            <w:tr w14:paraId="7B3A8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1" w:hRule="atLeast"/>
                <w:jc w:val="center"/>
              </w:trPr>
              <w:tc>
                <w:tcPr>
                  <w:tcW w:w="423" w:type="dxa"/>
                  <w:noWrap w:val="0"/>
                  <w:vAlign w:val="center"/>
                </w:tcPr>
                <w:p w14:paraId="79158C85">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3</w:t>
                  </w:r>
                </w:p>
              </w:tc>
              <w:tc>
                <w:tcPr>
                  <w:tcW w:w="1223" w:type="dxa"/>
                  <w:vMerge w:val="continue"/>
                  <w:noWrap w:val="0"/>
                  <w:vAlign w:val="center"/>
                </w:tcPr>
                <w:p w14:paraId="4899859E">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auto"/>
                      <w:sz w:val="21"/>
                      <w:szCs w:val="21"/>
                      <w:highlight w:val="none"/>
                      <w:lang w:eastAsia="zh-CN"/>
                    </w:rPr>
                  </w:pPr>
                </w:p>
              </w:tc>
              <w:tc>
                <w:tcPr>
                  <w:tcW w:w="1110" w:type="dxa"/>
                  <w:noWrap w:val="0"/>
                  <w:vAlign w:val="center"/>
                </w:tcPr>
                <w:p w14:paraId="32BEC28A">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含油棉纱</w:t>
                  </w:r>
                </w:p>
              </w:tc>
              <w:tc>
                <w:tcPr>
                  <w:tcW w:w="795" w:type="dxa"/>
                  <w:noWrap w:val="0"/>
                  <w:vAlign w:val="center"/>
                </w:tcPr>
                <w:p w14:paraId="565D1896">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HW49</w:t>
                  </w:r>
                </w:p>
              </w:tc>
              <w:tc>
                <w:tcPr>
                  <w:tcW w:w="1290" w:type="dxa"/>
                  <w:noWrap w:val="0"/>
                  <w:vAlign w:val="center"/>
                </w:tcPr>
                <w:p w14:paraId="002FFC8C">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default" w:ascii="Times New Roman" w:hAnsi="Times New Roman" w:eastAsia="宋体" w:cs="宋体"/>
                      <w:caps w:val="0"/>
                      <w:color w:val="auto"/>
                      <w:sz w:val="21"/>
                      <w:szCs w:val="21"/>
                      <w:highlight w:val="none"/>
                      <w:lang w:val="en-US" w:eastAsia="zh-CN"/>
                    </w:rPr>
                    <w:t>900-041-49</w:t>
                  </w:r>
                </w:p>
              </w:tc>
              <w:tc>
                <w:tcPr>
                  <w:tcW w:w="1031" w:type="dxa"/>
                  <w:vMerge w:val="continue"/>
                  <w:noWrap w:val="0"/>
                  <w:vAlign w:val="center"/>
                </w:tcPr>
                <w:p w14:paraId="02E0F9F8">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auto"/>
                      <w:kern w:val="0"/>
                      <w:sz w:val="21"/>
                      <w:szCs w:val="21"/>
                      <w:highlight w:val="none"/>
                      <w:lang w:val="en-US" w:eastAsia="zh-CN"/>
                    </w:rPr>
                  </w:pPr>
                </w:p>
              </w:tc>
              <w:tc>
                <w:tcPr>
                  <w:tcW w:w="654" w:type="dxa"/>
                  <w:vMerge w:val="continue"/>
                  <w:noWrap w:val="0"/>
                  <w:vAlign w:val="center"/>
                </w:tcPr>
                <w:p w14:paraId="28398EE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auto"/>
                      <w:kern w:val="0"/>
                      <w:sz w:val="21"/>
                      <w:szCs w:val="21"/>
                      <w:highlight w:val="none"/>
                      <w:lang w:val="en-US" w:eastAsia="zh-CN"/>
                    </w:rPr>
                  </w:pPr>
                </w:p>
              </w:tc>
              <w:tc>
                <w:tcPr>
                  <w:tcW w:w="719" w:type="dxa"/>
                  <w:vMerge w:val="continue"/>
                  <w:noWrap w:val="0"/>
                  <w:vAlign w:val="center"/>
                </w:tcPr>
                <w:p w14:paraId="4CE3CED4">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auto"/>
                      <w:kern w:val="0"/>
                      <w:sz w:val="21"/>
                      <w:szCs w:val="21"/>
                      <w:highlight w:val="none"/>
                    </w:rPr>
                  </w:pPr>
                </w:p>
              </w:tc>
              <w:tc>
                <w:tcPr>
                  <w:tcW w:w="621" w:type="dxa"/>
                  <w:vMerge w:val="continue"/>
                  <w:noWrap w:val="0"/>
                  <w:vAlign w:val="center"/>
                </w:tcPr>
                <w:p w14:paraId="00C5CB55">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auto"/>
                      <w:kern w:val="0"/>
                      <w:sz w:val="21"/>
                      <w:szCs w:val="21"/>
                      <w:highlight w:val="none"/>
                      <w:lang w:val="en-US" w:eastAsia="zh-CN"/>
                    </w:rPr>
                  </w:pPr>
                </w:p>
              </w:tc>
            </w:tr>
          </w:tbl>
          <w:p w14:paraId="6540EA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宋体"/>
                <w:b/>
                <w:bCs/>
                <w:caps w:val="0"/>
                <w:color w:val="auto"/>
                <w:spacing w:val="6"/>
                <w:sz w:val="24"/>
                <w:highlight w:val="none"/>
              </w:rPr>
            </w:pPr>
            <w:r>
              <w:rPr>
                <w:rFonts w:hint="eastAsia" w:ascii="Times New Roman" w:hAnsi="Times New Roman" w:eastAsia="宋体" w:cs="宋体"/>
                <w:b/>
                <w:bCs/>
                <w:caps w:val="0"/>
                <w:color w:val="auto"/>
                <w:spacing w:val="6"/>
                <w:sz w:val="24"/>
                <w:highlight w:val="none"/>
              </w:rPr>
              <w:t>表</w:t>
            </w:r>
            <w:r>
              <w:rPr>
                <w:rFonts w:ascii="Times New Roman" w:hAnsi="Times New Roman" w:eastAsia="宋体" w:cs="宋体"/>
                <w:b/>
                <w:bCs/>
                <w:caps w:val="0"/>
                <w:color w:val="auto"/>
                <w:spacing w:val="6"/>
                <w:sz w:val="24"/>
                <w:highlight w:val="none"/>
              </w:rPr>
              <w:t>4-</w:t>
            </w:r>
            <w:r>
              <w:rPr>
                <w:rFonts w:hint="eastAsia" w:ascii="Times New Roman" w:hAnsi="Times New Roman" w:eastAsia="宋体" w:cs="宋体"/>
                <w:b/>
                <w:bCs/>
                <w:caps w:val="0"/>
                <w:color w:val="auto"/>
                <w:spacing w:val="6"/>
                <w:sz w:val="24"/>
                <w:highlight w:val="none"/>
                <w:lang w:val="en-US" w:eastAsia="zh-CN"/>
              </w:rPr>
              <w:t>18</w:t>
            </w:r>
            <w:r>
              <w:rPr>
                <w:rFonts w:ascii="Times New Roman" w:hAnsi="Times New Roman" w:eastAsia="宋体" w:cs="宋体"/>
                <w:b/>
                <w:bCs/>
                <w:caps w:val="0"/>
                <w:color w:val="auto"/>
                <w:spacing w:val="6"/>
                <w:sz w:val="24"/>
                <w:highlight w:val="none"/>
              </w:rPr>
              <w:t xml:space="preserve">  </w:t>
            </w:r>
            <w:r>
              <w:rPr>
                <w:rFonts w:hint="eastAsia" w:ascii="Times New Roman" w:hAnsi="Times New Roman" w:eastAsia="宋体" w:cs="宋体"/>
                <w:b/>
                <w:bCs/>
                <w:caps w:val="0"/>
                <w:color w:val="auto"/>
                <w:spacing w:val="6"/>
                <w:sz w:val="24"/>
                <w:highlight w:val="none"/>
              </w:rPr>
              <w:t>危险废物汇总表</w:t>
            </w:r>
          </w:p>
          <w:tbl>
            <w:tblPr>
              <w:tblStyle w:val="38"/>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900"/>
              <w:gridCol w:w="1369"/>
              <w:gridCol w:w="910"/>
              <w:gridCol w:w="748"/>
              <w:gridCol w:w="489"/>
              <w:gridCol w:w="819"/>
              <w:gridCol w:w="748"/>
              <w:gridCol w:w="1332"/>
            </w:tblGrid>
            <w:tr w14:paraId="40E25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0" w:type="pct"/>
                  <w:tcBorders>
                    <w:bottom w:val="single" w:color="auto" w:sz="4" w:space="0"/>
                    <w:right w:val="single" w:color="auto" w:sz="4" w:space="0"/>
                  </w:tcBorders>
                  <w:noWrap w:val="0"/>
                  <w:vAlign w:val="center"/>
                </w:tcPr>
                <w:p w14:paraId="088FC744">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z w:val="21"/>
                      <w:szCs w:val="21"/>
                      <w:highlight w:val="none"/>
                    </w:rPr>
                    <w:t>危险废物名称</w:t>
                  </w:r>
                </w:p>
              </w:tc>
              <w:tc>
                <w:tcPr>
                  <w:tcW w:w="558" w:type="pct"/>
                  <w:tcBorders>
                    <w:left w:val="single" w:color="auto" w:sz="4" w:space="0"/>
                    <w:bottom w:val="single" w:color="auto" w:sz="4" w:space="0"/>
                    <w:right w:val="single" w:color="auto" w:sz="4" w:space="0"/>
                  </w:tcBorders>
                  <w:noWrap w:val="0"/>
                  <w:vAlign w:val="center"/>
                </w:tcPr>
                <w:p w14:paraId="253DA9FD">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z w:val="21"/>
                      <w:szCs w:val="21"/>
                      <w:highlight w:val="none"/>
                    </w:rPr>
                    <w:t>危险废物类别</w:t>
                  </w:r>
                </w:p>
              </w:tc>
              <w:tc>
                <w:tcPr>
                  <w:tcW w:w="849" w:type="pct"/>
                  <w:tcBorders>
                    <w:left w:val="single" w:color="auto" w:sz="4" w:space="0"/>
                    <w:bottom w:val="single" w:color="auto" w:sz="4" w:space="0"/>
                    <w:right w:val="single" w:color="auto" w:sz="4" w:space="0"/>
                  </w:tcBorders>
                  <w:noWrap w:val="0"/>
                  <w:vAlign w:val="center"/>
                </w:tcPr>
                <w:p w14:paraId="4E17494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z w:val="21"/>
                      <w:szCs w:val="21"/>
                      <w:highlight w:val="none"/>
                    </w:rPr>
                    <w:t>危险废物代码</w:t>
                  </w:r>
                </w:p>
              </w:tc>
              <w:tc>
                <w:tcPr>
                  <w:tcW w:w="564" w:type="pct"/>
                  <w:tcBorders>
                    <w:left w:val="single" w:color="auto" w:sz="4" w:space="0"/>
                    <w:bottom w:val="single" w:color="auto" w:sz="4" w:space="0"/>
                    <w:right w:val="single" w:color="auto" w:sz="4" w:space="0"/>
                  </w:tcBorders>
                  <w:noWrap w:val="0"/>
                  <w:vAlign w:val="center"/>
                </w:tcPr>
                <w:p w14:paraId="77C018D4">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z w:val="21"/>
                      <w:szCs w:val="21"/>
                      <w:highlight w:val="none"/>
                    </w:rPr>
                    <w:t>产生量</w:t>
                  </w:r>
                </w:p>
              </w:tc>
              <w:tc>
                <w:tcPr>
                  <w:tcW w:w="464" w:type="pct"/>
                  <w:tcBorders>
                    <w:left w:val="single" w:color="auto" w:sz="4" w:space="0"/>
                    <w:bottom w:val="single" w:color="auto" w:sz="4" w:space="0"/>
                    <w:right w:val="single" w:color="auto" w:sz="4" w:space="0"/>
                  </w:tcBorders>
                  <w:noWrap w:val="0"/>
                  <w:vAlign w:val="center"/>
                </w:tcPr>
                <w:p w14:paraId="1664F1B2">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z w:val="21"/>
                      <w:szCs w:val="21"/>
                      <w:highlight w:val="none"/>
                    </w:rPr>
                    <w:t>产生工序</w:t>
                  </w:r>
                </w:p>
              </w:tc>
              <w:tc>
                <w:tcPr>
                  <w:tcW w:w="303" w:type="pct"/>
                  <w:tcBorders>
                    <w:left w:val="single" w:color="auto" w:sz="4" w:space="0"/>
                    <w:bottom w:val="single" w:color="auto" w:sz="4" w:space="0"/>
                    <w:right w:val="single" w:color="auto" w:sz="4" w:space="0"/>
                  </w:tcBorders>
                  <w:noWrap w:val="0"/>
                  <w:vAlign w:val="center"/>
                </w:tcPr>
                <w:p w14:paraId="3B3CA488">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z w:val="21"/>
                      <w:szCs w:val="21"/>
                      <w:highlight w:val="none"/>
                    </w:rPr>
                    <w:t>形态</w:t>
                  </w:r>
                </w:p>
              </w:tc>
              <w:tc>
                <w:tcPr>
                  <w:tcW w:w="508" w:type="pct"/>
                  <w:tcBorders>
                    <w:left w:val="single" w:color="auto" w:sz="4" w:space="0"/>
                    <w:bottom w:val="single" w:color="auto" w:sz="4" w:space="0"/>
                    <w:right w:val="single" w:color="auto" w:sz="4" w:space="0"/>
                  </w:tcBorders>
                  <w:noWrap w:val="0"/>
                  <w:vAlign w:val="center"/>
                </w:tcPr>
                <w:p w14:paraId="4AC55C5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z w:val="21"/>
                      <w:szCs w:val="21"/>
                      <w:highlight w:val="none"/>
                    </w:rPr>
                    <w:t>有害成分</w:t>
                  </w:r>
                </w:p>
              </w:tc>
              <w:tc>
                <w:tcPr>
                  <w:tcW w:w="464" w:type="pct"/>
                  <w:tcBorders>
                    <w:left w:val="single" w:color="auto" w:sz="4" w:space="0"/>
                    <w:bottom w:val="single" w:color="auto" w:sz="4" w:space="0"/>
                    <w:right w:val="single" w:color="auto" w:sz="4" w:space="0"/>
                  </w:tcBorders>
                  <w:noWrap w:val="0"/>
                  <w:vAlign w:val="center"/>
                </w:tcPr>
                <w:p w14:paraId="426D2DCA">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z w:val="21"/>
                      <w:szCs w:val="21"/>
                      <w:highlight w:val="none"/>
                    </w:rPr>
                    <w:t>产废周期</w:t>
                  </w:r>
                </w:p>
              </w:tc>
              <w:tc>
                <w:tcPr>
                  <w:tcW w:w="826" w:type="pct"/>
                  <w:tcBorders>
                    <w:left w:val="single" w:color="auto" w:sz="4" w:space="0"/>
                    <w:bottom w:val="single" w:color="auto" w:sz="4" w:space="0"/>
                  </w:tcBorders>
                  <w:noWrap w:val="0"/>
                  <w:vAlign w:val="center"/>
                </w:tcPr>
                <w:p w14:paraId="57491845">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
                      <w:bCs/>
                      <w:caps w:val="0"/>
                      <w:color w:val="auto"/>
                      <w:sz w:val="21"/>
                      <w:szCs w:val="21"/>
                      <w:highlight w:val="none"/>
                    </w:rPr>
                  </w:pPr>
                  <w:r>
                    <w:rPr>
                      <w:rFonts w:hint="eastAsia" w:ascii="Times New Roman" w:hAnsi="Times New Roman" w:eastAsia="宋体" w:cs="宋体"/>
                      <w:b/>
                      <w:bCs/>
                      <w:caps w:val="0"/>
                      <w:color w:val="auto"/>
                      <w:sz w:val="21"/>
                      <w:szCs w:val="21"/>
                      <w:highlight w:val="none"/>
                    </w:rPr>
                    <w:t>污染防治措施</w:t>
                  </w:r>
                </w:p>
              </w:tc>
            </w:tr>
            <w:tr w14:paraId="05DF3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0" w:type="pct"/>
                  <w:tcBorders>
                    <w:top w:val="single" w:color="auto" w:sz="4" w:space="0"/>
                    <w:bottom w:val="single" w:color="auto" w:sz="4" w:space="0"/>
                    <w:right w:val="single" w:color="auto" w:sz="4" w:space="0"/>
                  </w:tcBorders>
                  <w:noWrap w:val="0"/>
                  <w:vAlign w:val="center"/>
                </w:tcPr>
                <w:p w14:paraId="3CF9C05E">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废机油</w:t>
                  </w:r>
                </w:p>
              </w:tc>
              <w:tc>
                <w:tcPr>
                  <w:tcW w:w="558" w:type="pct"/>
                  <w:tcBorders>
                    <w:top w:val="single" w:color="auto" w:sz="4" w:space="0"/>
                    <w:left w:val="single" w:color="auto" w:sz="4" w:space="0"/>
                    <w:bottom w:val="single" w:color="auto" w:sz="4" w:space="0"/>
                    <w:right w:val="single" w:color="auto" w:sz="4" w:space="0"/>
                  </w:tcBorders>
                  <w:noWrap w:val="0"/>
                  <w:vAlign w:val="center"/>
                </w:tcPr>
                <w:p w14:paraId="338E9DFA">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ascii="Times New Roman" w:hAnsi="Times New Roman" w:eastAsia="宋体" w:cs="宋体"/>
                      <w:bCs/>
                      <w:caps w:val="0"/>
                      <w:color w:val="auto"/>
                      <w:sz w:val="21"/>
                      <w:szCs w:val="21"/>
                      <w:highlight w:val="none"/>
                    </w:rPr>
                  </w:pPr>
                  <w:r>
                    <w:rPr>
                      <w:rFonts w:ascii="Times New Roman" w:hAnsi="Times New Roman" w:eastAsia="宋体" w:cs="宋体"/>
                      <w:caps w:val="0"/>
                      <w:color w:val="auto"/>
                      <w:sz w:val="21"/>
                      <w:szCs w:val="21"/>
                      <w:highlight w:val="none"/>
                    </w:rPr>
                    <w:t>HW</w:t>
                  </w:r>
                  <w:r>
                    <w:rPr>
                      <w:rFonts w:hint="eastAsia" w:ascii="Times New Roman" w:hAnsi="Times New Roman" w:eastAsia="宋体" w:cs="宋体"/>
                      <w:caps w:val="0"/>
                      <w:color w:val="auto"/>
                      <w:sz w:val="21"/>
                      <w:szCs w:val="21"/>
                      <w:highlight w:val="none"/>
                      <w:lang w:val="en-US" w:eastAsia="zh-CN"/>
                    </w:rPr>
                    <w:t>08</w:t>
                  </w:r>
                </w:p>
              </w:tc>
              <w:tc>
                <w:tcPr>
                  <w:tcW w:w="849" w:type="pct"/>
                  <w:tcBorders>
                    <w:top w:val="single" w:color="auto" w:sz="4" w:space="0"/>
                    <w:left w:val="single" w:color="auto" w:sz="4" w:space="0"/>
                    <w:bottom w:val="single" w:color="auto" w:sz="4" w:space="0"/>
                    <w:right w:val="single" w:color="auto" w:sz="4" w:space="0"/>
                  </w:tcBorders>
                  <w:noWrap w:val="0"/>
                  <w:vAlign w:val="center"/>
                </w:tcPr>
                <w:p w14:paraId="5BB6F4C1">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ascii="Times New Roman" w:hAnsi="Times New Roman" w:eastAsia="宋体" w:cs="宋体"/>
                      <w:bCs/>
                      <w:caps w:val="0"/>
                      <w:color w:val="auto"/>
                      <w:sz w:val="21"/>
                      <w:szCs w:val="21"/>
                      <w:highlight w:val="none"/>
                    </w:rPr>
                  </w:pPr>
                  <w:r>
                    <w:rPr>
                      <w:rFonts w:hint="default" w:ascii="Times New Roman" w:hAnsi="Times New Roman" w:eastAsia="宋体" w:cs="宋体"/>
                      <w:caps w:val="0"/>
                      <w:color w:val="auto"/>
                      <w:sz w:val="21"/>
                      <w:szCs w:val="21"/>
                      <w:highlight w:val="none"/>
                      <w:lang w:val="en-US" w:eastAsia="zh-CN"/>
                    </w:rPr>
                    <w:t>900-249-08</w:t>
                  </w:r>
                </w:p>
              </w:tc>
              <w:tc>
                <w:tcPr>
                  <w:tcW w:w="564" w:type="pct"/>
                  <w:tcBorders>
                    <w:top w:val="single" w:color="auto" w:sz="4" w:space="0"/>
                    <w:left w:val="single" w:color="auto" w:sz="4" w:space="0"/>
                    <w:bottom w:val="single" w:color="auto" w:sz="4" w:space="0"/>
                    <w:right w:val="single" w:color="auto" w:sz="4" w:space="0"/>
                  </w:tcBorders>
                  <w:noWrap w:val="0"/>
                  <w:vAlign w:val="center"/>
                </w:tcPr>
                <w:p w14:paraId="3751CE95">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0.</w:t>
                  </w:r>
                  <w:r>
                    <w:rPr>
                      <w:rFonts w:hint="eastAsia" w:ascii="Times New Roman" w:hAnsi="Times New Roman" w:eastAsia="宋体" w:cs="宋体"/>
                      <w:bCs/>
                      <w:caps w:val="0"/>
                      <w:color w:val="auto"/>
                      <w:sz w:val="21"/>
                      <w:szCs w:val="21"/>
                      <w:highlight w:val="none"/>
                      <w:lang w:val="en-US" w:eastAsia="zh-CN"/>
                    </w:rPr>
                    <w:t>01</w:t>
                  </w:r>
                  <w:r>
                    <w:rPr>
                      <w:rFonts w:hint="eastAsia" w:ascii="Times New Roman" w:hAnsi="Times New Roman" w:eastAsia="宋体" w:cs="宋体"/>
                      <w:bCs/>
                      <w:caps w:val="0"/>
                      <w:color w:val="auto"/>
                      <w:sz w:val="21"/>
                      <w:szCs w:val="21"/>
                      <w:highlight w:val="none"/>
                    </w:rPr>
                    <w:t>t</w:t>
                  </w:r>
                  <w:r>
                    <w:rPr>
                      <w:rFonts w:ascii="Times New Roman" w:hAnsi="Times New Roman" w:eastAsia="宋体" w:cs="宋体"/>
                      <w:bCs/>
                      <w:caps w:val="0"/>
                      <w:color w:val="auto"/>
                      <w:sz w:val="21"/>
                      <w:szCs w:val="21"/>
                      <w:highlight w:val="none"/>
                    </w:rPr>
                    <w:t>/a</w:t>
                  </w:r>
                </w:p>
              </w:tc>
              <w:tc>
                <w:tcPr>
                  <w:tcW w:w="464" w:type="pct"/>
                  <w:vMerge w:val="restart"/>
                  <w:tcBorders>
                    <w:top w:val="single" w:color="auto" w:sz="4" w:space="0"/>
                    <w:left w:val="single" w:color="auto" w:sz="4" w:space="0"/>
                    <w:right w:val="single" w:color="auto" w:sz="4" w:space="0"/>
                  </w:tcBorders>
                  <w:noWrap w:val="0"/>
                  <w:vAlign w:val="center"/>
                </w:tcPr>
                <w:p w14:paraId="50E023BE">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auto"/>
                      <w:sz w:val="21"/>
                      <w:szCs w:val="21"/>
                      <w:highlight w:val="none"/>
                      <w:lang w:val="en-US" w:eastAsia="zh-CN"/>
                    </w:rPr>
                  </w:pPr>
                  <w:r>
                    <w:rPr>
                      <w:rFonts w:hint="eastAsia" w:ascii="Times New Roman" w:hAnsi="Times New Roman" w:eastAsia="宋体" w:cs="宋体"/>
                      <w:bCs/>
                      <w:caps w:val="0"/>
                      <w:color w:val="auto"/>
                      <w:sz w:val="21"/>
                      <w:szCs w:val="21"/>
                      <w:highlight w:val="none"/>
                      <w:lang w:val="en-US" w:eastAsia="zh-CN"/>
                    </w:rPr>
                    <w:t>锅炉检修</w:t>
                  </w:r>
                </w:p>
              </w:tc>
              <w:tc>
                <w:tcPr>
                  <w:tcW w:w="303" w:type="pct"/>
                  <w:tcBorders>
                    <w:top w:val="single" w:color="auto" w:sz="4" w:space="0"/>
                    <w:left w:val="single" w:color="auto" w:sz="4" w:space="0"/>
                    <w:bottom w:val="single" w:color="auto" w:sz="4" w:space="0"/>
                    <w:right w:val="single" w:color="auto" w:sz="4" w:space="0"/>
                  </w:tcBorders>
                  <w:noWrap w:val="0"/>
                  <w:vAlign w:val="center"/>
                </w:tcPr>
                <w:p w14:paraId="1512105F">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lang w:val="en-US" w:eastAsia="zh-CN"/>
                    </w:rPr>
                    <w:t>液</w:t>
                  </w:r>
                  <w:r>
                    <w:rPr>
                      <w:rFonts w:hint="eastAsia" w:ascii="Times New Roman" w:hAnsi="Times New Roman" w:eastAsia="宋体" w:cs="宋体"/>
                      <w:bCs/>
                      <w:caps w:val="0"/>
                      <w:color w:val="auto"/>
                      <w:sz w:val="21"/>
                      <w:szCs w:val="21"/>
                      <w:highlight w:val="none"/>
                    </w:rPr>
                    <w:t>态</w:t>
                  </w:r>
                </w:p>
              </w:tc>
              <w:tc>
                <w:tcPr>
                  <w:tcW w:w="508" w:type="pct"/>
                  <w:vMerge w:val="restart"/>
                  <w:tcBorders>
                    <w:top w:val="single" w:color="auto" w:sz="4" w:space="0"/>
                    <w:left w:val="single" w:color="auto" w:sz="4" w:space="0"/>
                    <w:right w:val="single" w:color="auto" w:sz="4" w:space="0"/>
                  </w:tcBorders>
                  <w:noWrap w:val="0"/>
                  <w:vAlign w:val="center"/>
                </w:tcPr>
                <w:p w14:paraId="0F80B2A7">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lang w:val="en-US" w:eastAsia="zh-CN"/>
                    </w:rPr>
                    <w:t>烷烃、多环芳烃、烯烃、苯系物、酚类</w:t>
                  </w:r>
                </w:p>
              </w:tc>
              <w:tc>
                <w:tcPr>
                  <w:tcW w:w="464" w:type="pct"/>
                  <w:vMerge w:val="restart"/>
                  <w:tcBorders>
                    <w:top w:val="single" w:color="auto" w:sz="4" w:space="0"/>
                    <w:left w:val="single" w:color="auto" w:sz="4" w:space="0"/>
                    <w:right w:val="single" w:color="auto" w:sz="4" w:space="0"/>
                  </w:tcBorders>
                  <w:noWrap w:val="0"/>
                  <w:vAlign w:val="center"/>
                </w:tcPr>
                <w:p w14:paraId="2BAB4EE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auto"/>
                      <w:sz w:val="21"/>
                      <w:szCs w:val="21"/>
                      <w:highlight w:val="none"/>
                      <w:lang w:val="en-US" w:eastAsia="zh-CN"/>
                    </w:rPr>
                  </w:pPr>
                  <w:r>
                    <w:rPr>
                      <w:rFonts w:hint="eastAsia" w:ascii="Times New Roman" w:hAnsi="Times New Roman" w:eastAsia="宋体" w:cs="宋体"/>
                      <w:bCs/>
                      <w:caps w:val="0"/>
                      <w:color w:val="auto"/>
                      <w:sz w:val="21"/>
                      <w:szCs w:val="21"/>
                      <w:highlight w:val="none"/>
                      <w:lang w:val="en-US" w:eastAsia="zh-CN"/>
                    </w:rPr>
                    <w:t>1次/年</w:t>
                  </w:r>
                </w:p>
              </w:tc>
              <w:tc>
                <w:tcPr>
                  <w:tcW w:w="826" w:type="pct"/>
                  <w:vMerge w:val="restart"/>
                  <w:tcBorders>
                    <w:top w:val="single" w:color="auto" w:sz="4" w:space="0"/>
                    <w:left w:val="single" w:color="auto" w:sz="4" w:space="0"/>
                  </w:tcBorders>
                  <w:noWrap w:val="0"/>
                  <w:vAlign w:val="center"/>
                </w:tcPr>
                <w:p w14:paraId="3C35067A">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ascii="Times New Roman" w:hAnsi="Times New Roman" w:eastAsia="宋体" w:cs="宋体"/>
                      <w:bCs/>
                      <w:caps w:val="0"/>
                      <w:color w:val="auto"/>
                      <w:sz w:val="21"/>
                      <w:szCs w:val="21"/>
                      <w:highlight w:val="none"/>
                    </w:rPr>
                  </w:pPr>
                  <w:r>
                    <w:rPr>
                      <w:rFonts w:hint="eastAsia" w:ascii="Times New Roman" w:hAnsi="Times New Roman" w:eastAsia="宋体" w:cs="宋体"/>
                      <w:bCs/>
                      <w:caps w:val="0"/>
                      <w:color w:val="auto"/>
                      <w:sz w:val="21"/>
                      <w:szCs w:val="21"/>
                      <w:highlight w:val="none"/>
                    </w:rPr>
                    <w:t>密闭容器分类收集，</w:t>
                  </w:r>
                  <w:r>
                    <w:rPr>
                      <w:rFonts w:hint="eastAsia" w:ascii="Times New Roman" w:hAnsi="Times New Roman" w:eastAsia="宋体" w:cs="宋体"/>
                      <w:bCs/>
                      <w:caps w:val="0"/>
                      <w:color w:val="auto"/>
                      <w:sz w:val="21"/>
                      <w:szCs w:val="21"/>
                      <w:highlight w:val="none"/>
                    </w:rPr>
                    <w:t>分区暂存于</w:t>
                  </w:r>
                  <w:r>
                    <w:rPr>
                      <w:rFonts w:hint="eastAsia" w:ascii="Times New Roman" w:hAnsi="Times New Roman" w:cs="宋体"/>
                      <w:bCs/>
                      <w:caps w:val="0"/>
                      <w:color w:val="auto"/>
                      <w:sz w:val="21"/>
                      <w:szCs w:val="21"/>
                      <w:highlight w:val="none"/>
                      <w:lang w:eastAsia="zh-CN"/>
                    </w:rPr>
                    <w:t>危废贮存库</w:t>
                  </w:r>
                  <w:r>
                    <w:rPr>
                      <w:rFonts w:hint="eastAsia" w:ascii="Times New Roman" w:hAnsi="Times New Roman" w:eastAsia="宋体" w:cs="宋体"/>
                      <w:bCs/>
                      <w:caps w:val="0"/>
                      <w:color w:val="auto"/>
                      <w:sz w:val="21"/>
                      <w:szCs w:val="21"/>
                      <w:highlight w:val="none"/>
                    </w:rPr>
                    <w:t>，</w:t>
                  </w:r>
                  <w:r>
                    <w:rPr>
                      <w:rFonts w:hint="eastAsia" w:ascii="Times New Roman" w:hAnsi="Times New Roman" w:eastAsia="宋体" w:cs="宋体"/>
                      <w:bCs/>
                      <w:caps w:val="0"/>
                      <w:color w:val="auto"/>
                      <w:sz w:val="21"/>
                      <w:szCs w:val="21"/>
                      <w:highlight w:val="none"/>
                    </w:rPr>
                    <w:t>并设置围堰，定期交有资质单位处置</w:t>
                  </w:r>
                </w:p>
              </w:tc>
            </w:tr>
            <w:tr w14:paraId="53028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0" w:type="pct"/>
                  <w:tcBorders>
                    <w:top w:val="single" w:color="auto" w:sz="4" w:space="0"/>
                    <w:bottom w:val="single" w:color="auto" w:sz="4" w:space="0"/>
                    <w:right w:val="single" w:color="auto" w:sz="4" w:space="0"/>
                  </w:tcBorders>
                  <w:noWrap w:val="0"/>
                  <w:vAlign w:val="center"/>
                </w:tcPr>
                <w:p w14:paraId="23E97AC2">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废机油桶</w:t>
                  </w:r>
                </w:p>
              </w:tc>
              <w:tc>
                <w:tcPr>
                  <w:tcW w:w="558" w:type="pct"/>
                  <w:tcBorders>
                    <w:top w:val="single" w:color="auto" w:sz="4" w:space="0"/>
                    <w:left w:val="single" w:color="auto" w:sz="4" w:space="0"/>
                    <w:bottom w:val="single" w:color="auto" w:sz="4" w:space="0"/>
                    <w:right w:val="single" w:color="auto" w:sz="4" w:space="0"/>
                  </w:tcBorders>
                  <w:noWrap w:val="0"/>
                  <w:vAlign w:val="center"/>
                </w:tcPr>
                <w:p w14:paraId="66056226">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auto"/>
                      <w:sz w:val="21"/>
                      <w:szCs w:val="21"/>
                      <w:highlight w:val="none"/>
                    </w:rPr>
                  </w:pPr>
                  <w:r>
                    <w:rPr>
                      <w:rFonts w:hint="eastAsia" w:ascii="Times New Roman" w:hAnsi="Times New Roman" w:eastAsia="宋体" w:cs="宋体"/>
                      <w:caps w:val="0"/>
                      <w:color w:val="auto"/>
                      <w:sz w:val="21"/>
                      <w:szCs w:val="21"/>
                      <w:highlight w:val="none"/>
                      <w:lang w:val="en-US" w:eastAsia="zh-CN"/>
                    </w:rPr>
                    <w:t>HW49</w:t>
                  </w:r>
                </w:p>
              </w:tc>
              <w:tc>
                <w:tcPr>
                  <w:tcW w:w="849" w:type="pct"/>
                  <w:tcBorders>
                    <w:top w:val="single" w:color="auto" w:sz="4" w:space="0"/>
                    <w:left w:val="single" w:color="auto" w:sz="4" w:space="0"/>
                    <w:bottom w:val="single" w:color="auto" w:sz="4" w:space="0"/>
                    <w:right w:val="single" w:color="auto" w:sz="4" w:space="0"/>
                  </w:tcBorders>
                  <w:noWrap w:val="0"/>
                  <w:vAlign w:val="center"/>
                </w:tcPr>
                <w:p w14:paraId="34F1B1AA">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default" w:ascii="Times New Roman" w:hAnsi="Times New Roman" w:eastAsia="宋体" w:cs="宋体"/>
                      <w:caps w:val="0"/>
                      <w:color w:val="auto"/>
                      <w:sz w:val="21"/>
                      <w:szCs w:val="21"/>
                      <w:highlight w:val="none"/>
                      <w:lang w:val="en-US" w:eastAsia="zh-CN"/>
                    </w:rPr>
                    <w:t>900-041-49</w:t>
                  </w:r>
                </w:p>
              </w:tc>
              <w:tc>
                <w:tcPr>
                  <w:tcW w:w="564" w:type="pct"/>
                  <w:tcBorders>
                    <w:top w:val="single" w:color="auto" w:sz="4" w:space="0"/>
                    <w:left w:val="single" w:color="auto" w:sz="4" w:space="0"/>
                    <w:bottom w:val="single" w:color="auto" w:sz="4" w:space="0"/>
                    <w:right w:val="single" w:color="auto" w:sz="4" w:space="0"/>
                  </w:tcBorders>
                  <w:noWrap w:val="0"/>
                  <w:vAlign w:val="center"/>
                </w:tcPr>
                <w:p w14:paraId="06368DEC">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auto"/>
                      <w:sz w:val="21"/>
                      <w:szCs w:val="21"/>
                      <w:highlight w:val="none"/>
                      <w:lang w:val="en-US" w:eastAsia="zh-CN"/>
                    </w:rPr>
                  </w:pPr>
                  <w:r>
                    <w:rPr>
                      <w:rFonts w:hint="eastAsia" w:ascii="Times New Roman" w:hAnsi="Times New Roman" w:eastAsia="宋体" w:cs="宋体"/>
                      <w:bCs/>
                      <w:caps w:val="0"/>
                      <w:color w:val="auto"/>
                      <w:sz w:val="21"/>
                      <w:szCs w:val="21"/>
                      <w:highlight w:val="none"/>
                      <w:lang w:val="en-US" w:eastAsia="zh-CN"/>
                    </w:rPr>
                    <w:t>0.01t/a</w:t>
                  </w:r>
                </w:p>
              </w:tc>
              <w:tc>
                <w:tcPr>
                  <w:tcW w:w="464" w:type="pct"/>
                  <w:vMerge w:val="continue"/>
                  <w:tcBorders>
                    <w:left w:val="single" w:color="auto" w:sz="4" w:space="0"/>
                    <w:right w:val="single" w:color="auto" w:sz="4" w:space="0"/>
                  </w:tcBorders>
                  <w:noWrap w:val="0"/>
                  <w:vAlign w:val="center"/>
                </w:tcPr>
                <w:p w14:paraId="50F7D13C">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p>
              </w:tc>
              <w:tc>
                <w:tcPr>
                  <w:tcW w:w="303" w:type="pct"/>
                  <w:tcBorders>
                    <w:top w:val="single" w:color="auto" w:sz="4" w:space="0"/>
                    <w:left w:val="single" w:color="auto" w:sz="4" w:space="0"/>
                    <w:bottom w:val="single" w:color="auto" w:sz="4" w:space="0"/>
                    <w:right w:val="single" w:color="auto" w:sz="4" w:space="0"/>
                  </w:tcBorders>
                  <w:noWrap w:val="0"/>
                  <w:vAlign w:val="center"/>
                </w:tcPr>
                <w:p w14:paraId="4E8C4847">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auto"/>
                      <w:sz w:val="21"/>
                      <w:szCs w:val="21"/>
                      <w:highlight w:val="none"/>
                      <w:lang w:val="en-US" w:eastAsia="zh-CN"/>
                    </w:rPr>
                  </w:pPr>
                  <w:r>
                    <w:rPr>
                      <w:rFonts w:hint="eastAsia" w:ascii="Times New Roman" w:hAnsi="Times New Roman" w:eastAsia="宋体" w:cs="宋体"/>
                      <w:bCs/>
                      <w:caps w:val="0"/>
                      <w:color w:val="auto"/>
                      <w:sz w:val="21"/>
                      <w:szCs w:val="21"/>
                      <w:highlight w:val="none"/>
                      <w:lang w:val="en-US" w:eastAsia="zh-CN"/>
                    </w:rPr>
                    <w:t>固态</w:t>
                  </w:r>
                </w:p>
              </w:tc>
              <w:tc>
                <w:tcPr>
                  <w:tcW w:w="508" w:type="pct"/>
                  <w:vMerge w:val="continue"/>
                  <w:tcBorders>
                    <w:left w:val="single" w:color="auto" w:sz="4" w:space="0"/>
                    <w:right w:val="single" w:color="auto" w:sz="4" w:space="0"/>
                  </w:tcBorders>
                  <w:noWrap w:val="0"/>
                  <w:vAlign w:val="center"/>
                </w:tcPr>
                <w:p w14:paraId="7F160CE2">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lang w:val="en-US" w:eastAsia="zh-CN"/>
                    </w:rPr>
                  </w:pPr>
                </w:p>
              </w:tc>
              <w:tc>
                <w:tcPr>
                  <w:tcW w:w="464" w:type="pct"/>
                  <w:vMerge w:val="continue"/>
                  <w:tcBorders>
                    <w:left w:val="single" w:color="auto" w:sz="4" w:space="0"/>
                    <w:right w:val="single" w:color="auto" w:sz="4" w:space="0"/>
                  </w:tcBorders>
                  <w:noWrap w:val="0"/>
                  <w:vAlign w:val="center"/>
                </w:tcPr>
                <w:p w14:paraId="16AC243D">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lang w:val="en-US" w:eastAsia="zh-CN"/>
                    </w:rPr>
                  </w:pPr>
                </w:p>
              </w:tc>
              <w:tc>
                <w:tcPr>
                  <w:tcW w:w="826" w:type="pct"/>
                  <w:vMerge w:val="continue"/>
                  <w:tcBorders>
                    <w:left w:val="single" w:color="auto" w:sz="4" w:space="0"/>
                  </w:tcBorders>
                  <w:noWrap w:val="0"/>
                  <w:vAlign w:val="center"/>
                </w:tcPr>
                <w:p w14:paraId="75950CD0">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p>
              </w:tc>
            </w:tr>
            <w:tr w14:paraId="4997E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0" w:type="pct"/>
                  <w:tcBorders>
                    <w:top w:val="single" w:color="auto" w:sz="4" w:space="0"/>
                    <w:bottom w:val="single" w:color="auto" w:sz="4" w:space="0"/>
                    <w:right w:val="single" w:color="auto" w:sz="4" w:space="0"/>
                  </w:tcBorders>
                  <w:noWrap w:val="0"/>
                  <w:vAlign w:val="center"/>
                </w:tcPr>
                <w:p w14:paraId="3C07F469">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eastAsia" w:ascii="Times New Roman" w:hAnsi="Times New Roman" w:eastAsia="宋体" w:cs="宋体"/>
                      <w:caps w:val="0"/>
                      <w:color w:val="auto"/>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含油棉纱</w:t>
                  </w:r>
                </w:p>
              </w:tc>
              <w:tc>
                <w:tcPr>
                  <w:tcW w:w="558" w:type="pct"/>
                  <w:tcBorders>
                    <w:top w:val="single" w:color="auto" w:sz="4" w:space="0"/>
                    <w:left w:val="single" w:color="auto" w:sz="4" w:space="0"/>
                    <w:right w:val="single" w:color="auto" w:sz="4" w:space="0"/>
                  </w:tcBorders>
                  <w:noWrap w:val="0"/>
                  <w:vAlign w:val="center"/>
                </w:tcPr>
                <w:p w14:paraId="741204F2">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ascii="Times New Roman" w:hAnsi="Times New Roman" w:eastAsia="宋体" w:cs="宋体"/>
                      <w:caps w:val="0"/>
                      <w:color w:val="auto"/>
                      <w:sz w:val="21"/>
                      <w:szCs w:val="21"/>
                      <w:highlight w:val="none"/>
                    </w:rPr>
                  </w:pPr>
                  <w:r>
                    <w:rPr>
                      <w:rFonts w:hint="eastAsia" w:ascii="Times New Roman" w:hAnsi="Times New Roman" w:eastAsia="宋体" w:cs="宋体"/>
                      <w:caps w:val="0"/>
                      <w:color w:val="auto"/>
                      <w:sz w:val="21"/>
                      <w:szCs w:val="21"/>
                      <w:highlight w:val="none"/>
                      <w:lang w:val="en-US" w:eastAsia="zh-CN"/>
                    </w:rPr>
                    <w:t>HW49</w:t>
                  </w:r>
                </w:p>
              </w:tc>
              <w:tc>
                <w:tcPr>
                  <w:tcW w:w="849" w:type="pct"/>
                  <w:tcBorders>
                    <w:top w:val="single" w:color="auto" w:sz="4" w:space="0"/>
                    <w:left w:val="single" w:color="auto" w:sz="4" w:space="0"/>
                    <w:right w:val="single" w:color="auto" w:sz="4" w:space="0"/>
                  </w:tcBorders>
                  <w:noWrap w:val="0"/>
                  <w:vAlign w:val="center"/>
                </w:tcPr>
                <w:p w14:paraId="70B2D65D">
                  <w:pPr>
                    <w:keepNext w:val="0"/>
                    <w:keepLines w:val="0"/>
                    <w:pageBreakBefore w:val="0"/>
                    <w:widowControl w:val="0"/>
                    <w:kinsoku/>
                    <w:wordWrap w:val="0"/>
                    <w:overflowPunct/>
                    <w:topLinePunct w:val="0"/>
                    <w:autoSpaceDE/>
                    <w:autoSpaceDN/>
                    <w:bidi w:val="0"/>
                    <w:spacing w:line="240" w:lineRule="auto"/>
                    <w:ind w:firstLine="0" w:firstLineChars="0"/>
                    <w:jc w:val="center"/>
                    <w:textAlignment w:val="auto"/>
                    <w:rPr>
                      <w:rFonts w:hint="default" w:ascii="Times New Roman" w:hAnsi="Times New Roman" w:eastAsia="宋体" w:cs="宋体"/>
                      <w:caps w:val="0"/>
                      <w:color w:val="auto"/>
                      <w:sz w:val="21"/>
                      <w:szCs w:val="21"/>
                      <w:highlight w:val="none"/>
                      <w:lang w:val="en-US" w:eastAsia="zh-CN"/>
                    </w:rPr>
                  </w:pPr>
                  <w:r>
                    <w:rPr>
                      <w:rFonts w:hint="default" w:ascii="Times New Roman" w:hAnsi="Times New Roman" w:eastAsia="宋体" w:cs="宋体"/>
                      <w:caps w:val="0"/>
                      <w:color w:val="auto"/>
                      <w:sz w:val="21"/>
                      <w:szCs w:val="21"/>
                      <w:highlight w:val="none"/>
                      <w:lang w:val="en-US" w:eastAsia="zh-CN"/>
                    </w:rPr>
                    <w:t>900-041-49</w:t>
                  </w:r>
                </w:p>
              </w:tc>
              <w:tc>
                <w:tcPr>
                  <w:tcW w:w="564" w:type="pct"/>
                  <w:tcBorders>
                    <w:top w:val="single" w:color="auto" w:sz="4" w:space="0"/>
                    <w:left w:val="single" w:color="auto" w:sz="4" w:space="0"/>
                    <w:bottom w:val="single" w:color="auto" w:sz="4" w:space="0"/>
                    <w:right w:val="single" w:color="auto" w:sz="4" w:space="0"/>
                  </w:tcBorders>
                  <w:noWrap w:val="0"/>
                  <w:vAlign w:val="center"/>
                </w:tcPr>
                <w:p w14:paraId="7E31AB0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default" w:ascii="Times New Roman" w:hAnsi="Times New Roman" w:eastAsia="宋体" w:cs="宋体"/>
                      <w:bCs/>
                      <w:caps w:val="0"/>
                      <w:color w:val="auto"/>
                      <w:sz w:val="21"/>
                      <w:szCs w:val="21"/>
                      <w:highlight w:val="none"/>
                      <w:lang w:val="en-US" w:eastAsia="zh-CN"/>
                    </w:rPr>
                  </w:pPr>
                  <w:r>
                    <w:rPr>
                      <w:rFonts w:hint="eastAsia" w:ascii="Times New Roman" w:hAnsi="Times New Roman" w:eastAsia="宋体" w:cs="宋体"/>
                      <w:bCs/>
                      <w:caps w:val="0"/>
                      <w:color w:val="auto"/>
                      <w:sz w:val="21"/>
                      <w:szCs w:val="21"/>
                      <w:highlight w:val="none"/>
                      <w:lang w:val="en-US" w:eastAsia="zh-CN"/>
                    </w:rPr>
                    <w:t>0.005t/a</w:t>
                  </w:r>
                </w:p>
              </w:tc>
              <w:tc>
                <w:tcPr>
                  <w:tcW w:w="464" w:type="pct"/>
                  <w:vMerge w:val="continue"/>
                  <w:tcBorders>
                    <w:left w:val="single" w:color="auto" w:sz="4" w:space="0"/>
                    <w:bottom w:val="single" w:color="auto" w:sz="4" w:space="0"/>
                    <w:right w:val="single" w:color="auto" w:sz="4" w:space="0"/>
                  </w:tcBorders>
                  <w:noWrap w:val="0"/>
                  <w:vAlign w:val="center"/>
                </w:tcPr>
                <w:p w14:paraId="74992C97">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p>
              </w:tc>
              <w:tc>
                <w:tcPr>
                  <w:tcW w:w="303" w:type="pct"/>
                  <w:tcBorders>
                    <w:top w:val="single" w:color="auto" w:sz="4" w:space="0"/>
                    <w:left w:val="single" w:color="auto" w:sz="4" w:space="0"/>
                    <w:bottom w:val="single" w:color="auto" w:sz="4" w:space="0"/>
                    <w:right w:val="single" w:color="auto" w:sz="4" w:space="0"/>
                  </w:tcBorders>
                  <w:noWrap w:val="0"/>
                  <w:vAlign w:val="center"/>
                </w:tcPr>
                <w:p w14:paraId="22F90F01">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lang w:val="en-US" w:eastAsia="zh-CN"/>
                    </w:rPr>
                  </w:pPr>
                  <w:r>
                    <w:rPr>
                      <w:rFonts w:hint="eastAsia" w:ascii="Times New Roman" w:hAnsi="Times New Roman" w:eastAsia="宋体" w:cs="宋体"/>
                      <w:bCs/>
                      <w:caps w:val="0"/>
                      <w:color w:val="auto"/>
                      <w:sz w:val="21"/>
                      <w:szCs w:val="21"/>
                      <w:highlight w:val="none"/>
                      <w:lang w:val="en-US" w:eastAsia="zh-CN"/>
                    </w:rPr>
                    <w:t>固态</w:t>
                  </w:r>
                </w:p>
              </w:tc>
              <w:tc>
                <w:tcPr>
                  <w:tcW w:w="508" w:type="pct"/>
                  <w:vMerge w:val="continue"/>
                  <w:tcBorders>
                    <w:left w:val="single" w:color="auto" w:sz="4" w:space="0"/>
                    <w:right w:val="single" w:color="auto" w:sz="4" w:space="0"/>
                  </w:tcBorders>
                  <w:noWrap w:val="0"/>
                  <w:vAlign w:val="center"/>
                </w:tcPr>
                <w:p w14:paraId="06838BD0">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lang w:val="en-US" w:eastAsia="zh-CN"/>
                    </w:rPr>
                  </w:pPr>
                </w:p>
              </w:tc>
              <w:tc>
                <w:tcPr>
                  <w:tcW w:w="464" w:type="pct"/>
                  <w:vMerge w:val="continue"/>
                  <w:tcBorders>
                    <w:left w:val="single" w:color="auto" w:sz="4" w:space="0"/>
                    <w:right w:val="single" w:color="auto" w:sz="4" w:space="0"/>
                  </w:tcBorders>
                  <w:noWrap w:val="0"/>
                  <w:vAlign w:val="center"/>
                </w:tcPr>
                <w:p w14:paraId="00C46176">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lang w:val="en-US" w:eastAsia="zh-CN"/>
                    </w:rPr>
                  </w:pPr>
                </w:p>
              </w:tc>
              <w:tc>
                <w:tcPr>
                  <w:tcW w:w="826" w:type="pct"/>
                  <w:vMerge w:val="continue"/>
                  <w:tcBorders>
                    <w:left w:val="single" w:color="auto" w:sz="4" w:space="0"/>
                  </w:tcBorders>
                  <w:noWrap w:val="0"/>
                  <w:vAlign w:val="center"/>
                </w:tcPr>
                <w:p w14:paraId="27EAC85B">
                  <w:pPr>
                    <w:keepNext w:val="0"/>
                    <w:keepLines w:val="0"/>
                    <w:pageBreakBefore w:val="0"/>
                    <w:widowControl w:val="0"/>
                    <w:kinsoku/>
                    <w:overflowPunct/>
                    <w:topLinePunct w:val="0"/>
                    <w:autoSpaceDE/>
                    <w:autoSpaceDN/>
                    <w:bidi w:val="0"/>
                    <w:spacing w:line="240" w:lineRule="auto"/>
                    <w:ind w:firstLine="0" w:firstLineChars="0"/>
                    <w:jc w:val="center"/>
                    <w:textAlignment w:val="auto"/>
                    <w:rPr>
                      <w:rFonts w:hint="eastAsia" w:ascii="Times New Roman" w:hAnsi="Times New Roman" w:eastAsia="宋体" w:cs="宋体"/>
                      <w:bCs/>
                      <w:caps w:val="0"/>
                      <w:color w:val="auto"/>
                      <w:sz w:val="21"/>
                      <w:szCs w:val="21"/>
                      <w:highlight w:val="none"/>
                    </w:rPr>
                  </w:pPr>
                </w:p>
              </w:tc>
            </w:tr>
          </w:tbl>
          <w:p w14:paraId="6ABA3E91">
            <w:pPr>
              <w:adjustRightInd w:val="0"/>
              <w:snapToGrid w:val="0"/>
              <w:spacing w:line="360" w:lineRule="auto"/>
              <w:ind w:firstLine="480" w:firstLineChars="200"/>
              <w:rPr>
                <w:rFonts w:hint="default" w:ascii="Times New Roman" w:hAnsi="Times New Roman" w:eastAsia="宋体" w:cs="宋体"/>
                <w:caps w:val="0"/>
                <w:color w:val="auto"/>
                <w:sz w:val="24"/>
                <w:highlight w:val="none"/>
              </w:rPr>
            </w:pPr>
            <w:r>
              <w:rPr>
                <w:rFonts w:hint="eastAsia" w:ascii="Times New Roman" w:hAnsi="Times New Roman" w:eastAsia="宋体" w:cs="宋体"/>
                <w:caps w:val="0"/>
                <w:color w:val="auto"/>
                <w:kern w:val="0"/>
                <w:sz w:val="24"/>
                <w:highlight w:val="none"/>
              </w:rPr>
              <w:t>4.2.</w:t>
            </w:r>
            <w:r>
              <w:rPr>
                <w:rFonts w:hint="eastAsia" w:ascii="Times New Roman" w:hAnsi="Times New Roman" w:eastAsia="宋体" w:cs="宋体"/>
                <w:caps w:val="0"/>
                <w:color w:val="auto"/>
                <w:kern w:val="0"/>
                <w:sz w:val="24"/>
                <w:highlight w:val="none"/>
                <w:lang w:val="en-US" w:eastAsia="zh-CN"/>
              </w:rPr>
              <w:t>2</w:t>
            </w:r>
            <w:r>
              <w:rPr>
                <w:rFonts w:hint="default" w:ascii="Times New Roman" w:hAnsi="Times New Roman" w:eastAsia="宋体" w:cs="宋体"/>
                <w:caps w:val="0"/>
                <w:color w:val="auto"/>
                <w:kern w:val="0"/>
                <w:sz w:val="24"/>
                <w:highlight w:val="none"/>
              </w:rPr>
              <w:t>运输过程的环境影响</w:t>
            </w:r>
          </w:p>
          <w:p w14:paraId="0BF84365">
            <w:pPr>
              <w:spacing w:line="360" w:lineRule="auto"/>
              <w:ind w:firstLine="480"/>
              <w:rPr>
                <w:rFonts w:hint="default" w:ascii="Times New Roman" w:hAnsi="Times New Roman" w:eastAsia="宋体" w:cs="宋体"/>
                <w:caps w:val="0"/>
                <w:color w:val="auto"/>
                <w:sz w:val="24"/>
                <w:highlight w:val="none"/>
              </w:rPr>
            </w:pPr>
            <w:r>
              <w:rPr>
                <w:rFonts w:hint="default" w:ascii="Times New Roman" w:hAnsi="Times New Roman" w:eastAsia="宋体" w:cs="宋体"/>
                <w:caps w:val="0"/>
                <w:color w:val="auto"/>
                <w:kern w:val="0"/>
                <w:sz w:val="24"/>
                <w:highlight w:val="none"/>
              </w:rPr>
              <w:t>本项目危险废物产生后均使用专用密闭容器收纳，不同危险废物需分类收集存放，及时转移至</w:t>
            </w:r>
            <w:r>
              <w:rPr>
                <w:rFonts w:hint="eastAsia" w:ascii="Times New Roman" w:hAnsi="Times New Roman" w:eastAsia="宋体" w:cs="宋体"/>
                <w:caps w:val="0"/>
                <w:color w:val="auto"/>
                <w:kern w:val="0"/>
                <w:sz w:val="24"/>
                <w:highlight w:val="none"/>
                <w:lang w:eastAsia="zh-CN"/>
              </w:rPr>
              <w:t>危废贮存库</w:t>
            </w:r>
            <w:r>
              <w:rPr>
                <w:rFonts w:hint="default" w:ascii="Times New Roman" w:hAnsi="Times New Roman" w:eastAsia="宋体" w:cs="宋体"/>
                <w:caps w:val="0"/>
                <w:color w:val="auto"/>
                <w:kern w:val="0"/>
                <w:sz w:val="24"/>
                <w:highlight w:val="none"/>
              </w:rPr>
              <w:t>，</w:t>
            </w:r>
            <w:r>
              <w:rPr>
                <w:rFonts w:hint="default" w:ascii="Times New Roman" w:hAnsi="Times New Roman" w:eastAsia="宋体" w:cs="宋体"/>
                <w:caps w:val="0"/>
                <w:color w:val="auto"/>
                <w:sz w:val="24"/>
                <w:highlight w:val="none"/>
              </w:rPr>
              <w:t>并在容器外表设置环境保护图形标志和警示标志</w:t>
            </w:r>
            <w:r>
              <w:rPr>
                <w:rFonts w:hint="default" w:ascii="Times New Roman" w:hAnsi="Times New Roman" w:eastAsia="宋体" w:cs="宋体"/>
                <w:caps w:val="0"/>
                <w:color w:val="auto"/>
                <w:kern w:val="0"/>
                <w:sz w:val="24"/>
                <w:highlight w:val="none"/>
              </w:rPr>
              <w:t>。本项目产生的危险废物委托有相关处理资质单位进行处置，定期由具备相关运输资</w:t>
            </w:r>
            <w:r>
              <w:rPr>
                <w:rFonts w:hint="eastAsia" w:ascii="Times New Roman" w:hAnsi="Times New Roman" w:eastAsia="宋体" w:cs="宋体"/>
                <w:caps w:val="0"/>
                <w:color w:val="auto"/>
                <w:kern w:val="0"/>
                <w:sz w:val="24"/>
                <w:highlight w:val="none"/>
                <w:lang w:eastAsia="zh-CN"/>
              </w:rPr>
              <w:t>质的</w:t>
            </w:r>
            <w:r>
              <w:rPr>
                <w:rFonts w:hint="default" w:ascii="Times New Roman" w:hAnsi="Times New Roman" w:eastAsia="宋体" w:cs="宋体"/>
                <w:caps w:val="0"/>
                <w:color w:val="auto"/>
                <w:kern w:val="0"/>
                <w:sz w:val="24"/>
                <w:highlight w:val="none"/>
              </w:rPr>
              <w:t>公司使用专用车辆运走，运输路线由管理部门指定，不会对运输沿线环境敏感点产生环境影响。</w:t>
            </w:r>
          </w:p>
          <w:p w14:paraId="11EE927C">
            <w:pPr>
              <w:adjustRightInd w:val="0"/>
              <w:snapToGrid w:val="0"/>
              <w:spacing w:line="360" w:lineRule="auto"/>
              <w:ind w:firstLine="480" w:firstLineChars="200"/>
              <w:rPr>
                <w:rFonts w:hint="default" w:ascii="Times New Roman" w:hAnsi="Times New Roman" w:eastAsia="宋体" w:cs="宋体"/>
                <w:caps w:val="0"/>
                <w:color w:val="auto"/>
                <w:kern w:val="0"/>
                <w:sz w:val="24"/>
                <w:highlight w:val="none"/>
              </w:rPr>
            </w:pPr>
            <w:r>
              <w:rPr>
                <w:rFonts w:hint="eastAsia" w:ascii="Times New Roman" w:hAnsi="Times New Roman" w:eastAsia="宋体" w:cs="宋体"/>
                <w:caps w:val="0"/>
                <w:color w:val="auto"/>
                <w:kern w:val="0"/>
                <w:sz w:val="24"/>
                <w:highlight w:val="none"/>
              </w:rPr>
              <w:t>4.2.</w:t>
            </w:r>
            <w:r>
              <w:rPr>
                <w:rFonts w:hint="eastAsia" w:ascii="Times New Roman" w:hAnsi="Times New Roman" w:eastAsia="宋体" w:cs="宋体"/>
                <w:caps w:val="0"/>
                <w:color w:val="auto"/>
                <w:kern w:val="0"/>
                <w:sz w:val="24"/>
                <w:highlight w:val="none"/>
                <w:lang w:val="en-US" w:eastAsia="zh-CN"/>
              </w:rPr>
              <w:t>3</w:t>
            </w:r>
            <w:r>
              <w:rPr>
                <w:rFonts w:hint="default" w:ascii="Times New Roman" w:hAnsi="Times New Roman" w:eastAsia="宋体" w:cs="宋体"/>
                <w:caps w:val="0"/>
                <w:color w:val="auto"/>
                <w:kern w:val="0"/>
                <w:sz w:val="24"/>
                <w:highlight w:val="none"/>
              </w:rPr>
              <w:t>利用或者处置的环境影响分析</w:t>
            </w:r>
          </w:p>
          <w:p w14:paraId="6DC77F32">
            <w:pPr>
              <w:adjustRightInd w:val="0"/>
              <w:snapToGrid w:val="0"/>
              <w:spacing w:line="360" w:lineRule="auto"/>
              <w:ind w:firstLine="480" w:firstLineChars="200"/>
              <w:rPr>
                <w:rFonts w:hint="default" w:ascii="Times New Roman" w:hAnsi="Times New Roman" w:eastAsia="宋体" w:cs="宋体"/>
                <w:caps w:val="0"/>
                <w:color w:val="auto"/>
                <w:kern w:val="0"/>
                <w:sz w:val="24"/>
                <w:highlight w:val="none"/>
              </w:rPr>
            </w:pPr>
            <w:r>
              <w:rPr>
                <w:rFonts w:hint="default" w:ascii="Times New Roman" w:hAnsi="Times New Roman" w:eastAsia="宋体" w:cs="宋体"/>
                <w:caps w:val="0"/>
                <w:color w:val="auto"/>
                <w:kern w:val="0"/>
                <w:sz w:val="24"/>
                <w:highlight w:val="none"/>
              </w:rPr>
              <w:t>本项目产生的危险废物委托具有相应处理资质的单位处置。该危险废物处置单位应当持有</w:t>
            </w:r>
            <w:r>
              <w:rPr>
                <w:rFonts w:hint="eastAsia" w:ascii="Times New Roman" w:hAnsi="Times New Roman" w:eastAsia="宋体" w:cs="宋体"/>
                <w:caps w:val="0"/>
                <w:color w:val="auto"/>
                <w:kern w:val="0"/>
                <w:sz w:val="24"/>
                <w:highlight w:val="none"/>
                <w:lang w:eastAsia="zh-CN"/>
              </w:rPr>
              <w:t>黑龙江省</w:t>
            </w:r>
            <w:r>
              <w:rPr>
                <w:rFonts w:hint="default" w:ascii="Times New Roman" w:hAnsi="Times New Roman" w:eastAsia="宋体" w:cs="宋体"/>
                <w:caps w:val="0"/>
                <w:color w:val="auto"/>
                <w:kern w:val="0"/>
                <w:sz w:val="24"/>
                <w:highlight w:val="none"/>
              </w:rPr>
              <w:t>生态环境局颁发的《危险废物经营许可证》，具有收集、运输、贮存、处理处置及综合利用能力，处理能力有足够余量。本项目产生的危险废物交具有相应处理资质的单位进行处置后，不会对环境产生显著不利影响。</w:t>
            </w:r>
          </w:p>
          <w:p w14:paraId="79E61A70">
            <w:pPr>
              <w:adjustRightInd w:val="0"/>
              <w:snapToGrid w:val="0"/>
              <w:spacing w:line="360" w:lineRule="auto"/>
              <w:ind w:firstLine="480" w:firstLineChars="200"/>
              <w:rPr>
                <w:rFonts w:hint="default" w:ascii="Times New Roman" w:hAnsi="Times New Roman" w:eastAsia="宋体" w:cs="宋体"/>
                <w:caps w:val="0"/>
                <w:color w:val="auto"/>
                <w:kern w:val="0"/>
                <w:sz w:val="24"/>
                <w:highlight w:val="none"/>
              </w:rPr>
            </w:pPr>
            <w:r>
              <w:rPr>
                <w:rFonts w:hint="eastAsia" w:ascii="Times New Roman" w:hAnsi="Times New Roman" w:eastAsia="宋体" w:cs="宋体"/>
                <w:caps w:val="0"/>
                <w:color w:val="auto"/>
                <w:kern w:val="0"/>
                <w:sz w:val="24"/>
                <w:highlight w:val="none"/>
              </w:rPr>
              <w:t>4.2.</w:t>
            </w:r>
            <w:r>
              <w:rPr>
                <w:rFonts w:hint="eastAsia" w:ascii="Times New Roman" w:hAnsi="Times New Roman" w:eastAsia="宋体" w:cs="宋体"/>
                <w:caps w:val="0"/>
                <w:color w:val="auto"/>
                <w:kern w:val="0"/>
                <w:sz w:val="24"/>
                <w:highlight w:val="none"/>
                <w:lang w:val="en-US" w:eastAsia="zh-CN"/>
              </w:rPr>
              <w:t>4</w:t>
            </w:r>
            <w:r>
              <w:rPr>
                <w:rFonts w:hint="default" w:ascii="Times New Roman" w:hAnsi="Times New Roman" w:eastAsia="宋体" w:cs="宋体"/>
                <w:caps w:val="0"/>
                <w:color w:val="auto"/>
                <w:kern w:val="0"/>
                <w:sz w:val="24"/>
                <w:highlight w:val="none"/>
              </w:rPr>
              <w:t>危险废物环境管理要求</w:t>
            </w:r>
          </w:p>
          <w:p w14:paraId="6C27E622">
            <w:pPr>
              <w:adjustRightInd w:val="0"/>
              <w:snapToGrid w:val="0"/>
              <w:spacing w:line="360" w:lineRule="auto"/>
              <w:ind w:firstLine="480" w:firstLineChars="200"/>
              <w:rPr>
                <w:rFonts w:hint="default" w:ascii="Times New Roman" w:hAnsi="Times New Roman" w:eastAsia="宋体" w:cs="宋体"/>
                <w:caps w:val="0"/>
                <w:color w:val="auto"/>
                <w:kern w:val="0"/>
                <w:sz w:val="24"/>
                <w:highlight w:val="none"/>
              </w:rPr>
            </w:pPr>
            <w:r>
              <w:rPr>
                <w:rFonts w:hint="default" w:ascii="Times New Roman" w:hAnsi="Times New Roman" w:eastAsia="宋体" w:cs="宋体"/>
                <w:caps w:val="0"/>
                <w:color w:val="auto"/>
                <w:kern w:val="0"/>
                <w:sz w:val="24"/>
                <w:highlight w:val="none"/>
              </w:rPr>
              <w:t>建设单位运营过程应该对本项目产生的危险废物从收集、贮存、运输、利用、处置各环节进行全过程的监管，各环节应严格执行《危险废物收集、贮存、运输技术规范》（HJ2025-2012）的相关要求。</w:t>
            </w:r>
          </w:p>
          <w:p w14:paraId="117A936C">
            <w:pPr>
              <w:adjustRightInd w:val="0"/>
              <w:snapToGrid w:val="0"/>
              <w:spacing w:line="360" w:lineRule="auto"/>
              <w:ind w:firstLine="480" w:firstLineChars="200"/>
              <w:rPr>
                <w:rFonts w:hint="eastAsia" w:ascii="Times New Roman" w:hAnsi="Times New Roman" w:eastAsia="宋体" w:cs="宋体"/>
                <w:caps w:val="0"/>
                <w:color w:val="auto"/>
                <w:kern w:val="0"/>
                <w:sz w:val="24"/>
                <w:highlight w:val="none"/>
                <w:lang w:eastAsia="zh-CN"/>
              </w:rPr>
            </w:pPr>
            <w:r>
              <w:rPr>
                <w:rFonts w:hint="default" w:ascii="Times New Roman" w:hAnsi="Times New Roman" w:eastAsia="宋体" w:cs="宋体"/>
                <w:caps w:val="0"/>
                <w:color w:val="auto"/>
                <w:kern w:val="0"/>
                <w:sz w:val="24"/>
                <w:highlight w:val="none"/>
              </w:rPr>
              <w:t>危险废物暂存过程中应满足《危险废物贮存污染控制标准》（GB18597-20</w:t>
            </w:r>
            <w:r>
              <w:rPr>
                <w:rFonts w:hint="eastAsia" w:ascii="Times New Roman" w:hAnsi="Times New Roman" w:eastAsia="宋体" w:cs="宋体"/>
                <w:caps w:val="0"/>
                <w:color w:val="auto"/>
                <w:kern w:val="0"/>
                <w:sz w:val="24"/>
                <w:highlight w:val="none"/>
                <w:lang w:val="en-US" w:eastAsia="zh-CN"/>
              </w:rPr>
              <w:t>23</w:t>
            </w:r>
            <w:r>
              <w:rPr>
                <w:rFonts w:hint="default" w:ascii="Times New Roman" w:hAnsi="Times New Roman" w:eastAsia="宋体" w:cs="宋体"/>
                <w:caps w:val="0"/>
                <w:color w:val="auto"/>
                <w:kern w:val="0"/>
                <w:sz w:val="24"/>
                <w:highlight w:val="none"/>
              </w:rPr>
              <w:t>）中的相关规定</w:t>
            </w:r>
            <w:r>
              <w:rPr>
                <w:rFonts w:hint="eastAsia" w:ascii="Times New Roman" w:hAnsi="Times New Roman" w:eastAsia="宋体" w:cs="宋体"/>
                <w:caps w:val="0"/>
                <w:color w:val="auto"/>
                <w:kern w:val="0"/>
                <w:sz w:val="24"/>
                <w:highlight w:val="none"/>
                <w:lang w:eastAsia="zh-CN"/>
              </w:rPr>
              <w:t>。</w:t>
            </w:r>
          </w:p>
          <w:p w14:paraId="72817B64">
            <w:pPr>
              <w:bidi w:val="0"/>
              <w:rPr>
                <w:rFonts w:hint="eastAsia"/>
                <w:color w:val="auto"/>
                <w:highlight w:val="none"/>
                <w:lang w:val="en-US" w:eastAsia="zh-CN"/>
              </w:rPr>
            </w:pPr>
            <w:r>
              <w:rPr>
                <w:rFonts w:hint="default"/>
                <w:color w:val="auto"/>
                <w:highlight w:val="none"/>
                <w:lang w:val="en-US" w:eastAsia="zh-CN"/>
              </w:rPr>
              <w:t>由上述分析可知，项目产生的固体废物得到有效</w:t>
            </w:r>
            <w:r>
              <w:rPr>
                <w:rFonts w:hint="eastAsia"/>
                <w:color w:val="auto"/>
                <w:highlight w:val="none"/>
                <w:lang w:val="en-US" w:eastAsia="zh-CN"/>
              </w:rPr>
              <w:t>地</w:t>
            </w:r>
            <w:r>
              <w:rPr>
                <w:rFonts w:hint="default"/>
                <w:color w:val="auto"/>
                <w:highlight w:val="none"/>
                <w:lang w:val="en-US" w:eastAsia="zh-CN"/>
              </w:rPr>
              <w:t>处理处置，对外环境影响较小。</w:t>
            </w:r>
          </w:p>
          <w:p w14:paraId="26ACD9B6">
            <w:pPr>
              <w:bidi w:val="0"/>
              <w:spacing w:line="240" w:lineRule="auto"/>
              <w:rPr>
                <w:rFonts w:hint="eastAsia"/>
                <w:b/>
                <w:bCs w:val="0"/>
                <w:color w:val="auto"/>
                <w:highlight w:val="none"/>
                <w:lang w:val="en-US" w:eastAsia="zh-CN"/>
              </w:rPr>
            </w:pPr>
            <w:r>
              <w:rPr>
                <w:rFonts w:hint="eastAsia"/>
                <w:b/>
                <w:bCs w:val="0"/>
                <w:color w:val="auto"/>
                <w:highlight w:val="none"/>
                <w:lang w:val="en-US" w:eastAsia="zh-CN"/>
              </w:rPr>
              <w:t>5.</w:t>
            </w:r>
            <w:r>
              <w:rPr>
                <w:rFonts w:hint="eastAsia"/>
                <w:b/>
                <w:bCs w:val="0"/>
                <w:color w:val="auto"/>
                <w:highlight w:val="none"/>
              </w:rPr>
              <w:t>地下水</w:t>
            </w:r>
            <w:bookmarkEnd w:id="14"/>
            <w:bookmarkEnd w:id="15"/>
            <w:r>
              <w:rPr>
                <w:rFonts w:hint="eastAsia"/>
                <w:b/>
                <w:bCs w:val="0"/>
                <w:color w:val="auto"/>
                <w:highlight w:val="none"/>
                <w:lang w:val="en-US" w:eastAsia="zh-CN"/>
              </w:rPr>
              <w:t>、</w:t>
            </w:r>
            <w:r>
              <w:rPr>
                <w:rFonts w:hint="eastAsia"/>
                <w:b/>
                <w:bCs w:val="0"/>
                <w:color w:val="auto"/>
                <w:highlight w:val="none"/>
              </w:rPr>
              <w:t>土壤环境</w:t>
            </w:r>
          </w:p>
          <w:p w14:paraId="4664481D">
            <w:pPr>
              <w:adjustRightInd w:val="0"/>
              <w:snapToGrid w:val="0"/>
              <w:spacing w:line="360" w:lineRule="auto"/>
              <w:ind w:firstLine="480" w:firstLineChars="200"/>
              <w:rPr>
                <w:rFonts w:hint="default" w:ascii="Times New Roman" w:hAnsi="Times New Roman" w:eastAsia="宋体" w:cs="宋体"/>
                <w:caps w:val="0"/>
                <w:color w:val="auto"/>
                <w:kern w:val="0"/>
                <w:sz w:val="24"/>
                <w:highlight w:val="none"/>
                <w:lang w:val="en-US" w:eastAsia="zh-CN"/>
              </w:rPr>
            </w:pPr>
            <w:r>
              <w:rPr>
                <w:rFonts w:hint="eastAsia" w:ascii="宋体" w:hAnsi="宋体" w:eastAsia="宋体" w:cs="宋体"/>
                <w:color w:val="auto"/>
                <w:sz w:val="24"/>
                <w:szCs w:val="24"/>
                <w:highlight w:val="none"/>
                <w:lang w:val="en-US" w:eastAsia="zh-CN"/>
              </w:rPr>
              <w:t>本项目</w:t>
            </w:r>
            <w:r>
              <w:rPr>
                <w:rFonts w:hint="eastAsia" w:cs="宋体"/>
                <w:color w:val="auto"/>
                <w:sz w:val="24"/>
                <w:szCs w:val="24"/>
                <w:highlight w:val="none"/>
                <w:lang w:eastAsia="zh-CN"/>
              </w:rPr>
              <w:t>危险废物贮存库</w:t>
            </w:r>
            <w:r>
              <w:rPr>
                <w:rFonts w:hint="eastAsia" w:ascii="宋体" w:hAnsi="宋体" w:eastAsia="宋体" w:cs="宋体"/>
                <w:color w:val="auto"/>
                <w:sz w:val="24"/>
                <w:szCs w:val="24"/>
                <w:highlight w:val="none"/>
              </w:rPr>
              <w:t>均已做好防渗、防漏措施，则正常运行时不会发生污水下渗。项目运营过程中产生废气，主要污染物为颗粒物</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二氧化硫和氮氧化物</w:t>
            </w:r>
            <w:r>
              <w:rPr>
                <w:rFonts w:hint="eastAsia" w:ascii="宋体" w:hAnsi="宋体" w:eastAsia="宋体" w:cs="宋体"/>
                <w:color w:val="auto"/>
                <w:sz w:val="24"/>
                <w:szCs w:val="24"/>
                <w:highlight w:val="none"/>
              </w:rPr>
              <w:t>，影响途径为大气沉降。</w:t>
            </w:r>
            <w:r>
              <w:rPr>
                <w:rFonts w:hint="eastAsia" w:cs="宋体"/>
                <w:color w:val="auto"/>
                <w:sz w:val="24"/>
                <w:szCs w:val="24"/>
                <w:highlight w:val="none"/>
                <w:lang w:val="en-US" w:eastAsia="zh-CN"/>
              </w:rPr>
              <w:t>本</w:t>
            </w:r>
            <w:r>
              <w:rPr>
                <w:rFonts w:hint="eastAsia" w:ascii="宋体" w:hAnsi="宋体" w:eastAsia="宋体" w:cs="宋体"/>
                <w:color w:val="auto"/>
                <w:sz w:val="24"/>
                <w:szCs w:val="24"/>
                <w:highlight w:val="none"/>
              </w:rPr>
              <w:t>项目</w:t>
            </w:r>
            <w:r>
              <w:rPr>
                <w:rFonts w:hint="eastAsia"/>
                <w:color w:val="auto"/>
                <w:highlight w:val="none"/>
                <w:lang w:eastAsia="zh-CN"/>
              </w:rPr>
              <w:t>产生</w:t>
            </w:r>
            <w:r>
              <w:rPr>
                <w:rFonts w:hint="eastAsia"/>
                <w:color w:val="auto"/>
                <w:highlight w:val="none"/>
                <w:lang w:val="en-US" w:eastAsia="zh-CN"/>
              </w:rPr>
              <w:t>的废气</w:t>
            </w:r>
            <w:r>
              <w:rPr>
                <w:rFonts w:hint="eastAsia" w:ascii="宋体" w:hAnsi="宋体" w:eastAsia="宋体" w:cs="宋体"/>
                <w:color w:val="auto"/>
                <w:sz w:val="24"/>
                <w:szCs w:val="24"/>
                <w:highlight w:val="none"/>
              </w:rPr>
              <w:t>，经有效处理后均可达标排放，</w:t>
            </w:r>
            <w:r>
              <w:rPr>
                <w:rFonts w:hint="eastAsia" w:ascii="宋体" w:hAnsi="宋体" w:eastAsia="宋体" w:cs="宋体"/>
                <w:color w:val="auto"/>
                <w:sz w:val="24"/>
                <w:szCs w:val="24"/>
                <w:highlight w:val="none"/>
                <w:lang w:val="en-US" w:eastAsia="zh-CN"/>
              </w:rPr>
              <w:t>锅炉房</w:t>
            </w:r>
            <w:r>
              <w:rPr>
                <w:rFonts w:hint="eastAsia" w:ascii="宋体" w:hAnsi="宋体" w:eastAsia="宋体" w:cs="宋体"/>
                <w:color w:val="auto"/>
                <w:sz w:val="24"/>
                <w:szCs w:val="24"/>
                <w:highlight w:val="none"/>
              </w:rPr>
              <w:t>设置水泥硬底化，不会沉降到土壤和地下水当中。项目一般固废暂存间、</w:t>
            </w:r>
            <w:r>
              <w:rPr>
                <w:rFonts w:hint="eastAsia" w:cs="宋体"/>
                <w:color w:val="auto"/>
                <w:sz w:val="24"/>
                <w:szCs w:val="24"/>
                <w:highlight w:val="none"/>
                <w:lang w:eastAsia="zh-CN"/>
              </w:rPr>
              <w:t>危险废物贮存库</w:t>
            </w:r>
            <w:r>
              <w:rPr>
                <w:rFonts w:hint="eastAsia" w:ascii="宋体" w:hAnsi="宋体" w:eastAsia="宋体" w:cs="宋体"/>
                <w:color w:val="auto"/>
                <w:sz w:val="24"/>
                <w:szCs w:val="24"/>
                <w:highlight w:val="none"/>
              </w:rPr>
              <w:t>均在厂房内，厂房做好防风挡雨、防腐、防渗漏等措施，不存在下渗途径。综上所述，项目厂房范围已全部设置水泥硬底化，无污染和下渗途径，不存在土壤、地下水环境污染的情况，故不需要开展地下水、土壤跟踪监</w:t>
            </w:r>
            <w:r>
              <w:rPr>
                <w:rFonts w:hint="eastAsia" w:ascii="宋体" w:hAnsi="宋体" w:eastAsia="宋体" w:cs="宋体"/>
                <w:color w:val="auto"/>
                <w:sz w:val="24"/>
                <w:szCs w:val="24"/>
                <w:highlight w:val="none"/>
                <w:lang w:eastAsia="zh-CN"/>
              </w:rPr>
              <w:t>测污</w:t>
            </w:r>
            <w:r>
              <w:rPr>
                <w:rFonts w:hint="eastAsia" w:ascii="宋体" w:hAnsi="宋体" w:eastAsia="宋体" w:cs="宋体"/>
                <w:color w:val="auto"/>
                <w:sz w:val="24"/>
                <w:szCs w:val="24"/>
                <w:highlight w:val="none"/>
              </w:rPr>
              <w:t>染识别。</w:t>
            </w:r>
            <w:r>
              <w:rPr>
                <w:rFonts w:hint="eastAsia" w:cs="宋体"/>
                <w:color w:val="auto"/>
                <w:sz w:val="24"/>
                <w:szCs w:val="24"/>
                <w:highlight w:val="none"/>
                <w:lang w:val="en-US" w:eastAsia="zh-CN"/>
              </w:rPr>
              <w:t>本项目所在位置不属于集中饮用水环境保护区，根据《环境影响评价技术导则 地下水环境》（HJ610-2016），本项目为142热力生产和供应工程，属于Ⅳ类建设项目，根据导则要求，Ⅳ类建设项目不开展地下水环境影响评价。</w:t>
            </w:r>
          </w:p>
          <w:p w14:paraId="15F1B0C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highlight w:val="none"/>
              </w:rPr>
            </w:pPr>
            <w:r>
              <w:rPr>
                <w:highlight w:val="none"/>
              </w:rPr>
              <w:drawing>
                <wp:inline distT="0" distB="0" distL="114300" distR="114300">
                  <wp:extent cx="5124450" cy="3562350"/>
                  <wp:effectExtent l="0" t="0" r="0" b="0"/>
                  <wp:docPr id="1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2"/>
                          <pic:cNvPicPr>
                            <a:picLocks noChangeAspect="1"/>
                          </pic:cNvPicPr>
                        </pic:nvPicPr>
                        <pic:blipFill>
                          <a:blip r:embed="rId44"/>
                          <a:stretch>
                            <a:fillRect/>
                          </a:stretch>
                        </pic:blipFill>
                        <pic:spPr>
                          <a:xfrm>
                            <a:off x="0" y="0"/>
                            <a:ext cx="5124450" cy="3562350"/>
                          </a:xfrm>
                          <a:prstGeom prst="rect">
                            <a:avLst/>
                          </a:prstGeom>
                          <a:noFill/>
                          <a:ln>
                            <a:noFill/>
                          </a:ln>
                        </pic:spPr>
                      </pic:pic>
                    </a:graphicData>
                  </a:graphic>
                </wp:inline>
              </w:drawing>
            </w:r>
          </w:p>
          <w:p w14:paraId="4586BFD4">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b/>
                <w:bCs/>
                <w:highlight w:val="none"/>
                <w:lang w:val="en-US" w:eastAsia="zh-CN"/>
              </w:rPr>
            </w:pPr>
            <w:r>
              <w:rPr>
                <w:rFonts w:hint="eastAsia"/>
                <w:b/>
                <w:bCs/>
                <w:highlight w:val="none"/>
                <w:lang w:val="en-US" w:eastAsia="zh-CN"/>
              </w:rPr>
              <w:t>图4-1 地下水分区防渗图</w:t>
            </w:r>
          </w:p>
          <w:p w14:paraId="595E92B7">
            <w:pPr>
              <w:adjustRightInd w:val="0"/>
              <w:snapToGrid w:val="0"/>
              <w:spacing w:line="360" w:lineRule="auto"/>
              <w:ind w:firstLine="482" w:firstLineChars="200"/>
              <w:rPr>
                <w:rFonts w:ascii="Times New Roman" w:hAnsi="Times New Roman" w:eastAsia="宋体" w:cs="宋体"/>
                <w:b/>
                <w:caps w:val="0"/>
                <w:color w:val="auto"/>
                <w:sz w:val="24"/>
                <w:highlight w:val="none"/>
              </w:rPr>
            </w:pPr>
            <w:r>
              <w:rPr>
                <w:rFonts w:hint="eastAsia" w:ascii="Times New Roman" w:hAnsi="Times New Roman" w:cs="宋体"/>
                <w:b/>
                <w:caps w:val="0"/>
                <w:color w:val="auto"/>
                <w:sz w:val="24"/>
                <w:highlight w:val="none"/>
                <w:lang w:val="en-US" w:eastAsia="zh-CN"/>
              </w:rPr>
              <w:t>6.</w:t>
            </w:r>
            <w:r>
              <w:rPr>
                <w:rFonts w:hint="eastAsia" w:ascii="Times New Roman" w:hAnsi="Times New Roman" w:eastAsia="宋体" w:cs="宋体"/>
                <w:b/>
                <w:caps w:val="0"/>
                <w:color w:val="auto"/>
                <w:sz w:val="24"/>
                <w:highlight w:val="none"/>
              </w:rPr>
              <w:t>环境风险</w:t>
            </w:r>
          </w:p>
          <w:p w14:paraId="221AFA44">
            <w:pPr>
              <w:adjustRightInd w:val="0"/>
              <w:snapToGrid w:val="0"/>
              <w:spacing w:line="360" w:lineRule="auto"/>
              <w:ind w:firstLine="482" w:firstLineChars="200"/>
              <w:rPr>
                <w:rFonts w:hint="default" w:ascii="Times New Roman" w:hAnsi="Times New Roman" w:eastAsia="宋体" w:cs="宋体"/>
                <w:b/>
                <w:bCs/>
                <w:caps w:val="0"/>
                <w:color w:val="auto"/>
                <w:sz w:val="24"/>
                <w:highlight w:val="none"/>
              </w:rPr>
            </w:pPr>
            <w:r>
              <w:rPr>
                <w:rFonts w:hint="eastAsia" w:ascii="Times New Roman" w:hAnsi="Times New Roman" w:eastAsia="宋体" w:cs="宋体"/>
                <w:b/>
                <w:bCs/>
                <w:caps w:val="0"/>
                <w:color w:val="auto"/>
                <w:sz w:val="24"/>
                <w:highlight w:val="none"/>
                <w:lang w:val="en-US" w:eastAsia="zh-CN"/>
              </w:rPr>
              <w:t>6.1</w:t>
            </w:r>
            <w:r>
              <w:rPr>
                <w:rFonts w:hint="default" w:ascii="Times New Roman" w:hAnsi="Times New Roman" w:eastAsia="宋体" w:cs="宋体"/>
                <w:b/>
                <w:bCs/>
                <w:caps w:val="0"/>
                <w:color w:val="auto"/>
                <w:sz w:val="24"/>
                <w:highlight w:val="none"/>
              </w:rPr>
              <w:t>风险物质分布及影响途径</w:t>
            </w:r>
          </w:p>
          <w:p w14:paraId="624F6FF9">
            <w:pPr>
              <w:adjustRightInd w:val="0"/>
              <w:snapToGrid w:val="0"/>
              <w:spacing w:line="360" w:lineRule="auto"/>
              <w:ind w:firstLine="480" w:firstLineChars="200"/>
              <w:rPr>
                <w:rFonts w:hint="eastAsia" w:ascii="Times New Roman" w:hAnsi="Times New Roman" w:eastAsia="宋体" w:cs="宋体"/>
                <w:caps w:val="0"/>
                <w:color w:val="auto"/>
                <w:kern w:val="0"/>
                <w:sz w:val="24"/>
                <w:highlight w:val="none"/>
              </w:rPr>
            </w:pPr>
            <w:r>
              <w:rPr>
                <w:rFonts w:hint="eastAsia" w:ascii="宋体" w:hAnsi="宋体" w:eastAsia="宋体" w:cs="宋体"/>
                <w:color w:val="auto"/>
                <w:spacing w:val="0"/>
                <w:kern w:val="0"/>
                <w:sz w:val="24"/>
                <w:highlight w:val="none"/>
              </w:rPr>
              <w:t>根据《建设项目环境风险评价技术导则》（HJ 169-2018）风险源和危险物质的定义，根据本项目特点，本项目主要危险物质为</w:t>
            </w:r>
            <w:r>
              <w:rPr>
                <w:rFonts w:hint="eastAsia" w:ascii="宋体" w:hAnsi="宋体" w:eastAsia="宋体" w:cs="宋体"/>
                <w:color w:val="auto"/>
                <w:spacing w:val="0"/>
                <w:kern w:val="0"/>
                <w:sz w:val="24"/>
                <w:highlight w:val="none"/>
                <w:lang w:val="en-US" w:eastAsia="zh-CN"/>
              </w:rPr>
              <w:t>废机油，</w:t>
            </w:r>
            <w:r>
              <w:rPr>
                <w:rFonts w:hint="eastAsia" w:ascii="宋体" w:hAnsi="宋体" w:eastAsia="宋体" w:cs="宋体"/>
                <w:color w:val="auto"/>
                <w:spacing w:val="0"/>
                <w:kern w:val="0"/>
                <w:sz w:val="24"/>
                <w:highlight w:val="none"/>
              </w:rPr>
              <w:t>其危险特性见下表。</w:t>
            </w:r>
            <w:r>
              <w:rPr>
                <w:rFonts w:hint="eastAsia" w:cs="Times New Roman"/>
                <w:color w:val="auto"/>
                <w:kern w:val="0"/>
                <w:sz w:val="24"/>
                <w:highlight w:val="none"/>
                <w:lang w:val="en-US" w:eastAsia="zh-CN"/>
              </w:rPr>
              <w:t>对照</w:t>
            </w:r>
            <w:r>
              <w:rPr>
                <w:rFonts w:hint="default" w:ascii="Times New Roman" w:hAnsi="Times New Roman" w:cs="Times New Roman"/>
                <w:color w:val="auto"/>
                <w:kern w:val="0"/>
                <w:sz w:val="24"/>
                <w:highlight w:val="none"/>
              </w:rPr>
              <w:t>《建设项目环境风险评价技术导则》</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HJ169-2018</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附录B</w:t>
            </w:r>
            <w:r>
              <w:rPr>
                <w:rFonts w:hint="eastAsia" w:cs="Times New Roman"/>
                <w:color w:val="auto"/>
                <w:kern w:val="0"/>
                <w:sz w:val="24"/>
                <w:highlight w:val="none"/>
                <w:lang w:val="en-US" w:eastAsia="zh-CN"/>
              </w:rPr>
              <w:t>。</w:t>
            </w:r>
            <w:r>
              <w:rPr>
                <w:rFonts w:hint="default" w:ascii="Times New Roman" w:hAnsi="Times New Roman" w:eastAsia="宋体" w:cs="宋体"/>
                <w:caps w:val="0"/>
                <w:color w:val="auto"/>
                <w:kern w:val="0"/>
                <w:sz w:val="24"/>
                <w:highlight w:val="none"/>
              </w:rPr>
              <w:t>其分布情况见表4-1</w:t>
            </w:r>
            <w:r>
              <w:rPr>
                <w:rFonts w:hint="eastAsia" w:ascii="Times New Roman" w:hAnsi="Times New Roman" w:eastAsia="宋体" w:cs="宋体"/>
                <w:caps w:val="0"/>
                <w:color w:val="auto"/>
                <w:kern w:val="0"/>
                <w:sz w:val="24"/>
                <w:highlight w:val="none"/>
                <w:lang w:val="en-US" w:eastAsia="zh-CN"/>
              </w:rPr>
              <w:t>9</w:t>
            </w:r>
            <w:r>
              <w:rPr>
                <w:rFonts w:hint="default" w:ascii="Times New Roman" w:hAnsi="Times New Roman" w:eastAsia="宋体" w:cs="宋体"/>
                <w:caps w:val="0"/>
                <w:color w:val="auto"/>
                <w:kern w:val="0"/>
                <w:sz w:val="24"/>
                <w:highlight w:val="none"/>
              </w:rPr>
              <w:t>，可能影响途径见表4-</w:t>
            </w:r>
            <w:r>
              <w:rPr>
                <w:rFonts w:hint="eastAsia" w:ascii="Times New Roman" w:hAnsi="Times New Roman" w:eastAsia="宋体" w:cs="宋体"/>
                <w:caps w:val="0"/>
                <w:color w:val="auto"/>
                <w:kern w:val="0"/>
                <w:sz w:val="24"/>
                <w:highlight w:val="none"/>
                <w:lang w:val="en-US" w:eastAsia="zh-CN"/>
              </w:rPr>
              <w:t>20</w:t>
            </w:r>
            <w:r>
              <w:rPr>
                <w:rFonts w:hint="default" w:ascii="Times New Roman" w:hAnsi="Times New Roman" w:eastAsia="宋体" w:cs="宋体"/>
                <w:caps w:val="0"/>
                <w:color w:val="auto"/>
                <w:kern w:val="0"/>
                <w:sz w:val="24"/>
                <w:highlight w:val="none"/>
              </w:rPr>
              <w:t>。</w:t>
            </w:r>
          </w:p>
          <w:p w14:paraId="36C299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eastAsia="宋体" w:cs="宋体"/>
                <w:b/>
                <w:bCs/>
                <w:caps w:val="0"/>
                <w:color w:val="auto"/>
                <w:spacing w:val="6"/>
                <w:sz w:val="24"/>
                <w:highlight w:val="none"/>
              </w:rPr>
            </w:pPr>
            <w:r>
              <w:rPr>
                <w:rFonts w:hint="eastAsia" w:ascii="Times New Roman" w:hAnsi="Times New Roman" w:eastAsia="宋体" w:cs="宋体"/>
                <w:b/>
                <w:bCs/>
                <w:caps w:val="0"/>
                <w:color w:val="auto"/>
                <w:spacing w:val="6"/>
                <w:sz w:val="24"/>
                <w:highlight w:val="none"/>
              </w:rPr>
              <w:t>表4-</w:t>
            </w:r>
            <w:r>
              <w:rPr>
                <w:rFonts w:hint="eastAsia" w:ascii="Times New Roman" w:hAnsi="Times New Roman" w:eastAsia="宋体" w:cs="宋体"/>
                <w:b/>
                <w:bCs/>
                <w:caps w:val="0"/>
                <w:color w:val="auto"/>
                <w:spacing w:val="6"/>
                <w:sz w:val="24"/>
                <w:highlight w:val="none"/>
                <w:lang w:val="en-US" w:eastAsia="zh-CN"/>
              </w:rPr>
              <w:t>19</w:t>
            </w:r>
            <w:r>
              <w:rPr>
                <w:rFonts w:hint="eastAsia" w:ascii="Times New Roman" w:hAnsi="Times New Roman" w:eastAsia="宋体" w:cs="宋体"/>
                <w:b/>
                <w:bCs/>
                <w:caps w:val="0"/>
                <w:color w:val="auto"/>
                <w:spacing w:val="6"/>
                <w:sz w:val="24"/>
                <w:highlight w:val="none"/>
              </w:rPr>
              <w:t xml:space="preserve">  危险物质分布情况</w:t>
            </w:r>
          </w:p>
          <w:tbl>
            <w:tblPr>
              <w:tblStyle w:val="37"/>
              <w:tblW w:w="786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9"/>
              <w:gridCol w:w="712"/>
              <w:gridCol w:w="681"/>
              <w:gridCol w:w="941"/>
              <w:gridCol w:w="831"/>
              <w:gridCol w:w="1091"/>
              <w:gridCol w:w="927"/>
              <w:gridCol w:w="905"/>
              <w:gridCol w:w="1349"/>
            </w:tblGrid>
            <w:tr w14:paraId="7A8968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3" w:type="pct"/>
                  <w:tcBorders>
                    <w:tl2br w:val="nil"/>
                    <w:tr2bl w:val="nil"/>
                  </w:tcBorders>
                  <w:noWrap w:val="0"/>
                  <w:vAlign w:val="center"/>
                </w:tcPr>
                <w:p w14:paraId="400AA7BB">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auto"/>
                      <w:kern w:val="0"/>
                      <w:sz w:val="21"/>
                      <w:szCs w:val="21"/>
                      <w:highlight w:val="none"/>
                    </w:rPr>
                  </w:pPr>
                  <w:r>
                    <w:rPr>
                      <w:rFonts w:hint="default" w:ascii="Times New Roman" w:hAnsi="Times New Roman" w:eastAsia="宋体" w:cs="宋体"/>
                      <w:b/>
                      <w:bCs/>
                      <w:caps w:val="0"/>
                      <w:color w:val="auto"/>
                      <w:kern w:val="0"/>
                      <w:sz w:val="21"/>
                      <w:szCs w:val="21"/>
                      <w:highlight w:val="none"/>
                    </w:rPr>
                    <w:t>序号</w:t>
                  </w:r>
                </w:p>
              </w:tc>
              <w:tc>
                <w:tcPr>
                  <w:tcW w:w="453" w:type="pct"/>
                  <w:tcBorders>
                    <w:tl2br w:val="nil"/>
                    <w:tr2bl w:val="nil"/>
                  </w:tcBorders>
                  <w:noWrap w:val="0"/>
                  <w:vAlign w:val="center"/>
                </w:tcPr>
                <w:p w14:paraId="6102255F">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auto"/>
                      <w:kern w:val="0"/>
                      <w:sz w:val="21"/>
                      <w:szCs w:val="21"/>
                      <w:highlight w:val="none"/>
                    </w:rPr>
                  </w:pPr>
                  <w:r>
                    <w:rPr>
                      <w:rFonts w:hint="default" w:ascii="Times New Roman" w:hAnsi="Times New Roman" w:eastAsia="宋体" w:cs="宋体"/>
                      <w:b/>
                      <w:bCs/>
                      <w:caps w:val="0"/>
                      <w:color w:val="auto"/>
                      <w:kern w:val="0"/>
                      <w:sz w:val="21"/>
                      <w:szCs w:val="21"/>
                      <w:highlight w:val="none"/>
                    </w:rPr>
                    <w:t>名称</w:t>
                  </w:r>
                </w:p>
              </w:tc>
              <w:tc>
                <w:tcPr>
                  <w:tcW w:w="433" w:type="pct"/>
                  <w:tcBorders>
                    <w:tl2br w:val="nil"/>
                    <w:tr2bl w:val="nil"/>
                  </w:tcBorders>
                  <w:noWrap w:val="0"/>
                  <w:vAlign w:val="center"/>
                </w:tcPr>
                <w:p w14:paraId="786BD9A0">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auto"/>
                      <w:kern w:val="0"/>
                      <w:sz w:val="21"/>
                      <w:szCs w:val="21"/>
                      <w:highlight w:val="none"/>
                    </w:rPr>
                  </w:pPr>
                  <w:r>
                    <w:rPr>
                      <w:rFonts w:hint="default" w:ascii="Times New Roman" w:hAnsi="Times New Roman" w:eastAsia="宋体" w:cs="宋体"/>
                      <w:b/>
                      <w:bCs/>
                      <w:caps w:val="0"/>
                      <w:color w:val="auto"/>
                      <w:kern w:val="0"/>
                      <w:sz w:val="21"/>
                      <w:szCs w:val="21"/>
                      <w:highlight w:val="none"/>
                    </w:rPr>
                    <w:t>相态</w:t>
                  </w:r>
                </w:p>
              </w:tc>
              <w:tc>
                <w:tcPr>
                  <w:tcW w:w="598" w:type="pct"/>
                  <w:tcBorders>
                    <w:tl2br w:val="nil"/>
                    <w:tr2bl w:val="nil"/>
                  </w:tcBorders>
                  <w:noWrap w:val="0"/>
                  <w:vAlign w:val="center"/>
                </w:tcPr>
                <w:p w14:paraId="076500B2">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auto"/>
                      <w:kern w:val="0"/>
                      <w:sz w:val="21"/>
                      <w:szCs w:val="21"/>
                      <w:highlight w:val="none"/>
                    </w:rPr>
                  </w:pPr>
                  <w:r>
                    <w:rPr>
                      <w:rFonts w:hint="default" w:ascii="Times New Roman" w:hAnsi="Times New Roman" w:eastAsia="宋体" w:cs="宋体"/>
                      <w:b/>
                      <w:bCs/>
                      <w:caps w:val="0"/>
                      <w:color w:val="auto"/>
                      <w:kern w:val="0"/>
                      <w:sz w:val="21"/>
                      <w:szCs w:val="21"/>
                      <w:highlight w:val="none"/>
                    </w:rPr>
                    <w:t>主要危险特性</w:t>
                  </w:r>
                </w:p>
              </w:tc>
              <w:tc>
                <w:tcPr>
                  <w:tcW w:w="528" w:type="pct"/>
                  <w:tcBorders>
                    <w:tl2br w:val="nil"/>
                    <w:tr2bl w:val="nil"/>
                  </w:tcBorders>
                  <w:noWrap w:val="0"/>
                  <w:vAlign w:val="center"/>
                </w:tcPr>
                <w:p w14:paraId="11EE8633">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auto"/>
                      <w:kern w:val="0"/>
                      <w:sz w:val="21"/>
                      <w:szCs w:val="21"/>
                      <w:highlight w:val="none"/>
                    </w:rPr>
                  </w:pPr>
                  <w:r>
                    <w:rPr>
                      <w:rFonts w:hint="default" w:ascii="Times New Roman" w:hAnsi="Times New Roman" w:eastAsia="宋体" w:cs="宋体"/>
                      <w:b/>
                      <w:bCs/>
                      <w:caps w:val="0"/>
                      <w:color w:val="auto"/>
                      <w:kern w:val="0"/>
                      <w:sz w:val="21"/>
                      <w:szCs w:val="21"/>
                      <w:highlight w:val="none"/>
                    </w:rPr>
                    <w:t>贮存地点</w:t>
                  </w:r>
                </w:p>
              </w:tc>
              <w:tc>
                <w:tcPr>
                  <w:tcW w:w="693" w:type="pct"/>
                  <w:tcBorders>
                    <w:tl2br w:val="nil"/>
                    <w:tr2bl w:val="nil"/>
                  </w:tcBorders>
                  <w:noWrap w:val="0"/>
                  <w:vAlign w:val="center"/>
                </w:tcPr>
                <w:p w14:paraId="6CE288EC">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auto"/>
                      <w:kern w:val="0"/>
                      <w:sz w:val="21"/>
                      <w:szCs w:val="21"/>
                      <w:highlight w:val="none"/>
                    </w:rPr>
                  </w:pPr>
                  <w:r>
                    <w:rPr>
                      <w:rFonts w:hint="default" w:ascii="Times New Roman" w:hAnsi="Times New Roman" w:eastAsia="宋体" w:cs="宋体"/>
                      <w:b/>
                      <w:bCs/>
                      <w:caps w:val="0"/>
                      <w:color w:val="auto"/>
                      <w:kern w:val="0"/>
                      <w:sz w:val="21"/>
                      <w:szCs w:val="21"/>
                      <w:highlight w:val="none"/>
                    </w:rPr>
                    <w:t>贮存规格及方式</w:t>
                  </w:r>
                </w:p>
              </w:tc>
              <w:tc>
                <w:tcPr>
                  <w:tcW w:w="589" w:type="pct"/>
                  <w:tcBorders>
                    <w:tl2br w:val="nil"/>
                    <w:tr2bl w:val="nil"/>
                  </w:tcBorders>
                  <w:noWrap w:val="0"/>
                  <w:vAlign w:val="center"/>
                </w:tcPr>
                <w:p w14:paraId="5BD231B6">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auto"/>
                      <w:kern w:val="0"/>
                      <w:sz w:val="21"/>
                      <w:szCs w:val="21"/>
                      <w:highlight w:val="none"/>
                    </w:rPr>
                  </w:pPr>
                  <w:r>
                    <w:rPr>
                      <w:rFonts w:hint="default" w:ascii="Times New Roman" w:hAnsi="Times New Roman" w:eastAsia="宋体" w:cs="宋体"/>
                      <w:b/>
                      <w:bCs/>
                      <w:caps w:val="0"/>
                      <w:color w:val="auto"/>
                      <w:kern w:val="0"/>
                      <w:sz w:val="21"/>
                      <w:szCs w:val="21"/>
                      <w:highlight w:val="none"/>
                    </w:rPr>
                    <w:t>贮存量（t）</w:t>
                  </w:r>
                </w:p>
              </w:tc>
              <w:tc>
                <w:tcPr>
                  <w:tcW w:w="572" w:type="pct"/>
                  <w:tcBorders>
                    <w:tl2br w:val="nil"/>
                    <w:tr2bl w:val="nil"/>
                  </w:tcBorders>
                  <w:noWrap w:val="0"/>
                  <w:vAlign w:val="center"/>
                </w:tcPr>
                <w:p w14:paraId="5E1699B0">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auto"/>
                      <w:kern w:val="0"/>
                      <w:sz w:val="21"/>
                      <w:szCs w:val="21"/>
                      <w:highlight w:val="none"/>
                    </w:rPr>
                  </w:pPr>
                  <w:r>
                    <w:rPr>
                      <w:rFonts w:hint="default" w:ascii="Times New Roman" w:hAnsi="Times New Roman" w:eastAsia="宋体" w:cs="宋体"/>
                      <w:b/>
                      <w:bCs/>
                      <w:caps w:val="0"/>
                      <w:color w:val="auto"/>
                      <w:sz w:val="21"/>
                      <w:szCs w:val="21"/>
                      <w:highlight w:val="none"/>
                    </w:rPr>
                    <w:t xml:space="preserve">临界量 </w:t>
                  </w:r>
                  <w:r>
                    <w:rPr>
                      <w:rFonts w:hint="default" w:ascii="Times New Roman" w:hAnsi="Times New Roman" w:eastAsia="宋体" w:cs="宋体"/>
                      <w:b/>
                      <w:bCs/>
                      <w:i/>
                      <w:iCs/>
                      <w:caps w:val="0"/>
                      <w:color w:val="auto"/>
                      <w:sz w:val="21"/>
                      <w:szCs w:val="21"/>
                      <w:highlight w:val="none"/>
                    </w:rPr>
                    <w:t>Qn /</w:t>
                  </w:r>
                  <w:r>
                    <w:rPr>
                      <w:rFonts w:hint="default" w:ascii="Times New Roman" w:hAnsi="Times New Roman" w:eastAsia="宋体" w:cs="宋体"/>
                      <w:b/>
                      <w:bCs/>
                      <w:caps w:val="0"/>
                      <w:color w:val="auto"/>
                      <w:sz w:val="21"/>
                      <w:szCs w:val="21"/>
                      <w:highlight w:val="none"/>
                    </w:rPr>
                    <w:t>t</w:t>
                  </w:r>
                </w:p>
              </w:tc>
              <w:tc>
                <w:tcPr>
                  <w:tcW w:w="857" w:type="pct"/>
                  <w:tcBorders>
                    <w:tl2br w:val="nil"/>
                    <w:tr2bl w:val="nil"/>
                  </w:tcBorders>
                  <w:noWrap w:val="0"/>
                  <w:vAlign w:val="center"/>
                </w:tcPr>
                <w:p w14:paraId="03AB4151">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auto"/>
                      <w:kern w:val="0"/>
                      <w:sz w:val="21"/>
                      <w:szCs w:val="21"/>
                      <w:highlight w:val="none"/>
                    </w:rPr>
                  </w:pPr>
                  <w:r>
                    <w:rPr>
                      <w:rFonts w:hint="default" w:ascii="Times New Roman" w:hAnsi="Times New Roman" w:eastAsia="宋体" w:cs="宋体"/>
                      <w:b/>
                      <w:bCs/>
                      <w:caps w:val="0"/>
                      <w:color w:val="auto"/>
                      <w:sz w:val="21"/>
                      <w:szCs w:val="21"/>
                      <w:highlight w:val="none"/>
                    </w:rPr>
                    <w:t xml:space="preserve">该种危险物质 </w:t>
                  </w:r>
                  <w:r>
                    <w:rPr>
                      <w:rFonts w:hint="default" w:ascii="Times New Roman" w:hAnsi="Times New Roman" w:eastAsia="宋体" w:cs="宋体"/>
                      <w:b/>
                      <w:bCs/>
                      <w:i/>
                      <w:iCs/>
                      <w:caps w:val="0"/>
                      <w:color w:val="auto"/>
                      <w:sz w:val="21"/>
                      <w:szCs w:val="21"/>
                      <w:highlight w:val="none"/>
                    </w:rPr>
                    <w:t>Q</w:t>
                  </w:r>
                  <w:r>
                    <w:rPr>
                      <w:rFonts w:hint="default" w:ascii="Times New Roman" w:hAnsi="Times New Roman" w:eastAsia="宋体" w:cs="宋体"/>
                      <w:b/>
                      <w:bCs/>
                      <w:caps w:val="0"/>
                      <w:color w:val="auto"/>
                      <w:sz w:val="21"/>
                      <w:szCs w:val="21"/>
                      <w:highlight w:val="none"/>
                    </w:rPr>
                    <w:t>值</w:t>
                  </w:r>
                </w:p>
              </w:tc>
            </w:tr>
            <w:tr w14:paraId="1243D2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3" w:type="pct"/>
                  <w:tcBorders>
                    <w:tl2br w:val="nil"/>
                    <w:tr2bl w:val="nil"/>
                  </w:tcBorders>
                  <w:noWrap w:val="0"/>
                  <w:vAlign w:val="center"/>
                </w:tcPr>
                <w:p w14:paraId="3E4F1B10">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auto"/>
                      <w:kern w:val="0"/>
                      <w:sz w:val="21"/>
                      <w:szCs w:val="21"/>
                      <w:highlight w:val="none"/>
                    </w:rPr>
                  </w:pPr>
                  <w:r>
                    <w:rPr>
                      <w:rFonts w:hint="default" w:ascii="Times New Roman" w:hAnsi="Times New Roman" w:eastAsia="宋体" w:cs="宋体"/>
                      <w:caps w:val="0"/>
                      <w:color w:val="auto"/>
                      <w:sz w:val="21"/>
                      <w:szCs w:val="21"/>
                      <w:highlight w:val="none"/>
                    </w:rPr>
                    <w:t>1</w:t>
                  </w:r>
                </w:p>
              </w:tc>
              <w:tc>
                <w:tcPr>
                  <w:tcW w:w="453" w:type="pct"/>
                  <w:tcBorders>
                    <w:tl2br w:val="nil"/>
                    <w:tr2bl w:val="nil"/>
                  </w:tcBorders>
                  <w:noWrap w:val="0"/>
                  <w:vAlign w:val="center"/>
                </w:tcPr>
                <w:p w14:paraId="31E2D94C">
                  <w:pPr>
                    <w:keepNext w:val="0"/>
                    <w:keepLines w:val="0"/>
                    <w:pageBreakBefore w:val="0"/>
                    <w:widowControl/>
                    <w:kinsoku/>
                    <w:overflowPunct/>
                    <w:topLinePunct w:val="0"/>
                    <w:autoSpaceDE/>
                    <w:autoSpaceDN/>
                    <w:bidi w:val="0"/>
                    <w:adjustRightInd w:val="0"/>
                    <w:snapToGrid w:val="0"/>
                    <w:spacing w:line="240" w:lineRule="auto"/>
                    <w:ind w:firstLine="0" w:firstLineChars="0"/>
                    <w:jc w:val="center"/>
                    <w:rPr>
                      <w:rFonts w:hint="eastAsia" w:ascii="Times New Roman" w:hAnsi="Times New Roman" w:eastAsia="宋体" w:cs="宋体"/>
                      <w:caps w:val="0"/>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rPr>
                    <w:t>废机油</w:t>
                  </w:r>
                </w:p>
              </w:tc>
              <w:tc>
                <w:tcPr>
                  <w:tcW w:w="433" w:type="pct"/>
                  <w:tcBorders>
                    <w:tl2br w:val="nil"/>
                    <w:tr2bl w:val="nil"/>
                  </w:tcBorders>
                  <w:noWrap w:val="0"/>
                  <w:vAlign w:val="center"/>
                </w:tcPr>
                <w:p w14:paraId="1200B705">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auto"/>
                      <w:kern w:val="0"/>
                      <w:sz w:val="21"/>
                      <w:szCs w:val="21"/>
                      <w:highlight w:val="none"/>
                      <w:lang w:val="en-US" w:eastAsia="zh-CN"/>
                    </w:rPr>
                  </w:pPr>
                  <w:r>
                    <w:rPr>
                      <w:rFonts w:hint="eastAsia" w:ascii="Times New Roman" w:hAnsi="Times New Roman" w:eastAsia="宋体" w:cs="宋体"/>
                      <w:caps w:val="0"/>
                      <w:color w:val="auto"/>
                      <w:kern w:val="0"/>
                      <w:sz w:val="21"/>
                      <w:szCs w:val="21"/>
                      <w:highlight w:val="none"/>
                      <w:lang w:val="en-US" w:eastAsia="zh-CN"/>
                    </w:rPr>
                    <w:t>液态</w:t>
                  </w:r>
                </w:p>
              </w:tc>
              <w:tc>
                <w:tcPr>
                  <w:tcW w:w="598" w:type="pct"/>
                  <w:tcBorders>
                    <w:tl2br w:val="nil"/>
                    <w:tr2bl w:val="nil"/>
                  </w:tcBorders>
                  <w:noWrap w:val="0"/>
                  <w:vAlign w:val="center"/>
                </w:tcPr>
                <w:p w14:paraId="3DE1048F">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auto"/>
                      <w:kern w:val="0"/>
                      <w:sz w:val="21"/>
                      <w:szCs w:val="21"/>
                      <w:highlight w:val="none"/>
                    </w:rPr>
                  </w:pPr>
                  <w:r>
                    <w:rPr>
                      <w:rFonts w:hint="default" w:ascii="Times New Roman" w:hAnsi="Times New Roman" w:eastAsia="宋体" w:cs="宋体"/>
                      <w:caps w:val="0"/>
                      <w:color w:val="auto"/>
                      <w:kern w:val="0"/>
                      <w:sz w:val="21"/>
                      <w:szCs w:val="21"/>
                      <w:highlight w:val="none"/>
                    </w:rPr>
                    <w:t>毒性</w:t>
                  </w:r>
                </w:p>
              </w:tc>
              <w:tc>
                <w:tcPr>
                  <w:tcW w:w="528" w:type="pct"/>
                  <w:tcBorders>
                    <w:tl2br w:val="nil"/>
                    <w:tr2bl w:val="nil"/>
                  </w:tcBorders>
                  <w:noWrap w:val="0"/>
                  <w:vAlign w:val="center"/>
                </w:tcPr>
                <w:p w14:paraId="4286C472">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auto"/>
                      <w:kern w:val="0"/>
                      <w:sz w:val="21"/>
                      <w:szCs w:val="21"/>
                      <w:highlight w:val="none"/>
                      <w:lang w:val="en-US" w:eastAsia="zh-CN"/>
                    </w:rPr>
                  </w:pPr>
                  <w:r>
                    <w:rPr>
                      <w:rFonts w:hint="eastAsia" w:ascii="Times New Roman" w:hAnsi="Times New Roman" w:cs="宋体"/>
                      <w:caps w:val="0"/>
                      <w:color w:val="auto"/>
                      <w:sz w:val="21"/>
                      <w:szCs w:val="21"/>
                      <w:highlight w:val="none"/>
                      <w:lang w:val="en-US" w:eastAsia="zh-CN"/>
                    </w:rPr>
                    <w:t>202仓库</w:t>
                  </w:r>
                </w:p>
              </w:tc>
              <w:tc>
                <w:tcPr>
                  <w:tcW w:w="693" w:type="pct"/>
                  <w:tcBorders>
                    <w:tl2br w:val="nil"/>
                    <w:tr2bl w:val="nil"/>
                  </w:tcBorders>
                  <w:noWrap w:val="0"/>
                  <w:vAlign w:val="center"/>
                </w:tcPr>
                <w:p w14:paraId="6344FCDB">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b/>
                      <w:bCs/>
                      <w:caps w:val="0"/>
                      <w:color w:val="auto"/>
                      <w:kern w:val="0"/>
                      <w:sz w:val="21"/>
                      <w:szCs w:val="21"/>
                      <w:highlight w:val="none"/>
                      <w:lang w:val="en-US" w:eastAsia="zh-CN"/>
                    </w:rPr>
                  </w:pPr>
                  <w:r>
                    <w:rPr>
                      <w:rFonts w:hint="eastAsia" w:ascii="Times New Roman" w:hAnsi="Times New Roman" w:eastAsia="宋体" w:cs="宋体"/>
                      <w:caps w:val="0"/>
                      <w:color w:val="auto"/>
                      <w:sz w:val="21"/>
                      <w:szCs w:val="21"/>
                      <w:highlight w:val="none"/>
                      <w:lang w:val="en-US" w:eastAsia="zh-CN"/>
                    </w:rPr>
                    <w:t>200L储存桶</w:t>
                  </w:r>
                </w:p>
              </w:tc>
              <w:tc>
                <w:tcPr>
                  <w:tcW w:w="589" w:type="pct"/>
                  <w:tcBorders>
                    <w:tl2br w:val="nil"/>
                    <w:tr2bl w:val="nil"/>
                  </w:tcBorders>
                  <w:noWrap w:val="0"/>
                  <w:vAlign w:val="center"/>
                </w:tcPr>
                <w:p w14:paraId="08C2DE55">
                  <w:pPr>
                    <w:keepNext w:val="0"/>
                    <w:keepLines w:val="0"/>
                    <w:pageBreakBefore w:val="0"/>
                    <w:kinsoku/>
                    <w:wordWrap w:val="0"/>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auto"/>
                      <w:kern w:val="0"/>
                      <w:sz w:val="21"/>
                      <w:szCs w:val="21"/>
                      <w:highlight w:val="none"/>
                      <w:lang w:val="en-US" w:eastAsia="zh-CN"/>
                    </w:rPr>
                  </w:pPr>
                  <w:r>
                    <w:rPr>
                      <w:rFonts w:hint="eastAsia" w:ascii="Times New Roman" w:hAnsi="Times New Roman" w:eastAsia="宋体" w:cs="宋体"/>
                      <w:caps w:val="0"/>
                      <w:color w:val="auto"/>
                      <w:kern w:val="0"/>
                      <w:sz w:val="21"/>
                      <w:szCs w:val="21"/>
                      <w:highlight w:val="none"/>
                      <w:lang w:val="en-US" w:eastAsia="zh-CN"/>
                    </w:rPr>
                    <w:t>0.01</w:t>
                  </w:r>
                </w:p>
              </w:tc>
              <w:tc>
                <w:tcPr>
                  <w:tcW w:w="572" w:type="pct"/>
                  <w:tcBorders>
                    <w:tl2br w:val="nil"/>
                    <w:tr2bl w:val="nil"/>
                  </w:tcBorders>
                  <w:noWrap w:val="0"/>
                  <w:vAlign w:val="center"/>
                </w:tcPr>
                <w:p w14:paraId="1BEF38D0">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auto"/>
                      <w:kern w:val="0"/>
                      <w:sz w:val="21"/>
                      <w:szCs w:val="21"/>
                      <w:highlight w:val="none"/>
                      <w:lang w:val="en-US"/>
                    </w:rPr>
                  </w:pPr>
                  <w:r>
                    <w:rPr>
                      <w:rFonts w:hint="eastAsia" w:ascii="Times New Roman" w:hAnsi="Times New Roman" w:eastAsia="宋体" w:cs="Times New Roman"/>
                      <w:color w:val="auto"/>
                      <w:kern w:val="0"/>
                      <w:sz w:val="21"/>
                      <w:szCs w:val="21"/>
                      <w:highlight w:val="none"/>
                      <w:lang w:val="en-US" w:eastAsia="zh-CN"/>
                    </w:rPr>
                    <w:t>2500</w:t>
                  </w:r>
                </w:p>
              </w:tc>
              <w:tc>
                <w:tcPr>
                  <w:tcW w:w="857" w:type="pct"/>
                  <w:tcBorders>
                    <w:tl2br w:val="nil"/>
                    <w:tr2bl w:val="nil"/>
                  </w:tcBorders>
                  <w:noWrap w:val="0"/>
                  <w:vAlign w:val="center"/>
                </w:tcPr>
                <w:p w14:paraId="625BFF5F">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0.000004</w:t>
                  </w:r>
                </w:p>
              </w:tc>
            </w:tr>
            <w:tr w14:paraId="19A867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142" w:type="pct"/>
                  <w:gridSpan w:val="8"/>
                  <w:tcBorders>
                    <w:tl2br w:val="nil"/>
                    <w:tr2bl w:val="nil"/>
                  </w:tcBorders>
                  <w:noWrap w:val="0"/>
                  <w:vAlign w:val="center"/>
                </w:tcPr>
                <w:p w14:paraId="7A505F86">
                  <w:pPr>
                    <w:keepNext w:val="0"/>
                    <w:keepLines w:val="0"/>
                    <w:pageBreakBefore w:val="0"/>
                    <w:kinsoku/>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宋体"/>
                      <w:caps w:val="0"/>
                      <w:color w:val="auto"/>
                      <w:sz w:val="21"/>
                      <w:szCs w:val="21"/>
                      <w:highlight w:val="none"/>
                    </w:rPr>
                  </w:pPr>
                  <w:r>
                    <w:rPr>
                      <w:rFonts w:hint="default" w:ascii="Times New Roman" w:hAnsi="Times New Roman" w:eastAsia="宋体" w:cs="宋体"/>
                      <w:caps w:val="0"/>
                      <w:color w:val="auto"/>
                      <w:kern w:val="0"/>
                      <w:sz w:val="21"/>
                      <w:szCs w:val="21"/>
                      <w:highlight w:val="none"/>
                    </w:rPr>
                    <w:t>项目Q值Σ</w:t>
                  </w:r>
                </w:p>
              </w:tc>
              <w:tc>
                <w:tcPr>
                  <w:tcW w:w="857" w:type="pct"/>
                  <w:tcBorders>
                    <w:tl2br w:val="nil"/>
                    <w:tr2bl w:val="nil"/>
                  </w:tcBorders>
                  <w:noWrap w:val="0"/>
                  <w:vAlign w:val="center"/>
                </w:tcPr>
                <w:p w14:paraId="4B6E9B67">
                  <w:pPr>
                    <w:keepNext w:val="0"/>
                    <w:keepLines w:val="0"/>
                    <w:pageBreakBefore w:val="0"/>
                    <w:widowControl/>
                    <w:suppressLineNumbers w:val="0"/>
                    <w:kinsoku/>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宋体"/>
                      <w:i w:val="0"/>
                      <w:iCs w:val="0"/>
                      <w:caps w:val="0"/>
                      <w:color w:val="auto"/>
                      <w:kern w:val="2"/>
                      <w:sz w:val="22"/>
                      <w:szCs w:val="22"/>
                      <w:highlight w:val="none"/>
                      <w:u w:val="none"/>
                      <w:lang w:val="en-US" w:eastAsia="zh-CN" w:bidi="ar-SA"/>
                    </w:rPr>
                  </w:pPr>
                  <w:r>
                    <w:rPr>
                      <w:rFonts w:hint="eastAsia" w:ascii="Times New Roman" w:hAnsi="Times New Roman" w:eastAsia="宋体" w:cs="宋体"/>
                      <w:caps w:val="0"/>
                      <w:color w:val="auto"/>
                      <w:kern w:val="0"/>
                      <w:sz w:val="21"/>
                      <w:szCs w:val="21"/>
                      <w:highlight w:val="none"/>
                      <w:lang w:val="en-US" w:eastAsia="zh-CN"/>
                    </w:rPr>
                    <w:t>0.000004</w:t>
                  </w:r>
                </w:p>
              </w:tc>
            </w:tr>
          </w:tbl>
          <w:p w14:paraId="26148D8C">
            <w:pPr>
              <w:adjustRightInd w:val="0"/>
              <w:snapToGrid w:val="0"/>
              <w:spacing w:before="120" w:beforeLines="50" w:line="360" w:lineRule="auto"/>
              <w:ind w:firstLine="480" w:firstLineChars="200"/>
              <w:rPr>
                <w:rFonts w:hint="default" w:ascii="Times New Roman" w:hAnsi="Times New Roman" w:eastAsia="宋体" w:cs="宋体"/>
                <w:caps w:val="0"/>
                <w:color w:val="auto"/>
                <w:kern w:val="0"/>
                <w:sz w:val="24"/>
                <w:highlight w:val="none"/>
              </w:rPr>
            </w:pPr>
            <w:r>
              <w:rPr>
                <w:rFonts w:hint="default" w:ascii="Times New Roman" w:hAnsi="Times New Roman" w:eastAsia="宋体" w:cs="宋体"/>
                <w:caps w:val="0"/>
                <w:color w:val="auto"/>
                <w:kern w:val="0"/>
                <w:sz w:val="24"/>
                <w:highlight w:val="none"/>
              </w:rPr>
              <w:t>由上表可知，本项目Q＜1，项目环境风险潜势为I，对照《建设项目环境风险评价技术导则》（HJ 169-2018），项目进行简单分析。</w:t>
            </w:r>
          </w:p>
          <w:p w14:paraId="69CC772A">
            <w:pPr>
              <w:widowControl/>
              <w:shd w:val="clear"/>
              <w:spacing w:line="360" w:lineRule="auto"/>
              <w:jc w:val="left"/>
              <w:rPr>
                <w:rFonts w:hint="eastAsia" w:ascii="宋体" w:hAnsi="宋体" w:eastAsia="宋体" w:cs="宋体"/>
                <w:b/>
                <w:color w:val="auto"/>
                <w:spacing w:val="0"/>
                <w:kern w:val="0"/>
                <w:sz w:val="24"/>
                <w:highlight w:val="none"/>
                <w:lang w:bidi="ar"/>
              </w:rPr>
            </w:pPr>
            <w:r>
              <w:rPr>
                <w:rFonts w:hint="eastAsia" w:ascii="宋体" w:hAnsi="宋体" w:eastAsia="宋体" w:cs="宋体"/>
                <w:b/>
                <w:color w:val="auto"/>
                <w:spacing w:val="0"/>
                <w:kern w:val="0"/>
                <w:sz w:val="24"/>
                <w:highlight w:val="none"/>
                <w:lang w:val="en-US" w:eastAsia="zh-CN" w:bidi="ar"/>
              </w:rPr>
              <w:t>6.2</w:t>
            </w:r>
            <w:r>
              <w:rPr>
                <w:rFonts w:hint="eastAsia" w:ascii="宋体" w:hAnsi="宋体" w:eastAsia="宋体" w:cs="宋体"/>
                <w:b/>
                <w:color w:val="auto"/>
                <w:spacing w:val="0"/>
                <w:kern w:val="0"/>
                <w:sz w:val="24"/>
                <w:highlight w:val="none"/>
                <w:lang w:bidi="ar"/>
              </w:rPr>
              <w:t>环境风险因素分析及可能影响途径</w:t>
            </w:r>
          </w:p>
          <w:p w14:paraId="2AF9AD9C">
            <w:pPr>
              <w:shd w:val="clear"/>
              <w:spacing w:line="360" w:lineRule="auto"/>
              <w:ind w:firstLine="480" w:firstLineChars="200"/>
              <w:rPr>
                <w:rFonts w:hint="eastAsia" w:ascii="宋体" w:hAnsi="宋体" w:eastAsia="宋体" w:cs="宋体"/>
                <w:color w:val="auto"/>
                <w:spacing w:val="0"/>
                <w:kern w:val="0"/>
                <w:sz w:val="24"/>
                <w:szCs w:val="24"/>
                <w:highlight w:val="none"/>
              </w:rPr>
            </w:pPr>
            <w:r>
              <w:rPr>
                <w:rFonts w:hint="eastAsia" w:ascii="宋体" w:hAnsi="宋体" w:eastAsia="宋体" w:cs="宋体"/>
                <w:color w:val="auto"/>
                <w:spacing w:val="0"/>
                <w:kern w:val="0"/>
                <w:sz w:val="24"/>
                <w:szCs w:val="24"/>
                <w:highlight w:val="none"/>
                <w:lang w:val="en-US" w:eastAsia="zh-CN"/>
              </w:rPr>
              <w:t>根据对环境风险物质的筛选、对生产和储存系统的分析，确定本项目的风险单元主要为</w:t>
            </w:r>
            <w:r>
              <w:rPr>
                <w:rFonts w:hint="eastAsia" w:cs="宋体"/>
                <w:color w:val="auto"/>
                <w:spacing w:val="0"/>
                <w:kern w:val="0"/>
                <w:sz w:val="24"/>
                <w:szCs w:val="24"/>
                <w:highlight w:val="none"/>
                <w:lang w:val="en-US" w:eastAsia="zh-CN"/>
              </w:rPr>
              <w:t>危废贮存库</w:t>
            </w:r>
            <w:r>
              <w:rPr>
                <w:rFonts w:hint="eastAsia" w:ascii="宋体" w:hAnsi="宋体" w:eastAsia="宋体" w:cs="宋体"/>
                <w:color w:val="auto"/>
                <w:spacing w:val="0"/>
                <w:kern w:val="0"/>
                <w:sz w:val="24"/>
                <w:szCs w:val="24"/>
                <w:highlight w:val="none"/>
                <w:lang w:val="en-US" w:eastAsia="zh-CN"/>
              </w:rPr>
              <w:t>。</w:t>
            </w:r>
          </w:p>
          <w:p w14:paraId="41BC3060">
            <w:pPr>
              <w:keepNext w:val="0"/>
              <w:keepLines w:val="0"/>
              <w:pageBreakBefore w:val="0"/>
              <w:widowControl w:val="0"/>
              <w:shd w:val="clea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宋体" w:hAnsi="宋体" w:eastAsia="宋体" w:cs="宋体"/>
                <w:b/>
                <w:bCs/>
                <w:color w:val="auto"/>
                <w:spacing w:val="0"/>
                <w:kern w:val="0"/>
                <w:sz w:val="21"/>
                <w:szCs w:val="21"/>
                <w:highlight w:val="none"/>
              </w:rPr>
            </w:pPr>
            <w:r>
              <w:rPr>
                <w:rFonts w:hint="eastAsia" w:ascii="宋体" w:hAnsi="宋体" w:eastAsia="宋体" w:cs="宋体"/>
                <w:b/>
                <w:bCs/>
                <w:color w:val="auto"/>
                <w:spacing w:val="0"/>
                <w:kern w:val="0"/>
                <w:sz w:val="21"/>
                <w:szCs w:val="21"/>
                <w:highlight w:val="none"/>
              </w:rPr>
              <w:t>表</w:t>
            </w:r>
            <w:r>
              <w:rPr>
                <w:rFonts w:hint="default" w:ascii="Times New Roman" w:hAnsi="Times New Roman" w:eastAsia="宋体" w:cs="Times New Roman"/>
                <w:b/>
                <w:bCs/>
                <w:color w:val="auto"/>
                <w:spacing w:val="0"/>
                <w:kern w:val="0"/>
                <w:sz w:val="21"/>
                <w:szCs w:val="21"/>
                <w:highlight w:val="none"/>
              </w:rPr>
              <w:t>4-</w:t>
            </w:r>
            <w:r>
              <w:rPr>
                <w:rFonts w:hint="eastAsia" w:ascii="Times New Roman" w:hAnsi="Times New Roman" w:cs="Times New Roman"/>
                <w:b/>
                <w:bCs/>
                <w:color w:val="auto"/>
                <w:spacing w:val="0"/>
                <w:kern w:val="0"/>
                <w:sz w:val="21"/>
                <w:szCs w:val="21"/>
                <w:highlight w:val="none"/>
                <w:lang w:val="en-US" w:eastAsia="zh-CN"/>
              </w:rPr>
              <w:t>13</w:t>
            </w:r>
            <w:r>
              <w:rPr>
                <w:rFonts w:hint="eastAsia" w:ascii="宋体" w:hAnsi="宋体" w:eastAsia="宋体" w:cs="宋体"/>
                <w:b/>
                <w:bCs/>
                <w:color w:val="auto"/>
                <w:spacing w:val="0"/>
                <w:kern w:val="0"/>
                <w:sz w:val="21"/>
                <w:szCs w:val="21"/>
                <w:highlight w:val="none"/>
              </w:rPr>
              <w:t>危险物质影响途径一览表</w:t>
            </w:r>
          </w:p>
          <w:tbl>
            <w:tblPr>
              <w:tblStyle w:val="37"/>
              <w:tblW w:w="495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1334"/>
              <w:gridCol w:w="1092"/>
              <w:gridCol w:w="1524"/>
              <w:gridCol w:w="2281"/>
              <w:gridCol w:w="1216"/>
            </w:tblGrid>
            <w:tr w14:paraId="1AC3C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41" w:type="pct"/>
                  <w:tcBorders>
                    <w:top w:val="single" w:color="auto" w:sz="12" w:space="0"/>
                    <w:left w:val="nil"/>
                  </w:tcBorders>
                  <w:noWrap w:val="0"/>
                  <w:vAlign w:val="center"/>
                </w:tcPr>
                <w:p w14:paraId="1CE4A0D0">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2"/>
                      <w:sz w:val="21"/>
                      <w:szCs w:val="21"/>
                      <w:highlight w:val="none"/>
                      <w:lang w:val="en-US" w:eastAsia="zh-CN" w:bidi="ar-SA"/>
                    </w:rPr>
                  </w:pPr>
                  <w:r>
                    <w:rPr>
                      <w:rFonts w:hint="eastAsia" w:ascii="宋体" w:hAnsi="宋体" w:eastAsia="宋体" w:cs="宋体"/>
                      <w:b/>
                      <w:bCs/>
                      <w:color w:val="auto"/>
                      <w:spacing w:val="0"/>
                      <w:sz w:val="21"/>
                      <w:szCs w:val="21"/>
                      <w:highlight w:val="none"/>
                    </w:rPr>
                    <w:t>序号</w:t>
                  </w:r>
                </w:p>
              </w:tc>
              <w:tc>
                <w:tcPr>
                  <w:tcW w:w="834" w:type="pct"/>
                  <w:tcBorders>
                    <w:top w:val="single" w:color="auto" w:sz="12" w:space="0"/>
                  </w:tcBorders>
                  <w:noWrap w:val="0"/>
                  <w:vAlign w:val="center"/>
                </w:tcPr>
                <w:p w14:paraId="3E9CE380">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2"/>
                      <w:sz w:val="21"/>
                      <w:szCs w:val="21"/>
                      <w:highlight w:val="none"/>
                      <w:lang w:val="en-US" w:eastAsia="zh-CN" w:bidi="ar-SA"/>
                    </w:rPr>
                  </w:pPr>
                  <w:r>
                    <w:rPr>
                      <w:rFonts w:hint="eastAsia" w:ascii="宋体" w:hAnsi="宋体" w:eastAsia="宋体" w:cs="宋体"/>
                      <w:b/>
                      <w:bCs/>
                      <w:color w:val="auto"/>
                      <w:spacing w:val="0"/>
                      <w:sz w:val="21"/>
                      <w:szCs w:val="21"/>
                      <w:highlight w:val="none"/>
                    </w:rPr>
                    <w:t>危险单元</w:t>
                  </w:r>
                </w:p>
              </w:tc>
              <w:tc>
                <w:tcPr>
                  <w:tcW w:w="683" w:type="pct"/>
                  <w:tcBorders>
                    <w:top w:val="single" w:color="auto" w:sz="12" w:space="0"/>
                  </w:tcBorders>
                  <w:noWrap w:val="0"/>
                  <w:vAlign w:val="center"/>
                </w:tcPr>
                <w:p w14:paraId="5E42BEAA">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2"/>
                      <w:sz w:val="21"/>
                      <w:szCs w:val="21"/>
                      <w:highlight w:val="none"/>
                      <w:lang w:val="en-US" w:eastAsia="zh-CN" w:bidi="ar-SA"/>
                    </w:rPr>
                  </w:pPr>
                  <w:r>
                    <w:rPr>
                      <w:rFonts w:hint="eastAsia" w:ascii="宋体" w:hAnsi="宋体" w:eastAsia="宋体" w:cs="宋体"/>
                      <w:b/>
                      <w:bCs/>
                      <w:color w:val="auto"/>
                      <w:spacing w:val="0"/>
                      <w:sz w:val="21"/>
                      <w:szCs w:val="21"/>
                      <w:highlight w:val="none"/>
                    </w:rPr>
                    <w:t>风险源</w:t>
                  </w:r>
                </w:p>
              </w:tc>
              <w:tc>
                <w:tcPr>
                  <w:tcW w:w="953" w:type="pct"/>
                  <w:tcBorders>
                    <w:top w:val="single" w:color="auto" w:sz="12" w:space="0"/>
                  </w:tcBorders>
                  <w:noWrap w:val="0"/>
                  <w:vAlign w:val="center"/>
                </w:tcPr>
                <w:p w14:paraId="3379F48A">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2"/>
                      <w:sz w:val="21"/>
                      <w:szCs w:val="21"/>
                      <w:highlight w:val="none"/>
                      <w:lang w:val="en-US" w:eastAsia="zh-CN" w:bidi="ar-SA"/>
                    </w:rPr>
                  </w:pPr>
                  <w:r>
                    <w:rPr>
                      <w:rFonts w:hint="eastAsia" w:ascii="宋体" w:hAnsi="宋体" w:eastAsia="宋体" w:cs="宋体"/>
                      <w:b/>
                      <w:bCs/>
                      <w:color w:val="auto"/>
                      <w:spacing w:val="0"/>
                      <w:sz w:val="21"/>
                      <w:szCs w:val="21"/>
                      <w:highlight w:val="none"/>
                    </w:rPr>
                    <w:t>主要危险物质</w:t>
                  </w:r>
                </w:p>
              </w:tc>
              <w:tc>
                <w:tcPr>
                  <w:tcW w:w="1426" w:type="pct"/>
                  <w:tcBorders>
                    <w:top w:val="single" w:color="auto" w:sz="12" w:space="0"/>
                  </w:tcBorders>
                  <w:noWrap w:val="0"/>
                  <w:vAlign w:val="center"/>
                </w:tcPr>
                <w:p w14:paraId="190A0342">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2"/>
                      <w:sz w:val="21"/>
                      <w:szCs w:val="21"/>
                      <w:highlight w:val="none"/>
                      <w:lang w:val="en-US" w:eastAsia="zh-CN" w:bidi="ar-SA"/>
                    </w:rPr>
                  </w:pPr>
                  <w:r>
                    <w:rPr>
                      <w:rFonts w:hint="eastAsia" w:ascii="宋体" w:hAnsi="宋体" w:eastAsia="宋体" w:cs="宋体"/>
                      <w:b/>
                      <w:bCs/>
                      <w:color w:val="auto"/>
                      <w:spacing w:val="0"/>
                      <w:sz w:val="21"/>
                      <w:szCs w:val="21"/>
                      <w:highlight w:val="none"/>
                    </w:rPr>
                    <w:t>环境风险类型</w:t>
                  </w:r>
                </w:p>
              </w:tc>
              <w:tc>
                <w:tcPr>
                  <w:tcW w:w="760" w:type="pct"/>
                  <w:tcBorders>
                    <w:top w:val="single" w:color="auto" w:sz="12" w:space="0"/>
                    <w:right w:val="nil"/>
                  </w:tcBorders>
                  <w:noWrap w:val="0"/>
                  <w:vAlign w:val="center"/>
                </w:tcPr>
                <w:p w14:paraId="694E9DDF">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2"/>
                      <w:sz w:val="21"/>
                      <w:szCs w:val="21"/>
                      <w:highlight w:val="none"/>
                      <w:lang w:val="en-US" w:eastAsia="zh-CN" w:bidi="ar-SA"/>
                    </w:rPr>
                  </w:pPr>
                  <w:r>
                    <w:rPr>
                      <w:rFonts w:hint="eastAsia" w:ascii="宋体" w:hAnsi="宋体" w:eastAsia="宋体" w:cs="宋体"/>
                      <w:b/>
                      <w:bCs/>
                      <w:color w:val="auto"/>
                      <w:spacing w:val="0"/>
                      <w:sz w:val="21"/>
                      <w:szCs w:val="21"/>
                      <w:highlight w:val="none"/>
                    </w:rPr>
                    <w:t>环境影响途径</w:t>
                  </w:r>
                </w:p>
              </w:tc>
            </w:tr>
            <w:tr w14:paraId="0B0E5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341" w:type="pct"/>
                  <w:tcBorders>
                    <w:left w:val="nil"/>
                  </w:tcBorders>
                  <w:noWrap w:val="0"/>
                  <w:vAlign w:val="center"/>
                </w:tcPr>
                <w:p w14:paraId="069545E1">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sz w:val="21"/>
                      <w:szCs w:val="21"/>
                      <w:highlight w:val="none"/>
                    </w:rPr>
                    <w:t>1</w:t>
                  </w:r>
                </w:p>
              </w:tc>
              <w:tc>
                <w:tcPr>
                  <w:tcW w:w="834" w:type="pct"/>
                  <w:noWrap w:val="0"/>
                  <w:vAlign w:val="center"/>
                </w:tcPr>
                <w:p w14:paraId="5DA933F6">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危废贮存库</w:t>
                  </w:r>
                </w:p>
              </w:tc>
              <w:tc>
                <w:tcPr>
                  <w:tcW w:w="683" w:type="pct"/>
                  <w:noWrap w:val="0"/>
                  <w:vAlign w:val="center"/>
                </w:tcPr>
                <w:p w14:paraId="60641CEC">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废机油</w:t>
                  </w:r>
                </w:p>
              </w:tc>
              <w:tc>
                <w:tcPr>
                  <w:tcW w:w="953" w:type="pct"/>
                  <w:noWrap w:val="0"/>
                  <w:vAlign w:val="center"/>
                </w:tcPr>
                <w:p w14:paraId="69F5830B">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sz w:val="21"/>
                      <w:szCs w:val="21"/>
                      <w:highlight w:val="none"/>
                      <w:lang w:val="en-US" w:eastAsia="zh-CN"/>
                    </w:rPr>
                  </w:pPr>
                  <w:r>
                    <w:rPr>
                      <w:rFonts w:hint="eastAsia" w:cs="宋体"/>
                      <w:color w:val="auto"/>
                      <w:spacing w:val="0"/>
                      <w:sz w:val="21"/>
                      <w:szCs w:val="21"/>
                      <w:highlight w:val="none"/>
                      <w:lang w:val="en-US" w:eastAsia="zh-CN"/>
                    </w:rPr>
                    <w:t>废矿物油</w:t>
                  </w:r>
                </w:p>
              </w:tc>
              <w:tc>
                <w:tcPr>
                  <w:tcW w:w="1426" w:type="pct"/>
                  <w:noWrap w:val="0"/>
                  <w:vAlign w:val="center"/>
                </w:tcPr>
                <w:p w14:paraId="260066AF">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rPr>
                  </w:pPr>
                  <w:r>
                    <w:rPr>
                      <w:rFonts w:hint="eastAsia" w:ascii="宋体" w:hAnsi="宋体" w:eastAsia="宋体" w:cs="宋体"/>
                      <w:color w:val="auto"/>
                      <w:spacing w:val="0"/>
                      <w:kern w:val="0"/>
                      <w:sz w:val="21"/>
                      <w:szCs w:val="21"/>
                      <w:highlight w:val="none"/>
                    </w:rPr>
                    <w:t>泄漏，火灾等引发的伴生/次生污染物排放</w:t>
                  </w:r>
                </w:p>
              </w:tc>
              <w:tc>
                <w:tcPr>
                  <w:tcW w:w="760" w:type="pct"/>
                  <w:tcBorders>
                    <w:right w:val="nil"/>
                  </w:tcBorders>
                  <w:noWrap w:val="0"/>
                  <w:vAlign w:val="center"/>
                </w:tcPr>
                <w:p w14:paraId="625124B5">
                  <w:pPr>
                    <w:keepNext w:val="0"/>
                    <w:keepLines w:val="0"/>
                    <w:pageBreakBefore w:val="0"/>
                    <w:widowControl w:val="0"/>
                    <w:shd w:val="clear"/>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1"/>
                      <w:szCs w:val="21"/>
                      <w:highlight w:val="none"/>
                      <w:lang w:eastAsia="zh-CN"/>
                    </w:rPr>
                  </w:pPr>
                  <w:r>
                    <w:rPr>
                      <w:rFonts w:hint="eastAsia" w:ascii="宋体" w:hAnsi="宋体" w:eastAsia="宋体" w:cs="宋体"/>
                      <w:color w:val="auto"/>
                      <w:spacing w:val="0"/>
                      <w:sz w:val="21"/>
                      <w:szCs w:val="21"/>
                      <w:highlight w:val="none"/>
                    </w:rPr>
                    <w:t>地表水、大气</w:t>
                  </w:r>
                </w:p>
              </w:tc>
            </w:tr>
          </w:tbl>
          <w:p w14:paraId="5CF0B5B8">
            <w:pPr>
              <w:shd w:val="clear"/>
              <w:spacing w:line="360" w:lineRule="auto"/>
              <w:rPr>
                <w:rFonts w:hint="eastAsia" w:ascii="宋体" w:hAnsi="宋体" w:eastAsia="宋体" w:cs="宋体"/>
                <w:b/>
                <w:bCs/>
                <w:color w:val="auto"/>
                <w:spacing w:val="0"/>
                <w:sz w:val="24"/>
                <w:highlight w:val="none"/>
              </w:rPr>
            </w:pPr>
            <w:r>
              <w:rPr>
                <w:rFonts w:hint="eastAsia" w:ascii="宋体" w:hAnsi="宋体" w:eastAsia="宋体" w:cs="宋体"/>
                <w:b/>
                <w:bCs/>
                <w:color w:val="auto"/>
                <w:spacing w:val="0"/>
                <w:sz w:val="24"/>
                <w:highlight w:val="none"/>
                <w:lang w:val="en-US" w:eastAsia="zh-CN"/>
              </w:rPr>
              <w:t>6.3</w:t>
            </w:r>
            <w:r>
              <w:rPr>
                <w:rFonts w:hint="eastAsia" w:ascii="宋体" w:hAnsi="宋体" w:eastAsia="宋体" w:cs="宋体"/>
                <w:b/>
                <w:bCs/>
                <w:color w:val="auto"/>
                <w:spacing w:val="0"/>
                <w:sz w:val="24"/>
                <w:highlight w:val="none"/>
              </w:rPr>
              <w:t>环境风险防范措施</w:t>
            </w:r>
          </w:p>
          <w:p w14:paraId="01262A48">
            <w:pPr>
              <w:shd w:val="clear"/>
              <w:spacing w:line="360" w:lineRule="auto"/>
              <w:ind w:firstLine="360" w:firstLineChars="150"/>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（1）环境风险防范</w:t>
            </w:r>
            <w:r>
              <w:rPr>
                <w:rFonts w:hint="eastAsia" w:cs="宋体"/>
                <w:color w:val="auto"/>
                <w:spacing w:val="0"/>
                <w:sz w:val="24"/>
                <w:highlight w:val="none"/>
                <w:lang w:val="en-US" w:eastAsia="zh-CN"/>
              </w:rPr>
              <w:t>及应急</w:t>
            </w:r>
            <w:r>
              <w:rPr>
                <w:rFonts w:hint="eastAsia" w:ascii="宋体" w:hAnsi="宋体" w:eastAsia="宋体" w:cs="宋体"/>
                <w:color w:val="auto"/>
                <w:spacing w:val="0"/>
                <w:sz w:val="24"/>
                <w:highlight w:val="none"/>
              </w:rPr>
              <w:t>措施</w:t>
            </w:r>
          </w:p>
          <w:p w14:paraId="4AE96398">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①</w:t>
            </w:r>
            <w:r>
              <w:rPr>
                <w:rFonts w:hint="eastAsia" w:ascii="宋体" w:hAnsi="宋体" w:eastAsia="宋体" w:cs="宋体"/>
                <w:color w:val="auto"/>
                <w:spacing w:val="0"/>
                <w:sz w:val="24"/>
                <w:highlight w:val="none"/>
                <w:lang w:eastAsia="zh-CN"/>
              </w:rPr>
              <w:t>危险废物贮存库</w:t>
            </w:r>
            <w:r>
              <w:rPr>
                <w:rFonts w:hint="eastAsia" w:ascii="宋体" w:hAnsi="宋体" w:eastAsia="宋体" w:cs="宋体"/>
                <w:color w:val="auto"/>
                <w:spacing w:val="0"/>
                <w:sz w:val="24"/>
                <w:highlight w:val="none"/>
              </w:rPr>
              <w:t>地面及裙角做耐腐蚀硬化、防渗漏处理，且表面无缝隙，所使用的材料要与危险废物相容；危险废物应储存于密闭容器中，并在容器外表设置环境保护图形标志和警示标志；危险废物应选择防腐、防漏、防磕碰、密封严格的容器进行贮存和运输，储存于阴凉、通风良好的</w:t>
            </w:r>
            <w:r>
              <w:rPr>
                <w:rFonts w:hint="eastAsia" w:ascii="宋体" w:hAnsi="宋体" w:eastAsia="宋体" w:cs="宋体"/>
                <w:color w:val="auto"/>
                <w:spacing w:val="0"/>
                <w:sz w:val="24"/>
                <w:highlight w:val="none"/>
                <w:lang w:val="en-US" w:eastAsia="zh-CN"/>
              </w:rPr>
              <w:t>危险废物贮存库</w:t>
            </w:r>
            <w:r>
              <w:rPr>
                <w:rFonts w:hint="eastAsia" w:ascii="宋体" w:hAnsi="宋体" w:eastAsia="宋体" w:cs="宋体"/>
                <w:color w:val="auto"/>
                <w:spacing w:val="0"/>
                <w:sz w:val="24"/>
                <w:highlight w:val="none"/>
              </w:rPr>
              <w:t>，远离火种、热源，应有专门人员看管。</w:t>
            </w:r>
          </w:p>
          <w:p w14:paraId="417702FA">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②加强对设备的维修管理，建立定期维护的人员编制和相关制度，制定严格的规范操作规程，以保证各装置的正常运转；</w:t>
            </w:r>
          </w:p>
          <w:p w14:paraId="702104F7">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③油类物质及危害水环境物质均储存于阴凉、通风的贮存间内，远离火种、热源。房间内粘贴警示标志，周边严禁烟火，防止发生火灾爆炸等危险；</w:t>
            </w:r>
          </w:p>
          <w:p w14:paraId="5C882F09">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 xml:space="preserve">④按照《建筑灭火器配置设计规范》（GB50140-2005），库房内配置一定数量不同类型、不同规格的移动式灭火器材，以便及时扑救初始零星火灾。 </w:t>
            </w:r>
          </w:p>
          <w:p w14:paraId="254820C9">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（2）环境风险应急措施</w:t>
            </w:r>
          </w:p>
          <w:p w14:paraId="4FED8A25">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①一旦发现室内风险物质泄漏，现场人员应佩戴口罩，做好个人防护，迅速将包装桶倾斜，使破损处朝上，防止继续泄漏，然后将其转移至空桶内。并及时采用砂土或其他不燃材料吸附或吸收，吸附废物集中收集后委托有资质的单位处置。</w:t>
            </w:r>
          </w:p>
          <w:p w14:paraId="45F6C589">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②发生室外泄漏事故时，为防止对区域地表水环境造成影响，及时封堵雨水排口，防止经由雨水排口排入附近河流中造成水体污染。</w:t>
            </w:r>
          </w:p>
          <w:p w14:paraId="1742E061">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③当发生火灾事故时，现场人员或其他人员应该立刻拨打火警电话119，并立即通知有关人员停止作业，尽快切断所有电源，组织人员和其他易燃物品的疏散，使用灭火器及沙土即可。</w:t>
            </w:r>
          </w:p>
          <w:p w14:paraId="37A57C01">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highlight w:val="none"/>
              </w:rPr>
            </w:pPr>
            <w:r>
              <w:rPr>
                <w:rFonts w:hint="eastAsia" w:ascii="宋体" w:hAnsi="宋体" w:eastAsia="宋体" w:cs="宋体"/>
                <w:color w:val="auto"/>
                <w:spacing w:val="0"/>
                <w:sz w:val="24"/>
                <w:highlight w:val="none"/>
              </w:rPr>
              <w:t>综上可知，本项目拟建设的应急防范措施基本满足风险防控要求。</w:t>
            </w:r>
          </w:p>
          <w:p w14:paraId="4EE79AC0">
            <w:pPr>
              <w:shd w:val="clear"/>
              <w:spacing w:line="360" w:lineRule="auto"/>
              <w:rPr>
                <w:rFonts w:hint="eastAsia" w:ascii="宋体" w:hAnsi="宋体" w:eastAsia="宋体" w:cs="宋体"/>
                <w:color w:val="auto"/>
                <w:spacing w:val="0"/>
                <w:highlight w:val="none"/>
              </w:rPr>
            </w:pPr>
            <w:r>
              <w:rPr>
                <w:rFonts w:hint="eastAsia" w:ascii="宋体" w:hAnsi="宋体" w:eastAsia="宋体" w:cs="宋体"/>
                <w:b/>
                <w:bCs/>
                <w:color w:val="auto"/>
                <w:spacing w:val="0"/>
                <w:sz w:val="24"/>
                <w:highlight w:val="none"/>
                <w:lang w:val="en-US" w:eastAsia="zh-CN"/>
              </w:rPr>
              <w:t>6.4</w:t>
            </w:r>
            <w:r>
              <w:rPr>
                <w:rFonts w:hint="eastAsia" w:ascii="宋体" w:hAnsi="宋体" w:eastAsia="宋体" w:cs="宋体"/>
                <w:b/>
                <w:bCs/>
                <w:color w:val="auto"/>
                <w:spacing w:val="0"/>
                <w:sz w:val="24"/>
                <w:highlight w:val="none"/>
              </w:rPr>
              <w:t>事故应急预案</w:t>
            </w:r>
          </w:p>
          <w:p w14:paraId="3522CDCF">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sz w:val="24"/>
                <w:highlight w:val="none"/>
                <w:lang w:val="en-US" w:eastAsia="zh-CN"/>
              </w:rPr>
            </w:pPr>
            <w:r>
              <w:rPr>
                <w:rFonts w:hint="eastAsia" w:ascii="宋体" w:hAnsi="宋体" w:eastAsia="宋体" w:cs="宋体"/>
                <w:color w:val="auto"/>
                <w:spacing w:val="0"/>
                <w:sz w:val="24"/>
                <w:highlight w:val="none"/>
              </w:rPr>
              <w:t>通过对污染事故的风险评价，建设单位和各有关部门应制定实施突发性事故应急预案，降低重大环境污染事故发生的概率，消除事故风险隐患。根据环保部《突发环境事件应急管理办法》（环境保护部令第34号）、《企业事业单位突发环境事件应急预案备案管理办法（试行）》（环发</w:t>
            </w:r>
            <w:r>
              <w:rPr>
                <w:rFonts w:hint="eastAsia" w:cs="宋体"/>
                <w:color w:val="auto"/>
                <w:spacing w:val="0"/>
                <w:sz w:val="24"/>
                <w:highlight w:val="none"/>
                <w:lang w:eastAsia="zh-CN"/>
              </w:rPr>
              <w:t>〔2015〕4号</w:t>
            </w:r>
            <w:r>
              <w:rPr>
                <w:rFonts w:hint="eastAsia" w:ascii="宋体" w:hAnsi="宋体" w:eastAsia="宋体" w:cs="宋体"/>
                <w:color w:val="auto"/>
                <w:spacing w:val="0"/>
                <w:sz w:val="24"/>
                <w:highlight w:val="none"/>
              </w:rPr>
              <w:t>）、环保部《关于进一步加强环境影响评价管理防范环境风险的通知》（环发</w:t>
            </w:r>
            <w:r>
              <w:rPr>
                <w:rFonts w:hint="eastAsia" w:cs="宋体"/>
                <w:color w:val="auto"/>
                <w:spacing w:val="0"/>
                <w:sz w:val="24"/>
                <w:highlight w:val="none"/>
                <w:lang w:eastAsia="zh-CN"/>
              </w:rPr>
              <w:t>〔2012〕77号</w:t>
            </w:r>
            <w:r>
              <w:rPr>
                <w:rFonts w:hint="eastAsia" w:ascii="宋体" w:hAnsi="宋体" w:eastAsia="宋体" w:cs="宋体"/>
                <w:color w:val="auto"/>
                <w:spacing w:val="0"/>
                <w:sz w:val="24"/>
                <w:highlight w:val="none"/>
              </w:rPr>
              <w:t>）、《企业突发环境事件风险分级方法》（HJ941-2018）等的规定和要求，建设单位应编制突发环境事件应急预案并尽快向所在地生态环境主管部门进行备案，同时注意编制的应急预案应与沿线各区域、各相关企业应急系统衔接。</w:t>
            </w:r>
            <w:r>
              <w:rPr>
                <w:rFonts w:hint="eastAsia" w:cs="宋体"/>
                <w:color w:val="auto"/>
                <w:spacing w:val="0"/>
                <w:sz w:val="24"/>
                <w:highlight w:val="none"/>
                <w:lang w:val="en-US" w:eastAsia="zh-CN"/>
              </w:rPr>
              <w:t>本项目建成后应根据现有工程风险物质情况结合本项目对全厂进行编制突发环境事件应急预案并报送鸡西市生态环境局进行备案</w:t>
            </w:r>
            <w:r>
              <w:rPr>
                <w:rFonts w:hint="eastAsia" w:ascii="宋体" w:hAnsi="宋体" w:eastAsia="宋体" w:cs="宋体"/>
                <w:color w:val="auto"/>
                <w:spacing w:val="0"/>
                <w:sz w:val="24"/>
                <w:highlight w:val="none"/>
                <w:lang w:val="en-US" w:eastAsia="zh-CN"/>
              </w:rPr>
              <w:t>。</w:t>
            </w:r>
          </w:p>
          <w:p w14:paraId="0C5D66E7">
            <w:pPr>
              <w:shd w:val="clear"/>
              <w:adjustRightInd w:val="0"/>
              <w:snapToGrid w:val="0"/>
              <w:spacing w:line="360" w:lineRule="auto"/>
              <w:rPr>
                <w:rFonts w:hint="eastAsia" w:ascii="宋体" w:hAnsi="宋体" w:eastAsia="宋体" w:cs="宋体"/>
                <w:b/>
                <w:bCs/>
                <w:color w:val="auto"/>
                <w:spacing w:val="0"/>
                <w:kern w:val="0"/>
                <w:sz w:val="24"/>
                <w:highlight w:val="none"/>
              </w:rPr>
            </w:pPr>
            <w:r>
              <w:rPr>
                <w:rFonts w:hint="eastAsia" w:ascii="宋体" w:hAnsi="宋体" w:eastAsia="宋体" w:cs="宋体"/>
                <w:b/>
                <w:bCs/>
                <w:color w:val="auto"/>
                <w:spacing w:val="0"/>
                <w:kern w:val="0"/>
                <w:sz w:val="24"/>
                <w:highlight w:val="none"/>
                <w:lang w:val="en-US" w:eastAsia="zh-CN"/>
              </w:rPr>
              <w:t>6.5</w:t>
            </w:r>
            <w:r>
              <w:rPr>
                <w:rFonts w:hint="eastAsia" w:ascii="宋体" w:hAnsi="宋体" w:eastAsia="宋体" w:cs="宋体"/>
                <w:b/>
                <w:bCs/>
                <w:color w:val="auto"/>
                <w:spacing w:val="0"/>
                <w:kern w:val="0"/>
                <w:sz w:val="24"/>
                <w:highlight w:val="none"/>
              </w:rPr>
              <w:t xml:space="preserve"> 分析结论</w:t>
            </w:r>
          </w:p>
          <w:p w14:paraId="5470EE1B">
            <w:pPr>
              <w:pStyle w:val="13"/>
              <w:spacing w:line="360" w:lineRule="auto"/>
              <w:rPr>
                <w:rFonts w:hint="eastAsia" w:ascii="宋体" w:hAnsi="宋体" w:eastAsia="宋体" w:cs="宋体"/>
                <w:color w:val="auto"/>
                <w:spacing w:val="0"/>
                <w:highlight w:val="none"/>
                <w:vertAlign w:val="baseline"/>
              </w:rPr>
            </w:pPr>
            <w:r>
              <w:rPr>
                <w:rFonts w:hint="eastAsia" w:ascii="宋体" w:hAnsi="宋体" w:eastAsia="宋体" w:cs="宋体"/>
                <w:color w:val="auto"/>
                <w:spacing w:val="0"/>
                <w:kern w:val="0"/>
                <w:sz w:val="24"/>
                <w:highlight w:val="none"/>
              </w:rPr>
              <w:t>综上，本项目运行期存在泄漏风险事故，在严格落实上述风险防范措施后，可将风险事故降至最低，预计对周围环境影响控制在可防控范围内。</w:t>
            </w:r>
          </w:p>
        </w:tc>
      </w:tr>
    </w:tbl>
    <w:p w14:paraId="22DEF872">
      <w:pPr>
        <w:pStyle w:val="13"/>
        <w:rPr>
          <w:rFonts w:hint="eastAsia" w:ascii="宋体" w:hAnsi="宋体" w:eastAsia="宋体" w:cs="宋体"/>
          <w:color w:val="auto"/>
          <w:spacing w:val="0"/>
          <w:highlight w:val="none"/>
        </w:rPr>
        <w:sectPr>
          <w:pgSz w:w="11907" w:h="16840"/>
          <w:pgMar w:top="1440" w:right="1803" w:bottom="1440" w:left="1803"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376B585E">
      <w:pPr>
        <w:pStyle w:val="4"/>
        <w:spacing w:line="360" w:lineRule="auto"/>
        <w:jc w:val="center"/>
        <w:rPr>
          <w:rFonts w:hint="eastAsia" w:ascii="宋体" w:hAnsi="宋体" w:eastAsia="宋体" w:cs="宋体"/>
          <w:bCs w:val="0"/>
          <w:color w:val="auto"/>
          <w:spacing w:val="0"/>
          <w:highlight w:val="none"/>
        </w:rPr>
      </w:pPr>
      <w:bookmarkStart w:id="16" w:name="_Toc31345"/>
      <w:r>
        <w:rPr>
          <w:rFonts w:hint="eastAsia" w:ascii="宋体" w:hAnsi="宋体" w:eastAsia="宋体" w:cs="宋体"/>
          <w:bCs w:val="0"/>
          <w:color w:val="auto"/>
          <w:spacing w:val="0"/>
          <w:highlight w:val="none"/>
        </w:rPr>
        <w:t>五、</w:t>
      </w:r>
      <w:bookmarkStart w:id="17" w:name="_Hlk54167917"/>
      <w:r>
        <w:rPr>
          <w:rFonts w:hint="eastAsia" w:ascii="宋体" w:hAnsi="宋体" w:eastAsia="宋体" w:cs="宋体"/>
          <w:bCs w:val="0"/>
          <w:color w:val="auto"/>
          <w:spacing w:val="0"/>
          <w:highlight w:val="none"/>
        </w:rPr>
        <w:t>环境保护措施监督检查清单</w:t>
      </w:r>
      <w:bookmarkEnd w:id="13"/>
      <w:bookmarkEnd w:id="16"/>
      <w:bookmarkEnd w:id="17"/>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1324"/>
        <w:gridCol w:w="1258"/>
        <w:gridCol w:w="1720"/>
        <w:gridCol w:w="2981"/>
      </w:tblGrid>
      <w:tr w14:paraId="21B2CE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1239" w:type="dxa"/>
            <w:tcBorders>
              <w:tl2br w:val="single" w:color="auto" w:sz="4" w:space="0"/>
            </w:tcBorders>
            <w:noWrap w:val="0"/>
            <w:vAlign w:val="center"/>
          </w:tcPr>
          <w:p w14:paraId="05B6AB36">
            <w:pPr>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内容</w:t>
            </w:r>
          </w:p>
          <w:p w14:paraId="09873719">
            <w:pPr>
              <w:ind w:firstLine="0" w:firstLineChars="0"/>
              <w:jc w:val="left"/>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要素</w:t>
            </w:r>
          </w:p>
        </w:tc>
        <w:tc>
          <w:tcPr>
            <w:tcW w:w="1324" w:type="dxa"/>
            <w:noWrap w:val="0"/>
            <w:vAlign w:val="center"/>
          </w:tcPr>
          <w:p w14:paraId="04564098">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排放口</w:t>
            </w:r>
            <w:r>
              <w:rPr>
                <w:rFonts w:hint="eastAsia" w:ascii="宋体" w:hAnsi="宋体" w:eastAsia="宋体" w:cs="宋体"/>
                <w:color w:val="auto"/>
                <w:spacing w:val="0"/>
                <w:sz w:val="24"/>
                <w:szCs w:val="24"/>
                <w:highlight w:val="none"/>
                <w:lang w:eastAsia="zh-CN"/>
              </w:rPr>
              <w:t>（</w:t>
            </w:r>
            <w:r>
              <w:rPr>
                <w:rFonts w:hint="eastAsia" w:ascii="宋体" w:hAnsi="宋体" w:eastAsia="宋体" w:cs="宋体"/>
                <w:color w:val="auto"/>
                <w:spacing w:val="0"/>
                <w:sz w:val="24"/>
                <w:szCs w:val="24"/>
                <w:highlight w:val="none"/>
              </w:rPr>
              <w:t>编号、名称</w:t>
            </w:r>
            <w:r>
              <w:rPr>
                <w:rFonts w:hint="eastAsia" w:ascii="宋体" w:hAnsi="宋体" w:eastAsia="宋体" w:cs="宋体"/>
                <w:color w:val="auto"/>
                <w:spacing w:val="0"/>
                <w:sz w:val="24"/>
                <w:szCs w:val="24"/>
                <w:highlight w:val="none"/>
                <w:lang w:eastAsia="zh-CN"/>
              </w:rPr>
              <w:t>）</w:t>
            </w:r>
            <w:r>
              <w:rPr>
                <w:rFonts w:hint="eastAsia" w:ascii="宋体" w:hAnsi="宋体" w:eastAsia="宋体" w:cs="宋体"/>
                <w:color w:val="auto"/>
                <w:spacing w:val="0"/>
                <w:sz w:val="24"/>
                <w:szCs w:val="24"/>
                <w:highlight w:val="none"/>
              </w:rPr>
              <w:t>/污染源</w:t>
            </w:r>
          </w:p>
        </w:tc>
        <w:tc>
          <w:tcPr>
            <w:tcW w:w="1258" w:type="dxa"/>
            <w:noWrap w:val="0"/>
            <w:vAlign w:val="center"/>
          </w:tcPr>
          <w:p w14:paraId="6C6AE845">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污染物项目</w:t>
            </w:r>
          </w:p>
        </w:tc>
        <w:tc>
          <w:tcPr>
            <w:tcW w:w="1720" w:type="dxa"/>
            <w:noWrap w:val="0"/>
            <w:vAlign w:val="center"/>
          </w:tcPr>
          <w:p w14:paraId="39CC7294">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环境保护措施</w:t>
            </w:r>
          </w:p>
        </w:tc>
        <w:tc>
          <w:tcPr>
            <w:tcW w:w="2981" w:type="dxa"/>
            <w:noWrap w:val="0"/>
            <w:vAlign w:val="center"/>
          </w:tcPr>
          <w:p w14:paraId="3DBB7A85">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执行标准</w:t>
            </w:r>
          </w:p>
        </w:tc>
      </w:tr>
      <w:tr w14:paraId="77A956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70" w:hRule="exact"/>
          <w:jc w:val="center"/>
        </w:trPr>
        <w:tc>
          <w:tcPr>
            <w:tcW w:w="1239" w:type="dxa"/>
            <w:noWrap w:val="0"/>
            <w:vAlign w:val="center"/>
          </w:tcPr>
          <w:p w14:paraId="305402E4">
            <w:pPr>
              <w:spacing w:line="240" w:lineRule="auto"/>
              <w:ind w:firstLine="0" w:firstLineChars="0"/>
              <w:jc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废气</w:t>
            </w:r>
          </w:p>
        </w:tc>
        <w:tc>
          <w:tcPr>
            <w:tcW w:w="1324" w:type="dxa"/>
            <w:noWrap w:val="0"/>
            <w:vAlign w:val="center"/>
          </w:tcPr>
          <w:p w14:paraId="36B92EC4">
            <w:pPr>
              <w:pStyle w:val="70"/>
              <w:jc w:val="center"/>
              <w:rPr>
                <w:rFonts w:hint="default" w:ascii="宋体" w:hAnsi="宋体" w:eastAsia="宋体" w:cs="宋体"/>
                <w:snapToGrid w:val="0"/>
                <w:color w:val="auto"/>
                <w:spacing w:val="0"/>
                <w:sz w:val="24"/>
                <w:szCs w:val="24"/>
                <w:highlight w:val="none"/>
                <w:lang w:val="en-US" w:eastAsia="zh-CN"/>
              </w:rPr>
            </w:pPr>
            <w:r>
              <w:rPr>
                <w:rFonts w:hint="eastAsia" w:ascii="宋体" w:hAnsi="宋体" w:cs="宋体"/>
                <w:snapToGrid w:val="0"/>
                <w:color w:val="auto"/>
                <w:spacing w:val="0"/>
                <w:sz w:val="24"/>
                <w:szCs w:val="24"/>
                <w:highlight w:val="none"/>
                <w:lang w:val="en-US" w:eastAsia="zh-CN"/>
              </w:rPr>
              <w:t>DA010</w:t>
            </w:r>
            <w:r>
              <w:rPr>
                <w:rFonts w:hint="eastAsia" w:ascii="宋体" w:hAnsi="宋体" w:eastAsia="宋体" w:cs="宋体"/>
                <w:snapToGrid w:val="0"/>
                <w:color w:val="auto"/>
                <w:spacing w:val="0"/>
                <w:sz w:val="24"/>
                <w:szCs w:val="24"/>
                <w:highlight w:val="none"/>
                <w:lang w:val="en-US" w:eastAsia="zh-CN"/>
              </w:rPr>
              <w:t>锅炉废</w:t>
            </w:r>
            <w:r>
              <w:rPr>
                <w:rFonts w:hint="eastAsia" w:ascii="宋体" w:hAnsi="宋体" w:cs="宋体"/>
                <w:snapToGrid w:val="0"/>
                <w:color w:val="auto"/>
                <w:spacing w:val="0"/>
                <w:sz w:val="24"/>
                <w:szCs w:val="24"/>
                <w:highlight w:val="none"/>
                <w:lang w:val="en-US" w:eastAsia="zh-CN"/>
              </w:rPr>
              <w:t>气</w:t>
            </w:r>
          </w:p>
        </w:tc>
        <w:tc>
          <w:tcPr>
            <w:tcW w:w="1258" w:type="dxa"/>
            <w:noWrap w:val="0"/>
            <w:vAlign w:val="center"/>
          </w:tcPr>
          <w:p w14:paraId="6182987E">
            <w:pPr>
              <w:pStyle w:val="70"/>
              <w:jc w:val="center"/>
              <w:rPr>
                <w:rFonts w:hint="default" w:ascii="宋体" w:hAnsi="宋体" w:eastAsia="宋体" w:cs="宋体"/>
                <w:color w:val="auto"/>
                <w:spacing w:val="0"/>
                <w:sz w:val="24"/>
                <w:szCs w:val="24"/>
                <w:highlight w:val="none"/>
                <w:lang w:val="en-US" w:eastAsia="zh-CN"/>
              </w:rPr>
            </w:pPr>
            <w:r>
              <w:rPr>
                <w:rFonts w:hint="eastAsia" w:ascii="宋体" w:hAnsi="宋体" w:eastAsia="宋体" w:cs="宋体"/>
                <w:bCs/>
                <w:color w:val="auto"/>
                <w:spacing w:val="0"/>
                <w:sz w:val="24"/>
                <w:szCs w:val="24"/>
                <w:highlight w:val="none"/>
                <w:lang w:val="en-US" w:eastAsia="zh-CN" w:bidi="ar"/>
              </w:rPr>
              <w:t>颗粒物、二氧化硫、氮氧化物、烟气黑度</w:t>
            </w:r>
            <w:r>
              <w:rPr>
                <w:rFonts w:hint="eastAsia" w:ascii="宋体" w:hAnsi="宋体" w:cs="宋体"/>
                <w:bCs/>
                <w:color w:val="auto"/>
                <w:spacing w:val="0"/>
                <w:sz w:val="24"/>
                <w:szCs w:val="24"/>
                <w:highlight w:val="none"/>
                <w:lang w:val="en-US" w:eastAsia="zh-CN" w:bidi="ar"/>
              </w:rPr>
              <w:t>、汞及其化合物</w:t>
            </w:r>
          </w:p>
        </w:tc>
        <w:tc>
          <w:tcPr>
            <w:tcW w:w="1720" w:type="dxa"/>
            <w:noWrap w:val="0"/>
            <w:vAlign w:val="center"/>
          </w:tcPr>
          <w:p w14:paraId="52D75BAF">
            <w:pPr>
              <w:pStyle w:val="70"/>
              <w:jc w:val="center"/>
              <w:rPr>
                <w:rFonts w:hint="default" w:ascii="宋体" w:hAnsi="宋体" w:eastAsia="宋体" w:cs="宋体"/>
                <w:bCs/>
                <w:color w:val="auto"/>
                <w:spacing w:val="0"/>
                <w:sz w:val="24"/>
                <w:szCs w:val="24"/>
                <w:highlight w:val="none"/>
                <w:lang w:val="en-US" w:eastAsia="zh-CN"/>
              </w:rPr>
            </w:pPr>
            <w:r>
              <w:rPr>
                <w:rFonts w:hint="eastAsia" w:ascii="宋体" w:hAnsi="宋体" w:cs="宋体"/>
                <w:bCs/>
                <w:color w:val="auto"/>
                <w:spacing w:val="0"/>
                <w:sz w:val="24"/>
                <w:szCs w:val="24"/>
                <w:highlight w:val="none"/>
                <w:lang w:val="en-US" w:eastAsia="zh-CN"/>
              </w:rPr>
              <w:t>锅炉废气经“</w:t>
            </w:r>
            <w:r>
              <w:rPr>
                <w:rFonts w:hint="eastAsia" w:ascii="宋体" w:hAnsi="宋体" w:eastAsia="宋体" w:cs="宋体"/>
                <w:bCs/>
                <w:color w:val="auto"/>
                <w:spacing w:val="0"/>
                <w:sz w:val="24"/>
                <w:szCs w:val="24"/>
                <w:highlight w:val="none"/>
                <w:lang w:val="en-US" w:eastAsia="zh-CN"/>
              </w:rPr>
              <w:t>低氮燃烧</w:t>
            </w:r>
            <w:r>
              <w:rPr>
                <w:rFonts w:hint="eastAsia" w:ascii="宋体" w:hAnsi="宋体" w:cs="宋体"/>
                <w:bCs/>
                <w:color w:val="auto"/>
                <w:spacing w:val="0"/>
                <w:sz w:val="24"/>
                <w:szCs w:val="24"/>
                <w:highlight w:val="none"/>
                <w:lang w:val="en-US" w:eastAsia="zh-CN"/>
              </w:rPr>
              <w:t>+旋风除尘器+布袋除尘器”处理通过35m高排气筒DA010有组织排放</w:t>
            </w:r>
          </w:p>
        </w:tc>
        <w:tc>
          <w:tcPr>
            <w:tcW w:w="2981" w:type="dxa"/>
            <w:noWrap w:val="0"/>
            <w:vAlign w:val="center"/>
          </w:tcPr>
          <w:p w14:paraId="756B120F">
            <w:pPr>
              <w:spacing w:line="240" w:lineRule="auto"/>
              <w:ind w:firstLine="0" w:firstLineChars="0"/>
              <w:jc w:val="center"/>
              <w:rPr>
                <w:rFonts w:hint="eastAsia" w:ascii="宋体" w:hAnsi="宋体" w:eastAsia="宋体" w:cs="宋体"/>
                <w:bCs w:val="0"/>
                <w:color w:val="auto"/>
                <w:spacing w:val="0"/>
                <w:kern w:val="2"/>
                <w:sz w:val="24"/>
                <w:szCs w:val="24"/>
                <w:highlight w:val="none"/>
                <w:lang w:val="zh-CN" w:eastAsia="zh-CN" w:bidi="ar-SA"/>
              </w:rPr>
            </w:pPr>
            <w:r>
              <w:rPr>
                <w:rFonts w:hint="eastAsia" w:ascii="宋体" w:hAnsi="宋体" w:eastAsia="宋体" w:cs="宋体"/>
                <w:color w:val="auto"/>
                <w:spacing w:val="0"/>
                <w:sz w:val="24"/>
                <w:highlight w:val="none"/>
              </w:rPr>
              <w:t>《</w:t>
            </w:r>
            <w:r>
              <w:rPr>
                <w:rFonts w:hint="eastAsia" w:ascii="宋体" w:hAnsi="宋体" w:eastAsia="宋体" w:cs="宋体"/>
                <w:color w:val="auto"/>
                <w:spacing w:val="0"/>
                <w:sz w:val="24"/>
                <w:highlight w:val="none"/>
                <w:lang w:val="en-US" w:eastAsia="zh-CN"/>
              </w:rPr>
              <w:t>锅炉大气污染物排放标准</w:t>
            </w:r>
            <w:r>
              <w:rPr>
                <w:rFonts w:hint="eastAsia" w:ascii="宋体" w:hAnsi="宋体" w:eastAsia="宋体" w:cs="宋体"/>
                <w:color w:val="auto"/>
                <w:spacing w:val="0"/>
                <w:sz w:val="24"/>
                <w:highlight w:val="none"/>
              </w:rPr>
              <w:t>》（GB</w:t>
            </w:r>
            <w:r>
              <w:rPr>
                <w:rFonts w:hint="eastAsia" w:ascii="宋体" w:hAnsi="宋体" w:eastAsia="宋体" w:cs="宋体"/>
                <w:color w:val="auto"/>
                <w:spacing w:val="0"/>
                <w:sz w:val="24"/>
                <w:highlight w:val="none"/>
                <w:lang w:val="en-US" w:eastAsia="zh-CN"/>
              </w:rPr>
              <w:t>13271</w:t>
            </w:r>
            <w:r>
              <w:rPr>
                <w:rFonts w:hint="eastAsia" w:ascii="宋体" w:hAnsi="宋体" w:eastAsia="宋体" w:cs="宋体"/>
                <w:color w:val="auto"/>
                <w:spacing w:val="0"/>
                <w:sz w:val="24"/>
                <w:highlight w:val="none"/>
              </w:rPr>
              <w:t>-</w:t>
            </w:r>
            <w:r>
              <w:rPr>
                <w:rFonts w:hint="eastAsia" w:ascii="宋体" w:hAnsi="宋体" w:eastAsia="宋体" w:cs="宋体"/>
                <w:color w:val="auto"/>
                <w:spacing w:val="0"/>
                <w:sz w:val="24"/>
                <w:highlight w:val="none"/>
                <w:lang w:val="en-US" w:eastAsia="zh-CN"/>
              </w:rPr>
              <w:t>2014</w:t>
            </w:r>
            <w:r>
              <w:rPr>
                <w:rFonts w:hint="eastAsia" w:ascii="宋体" w:hAnsi="宋体" w:eastAsia="宋体" w:cs="宋体"/>
                <w:color w:val="auto"/>
                <w:spacing w:val="0"/>
                <w:sz w:val="24"/>
                <w:highlight w:val="none"/>
              </w:rPr>
              <w:t>）</w:t>
            </w:r>
            <w:r>
              <w:rPr>
                <w:rFonts w:hint="eastAsia" w:cs="宋体"/>
                <w:bCs/>
                <w:color w:val="auto"/>
                <w:spacing w:val="0"/>
                <w:sz w:val="24"/>
                <w:szCs w:val="24"/>
                <w:highlight w:val="none"/>
                <w:lang w:val="en-US" w:eastAsia="zh-CN"/>
              </w:rPr>
              <w:t>表2锅炉</w:t>
            </w:r>
            <w:r>
              <w:rPr>
                <w:rFonts w:hint="eastAsia" w:ascii="宋体" w:hAnsi="宋体" w:eastAsia="宋体" w:cs="宋体"/>
                <w:bCs/>
                <w:color w:val="auto"/>
                <w:spacing w:val="0"/>
                <w:sz w:val="24"/>
                <w:szCs w:val="24"/>
                <w:highlight w:val="none"/>
                <w:lang w:val="en-US" w:eastAsia="zh-CN"/>
              </w:rPr>
              <w:t>排放限值</w:t>
            </w:r>
          </w:p>
        </w:tc>
      </w:tr>
      <w:tr w14:paraId="51CB0E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7" w:hRule="atLeast"/>
          <w:jc w:val="center"/>
        </w:trPr>
        <w:tc>
          <w:tcPr>
            <w:tcW w:w="1239" w:type="dxa"/>
            <w:noWrap w:val="0"/>
            <w:vAlign w:val="center"/>
          </w:tcPr>
          <w:p w14:paraId="70BD647E">
            <w:pPr>
              <w:spacing w:line="240" w:lineRule="auto"/>
              <w:ind w:firstLine="0" w:firstLineChars="0"/>
              <w:jc w:val="center"/>
              <w:rPr>
                <w:rFonts w:hint="eastAsia" w:ascii="宋体" w:hAnsi="宋体" w:eastAsia="宋体" w:cs="宋体"/>
                <w:bCs/>
                <w:color w:val="auto"/>
                <w:spacing w:val="0"/>
                <w:kern w:val="2"/>
                <w:sz w:val="24"/>
                <w:szCs w:val="24"/>
                <w:highlight w:val="none"/>
                <w:lang w:val="en-US" w:eastAsia="zh-CN" w:bidi="ar-SA"/>
              </w:rPr>
            </w:pPr>
            <w:r>
              <w:rPr>
                <w:rFonts w:hint="eastAsia" w:ascii="宋体" w:hAnsi="宋体" w:eastAsia="宋体" w:cs="宋体"/>
                <w:color w:val="auto"/>
                <w:spacing w:val="0"/>
                <w:sz w:val="24"/>
                <w:szCs w:val="24"/>
                <w:highlight w:val="none"/>
                <w:lang w:val="en-US" w:eastAsia="zh-CN"/>
              </w:rPr>
              <w:t>废水</w:t>
            </w:r>
          </w:p>
        </w:tc>
        <w:tc>
          <w:tcPr>
            <w:tcW w:w="1324" w:type="dxa"/>
            <w:noWrap w:val="0"/>
            <w:vAlign w:val="center"/>
          </w:tcPr>
          <w:p w14:paraId="1290CF87">
            <w:pPr>
              <w:pStyle w:val="70"/>
              <w:jc w:val="center"/>
              <w:rPr>
                <w:rFonts w:hint="default" w:ascii="宋体" w:hAnsi="宋体" w:eastAsia="宋体" w:cs="宋体"/>
                <w:color w:val="auto"/>
                <w:spacing w:val="0"/>
                <w:kern w:val="2"/>
                <w:sz w:val="24"/>
                <w:szCs w:val="24"/>
                <w:highlight w:val="none"/>
                <w:lang w:val="en-US" w:eastAsia="zh-CN" w:bidi="ar-SA"/>
              </w:rPr>
            </w:pPr>
            <w:r>
              <w:rPr>
                <w:rFonts w:hint="eastAsia" w:ascii="宋体" w:hAnsi="宋体" w:cs="宋体"/>
                <w:snapToGrid w:val="0"/>
                <w:color w:val="auto"/>
                <w:spacing w:val="0"/>
                <w:sz w:val="24"/>
                <w:szCs w:val="24"/>
                <w:highlight w:val="none"/>
                <w:lang w:val="en-US" w:eastAsia="zh-CN"/>
              </w:rPr>
              <w:t>锅炉排污水+软水制备废水</w:t>
            </w:r>
          </w:p>
        </w:tc>
        <w:tc>
          <w:tcPr>
            <w:tcW w:w="1258" w:type="dxa"/>
            <w:noWrap w:val="0"/>
            <w:vAlign w:val="center"/>
          </w:tcPr>
          <w:p w14:paraId="01CCB4C6">
            <w:pPr>
              <w:pStyle w:val="70"/>
              <w:jc w:val="center"/>
              <w:rPr>
                <w:rFonts w:hint="default"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sz w:val="24"/>
                <w:szCs w:val="24"/>
                <w:highlight w:val="none"/>
              </w:rPr>
              <w:t>COD、SS、</w:t>
            </w:r>
            <w:r>
              <w:rPr>
                <w:rFonts w:hint="eastAsia" w:ascii="宋体" w:hAnsi="宋体" w:cs="宋体"/>
                <w:color w:val="auto"/>
                <w:spacing w:val="0"/>
                <w:sz w:val="24"/>
                <w:szCs w:val="24"/>
                <w:highlight w:val="none"/>
                <w:lang w:val="en-US" w:eastAsia="zh-CN"/>
              </w:rPr>
              <w:t>TDS</w:t>
            </w:r>
          </w:p>
        </w:tc>
        <w:tc>
          <w:tcPr>
            <w:tcW w:w="1720" w:type="dxa"/>
            <w:noWrap w:val="0"/>
            <w:vAlign w:val="center"/>
          </w:tcPr>
          <w:p w14:paraId="71CFE5E7">
            <w:pPr>
              <w:pStyle w:val="70"/>
              <w:jc w:val="center"/>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锅炉废水</w:t>
            </w:r>
            <w:r>
              <w:rPr>
                <w:rFonts w:hint="eastAsia" w:ascii="宋体" w:hAnsi="宋体" w:cs="宋体"/>
                <w:color w:val="auto"/>
                <w:spacing w:val="0"/>
                <w:kern w:val="2"/>
                <w:sz w:val="24"/>
                <w:szCs w:val="24"/>
                <w:highlight w:val="none"/>
                <w:lang w:val="en-US" w:eastAsia="zh-CN" w:bidi="ar-SA"/>
              </w:rPr>
              <w:t>和软水制备废水</w:t>
            </w:r>
            <w:r>
              <w:rPr>
                <w:rFonts w:hint="eastAsia" w:ascii="宋体" w:hAnsi="宋体" w:eastAsia="宋体" w:cs="宋体"/>
                <w:color w:val="auto"/>
                <w:spacing w:val="0"/>
                <w:kern w:val="2"/>
                <w:sz w:val="24"/>
                <w:szCs w:val="24"/>
                <w:highlight w:val="none"/>
                <w:lang w:val="en-US" w:eastAsia="zh-CN" w:bidi="ar-SA"/>
              </w:rPr>
              <w:t>排入污水管网，最终进入</w:t>
            </w:r>
            <w:r>
              <w:rPr>
                <w:rFonts w:hint="eastAsia" w:ascii="宋体" w:hAnsi="宋体" w:cs="宋体"/>
                <w:color w:val="auto"/>
                <w:spacing w:val="0"/>
                <w:kern w:val="2"/>
                <w:sz w:val="24"/>
                <w:szCs w:val="24"/>
                <w:highlight w:val="none"/>
                <w:lang w:val="en-US" w:eastAsia="zh-CN" w:bidi="ar-SA"/>
              </w:rPr>
              <w:t>梨树工业谷污水处理厂</w:t>
            </w:r>
            <w:r>
              <w:rPr>
                <w:rFonts w:hint="eastAsia" w:ascii="宋体" w:hAnsi="宋体" w:eastAsia="宋体" w:cs="宋体"/>
                <w:color w:val="auto"/>
                <w:spacing w:val="0"/>
                <w:kern w:val="2"/>
                <w:sz w:val="24"/>
                <w:szCs w:val="24"/>
                <w:highlight w:val="none"/>
                <w:lang w:val="en-US" w:eastAsia="zh-CN" w:bidi="ar-SA"/>
              </w:rPr>
              <w:t>集中处理</w:t>
            </w:r>
          </w:p>
        </w:tc>
        <w:tc>
          <w:tcPr>
            <w:tcW w:w="2981" w:type="dxa"/>
            <w:noWrap w:val="0"/>
            <w:vAlign w:val="center"/>
          </w:tcPr>
          <w:p w14:paraId="00437D2B">
            <w:pPr>
              <w:spacing w:line="240" w:lineRule="auto"/>
              <w:ind w:firstLine="0" w:firstLineChars="0"/>
              <w:jc w:val="center"/>
              <w:rPr>
                <w:rFonts w:hint="default" w:ascii="宋体" w:hAnsi="宋体" w:eastAsia="宋体" w:cs="宋体"/>
                <w:bCs/>
                <w:color w:val="auto"/>
                <w:spacing w:val="0"/>
                <w:kern w:val="2"/>
                <w:sz w:val="24"/>
                <w:szCs w:val="24"/>
                <w:highlight w:val="none"/>
                <w:lang w:val="en-US" w:eastAsia="zh-CN" w:bidi="ar-SA"/>
              </w:rPr>
            </w:pPr>
            <w:r>
              <w:rPr>
                <w:rFonts w:hint="eastAsia" w:ascii="宋体" w:hAnsi="宋体" w:eastAsia="宋体" w:cs="宋体"/>
                <w:color w:val="auto"/>
                <w:spacing w:val="0"/>
                <w:sz w:val="24"/>
                <w:szCs w:val="24"/>
                <w:highlight w:val="none"/>
              </w:rPr>
              <w:t>《污水综合排放标准》（</w:t>
            </w:r>
            <w:r>
              <w:rPr>
                <w:rFonts w:hint="eastAsia" w:ascii="宋体" w:hAnsi="宋体" w:eastAsia="宋体" w:cs="宋体"/>
                <w:color w:val="auto"/>
                <w:spacing w:val="0"/>
                <w:sz w:val="24"/>
                <w:szCs w:val="24"/>
                <w:highlight w:val="none"/>
                <w:lang w:eastAsia="zh-CN"/>
              </w:rPr>
              <w:t>GB8978-1996</w:t>
            </w:r>
            <w:r>
              <w:rPr>
                <w:rFonts w:hint="eastAsia" w:ascii="宋体" w:hAnsi="宋体" w:eastAsia="宋体" w:cs="宋体"/>
                <w:color w:val="auto"/>
                <w:spacing w:val="0"/>
                <w:sz w:val="24"/>
                <w:szCs w:val="24"/>
                <w:highlight w:val="none"/>
              </w:rPr>
              <w:t>）三级标准</w:t>
            </w:r>
            <w:r>
              <w:rPr>
                <w:rFonts w:hint="eastAsia" w:cs="宋体"/>
                <w:color w:val="auto"/>
                <w:spacing w:val="0"/>
                <w:sz w:val="24"/>
                <w:szCs w:val="24"/>
                <w:highlight w:val="none"/>
                <w:lang w:val="en-US" w:eastAsia="zh-CN"/>
              </w:rPr>
              <w:t>及梨树工业谷污水处理厂进水指标</w:t>
            </w:r>
          </w:p>
        </w:tc>
      </w:tr>
      <w:tr w14:paraId="6EEA36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26" w:hRule="atLeast"/>
          <w:jc w:val="center"/>
        </w:trPr>
        <w:tc>
          <w:tcPr>
            <w:tcW w:w="1239" w:type="dxa"/>
            <w:noWrap w:val="0"/>
            <w:vAlign w:val="center"/>
          </w:tcPr>
          <w:p w14:paraId="266A63A3">
            <w:pPr>
              <w:spacing w:line="240" w:lineRule="auto"/>
              <w:ind w:firstLine="0" w:firstLineChars="0"/>
              <w:jc w:val="center"/>
              <w:rPr>
                <w:rFonts w:hint="eastAsia" w:ascii="宋体" w:hAnsi="宋体" w:eastAsia="宋体" w:cs="宋体"/>
                <w:color w:val="auto"/>
                <w:spacing w:val="0"/>
                <w:sz w:val="24"/>
                <w:szCs w:val="24"/>
                <w:highlight w:val="none"/>
                <w:lang w:eastAsia="zh-CN"/>
              </w:rPr>
            </w:pPr>
            <w:r>
              <w:rPr>
                <w:rFonts w:hint="eastAsia" w:ascii="宋体" w:hAnsi="宋体" w:eastAsia="宋体" w:cs="宋体"/>
                <w:color w:val="auto"/>
                <w:spacing w:val="0"/>
                <w:sz w:val="24"/>
                <w:szCs w:val="24"/>
                <w:highlight w:val="none"/>
                <w:lang w:val="en-US" w:eastAsia="zh-CN"/>
              </w:rPr>
              <w:t>噪声</w:t>
            </w:r>
          </w:p>
        </w:tc>
        <w:tc>
          <w:tcPr>
            <w:tcW w:w="1324" w:type="dxa"/>
            <w:noWrap w:val="0"/>
            <w:vAlign w:val="center"/>
          </w:tcPr>
          <w:p w14:paraId="3691ED7A">
            <w:pPr>
              <w:pStyle w:val="70"/>
              <w:jc w:val="center"/>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水泵</w:t>
            </w:r>
          </w:p>
          <w:p w14:paraId="132BFBCF">
            <w:pPr>
              <w:pStyle w:val="70"/>
              <w:jc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锅炉</w:t>
            </w:r>
          </w:p>
          <w:p w14:paraId="0DFE250D">
            <w:pPr>
              <w:pStyle w:val="70"/>
              <w:jc w:val="center"/>
              <w:rPr>
                <w:rFonts w:hint="default"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风机</w:t>
            </w:r>
          </w:p>
        </w:tc>
        <w:tc>
          <w:tcPr>
            <w:tcW w:w="1258" w:type="dxa"/>
            <w:noWrap w:val="0"/>
            <w:vAlign w:val="center"/>
          </w:tcPr>
          <w:p w14:paraId="10E5CAC7">
            <w:pPr>
              <w:spacing w:line="240" w:lineRule="auto"/>
              <w:ind w:firstLine="0" w:firstLineChars="0"/>
              <w:jc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i/>
                <w:iCs/>
                <w:color w:val="auto"/>
                <w:spacing w:val="0"/>
                <w:kern w:val="0"/>
                <w:highlight w:val="none"/>
              </w:rPr>
              <w:t>L</w:t>
            </w:r>
            <w:r>
              <w:rPr>
                <w:rFonts w:hint="eastAsia" w:ascii="宋体" w:hAnsi="宋体" w:eastAsia="宋体" w:cs="宋体"/>
                <w:color w:val="auto"/>
                <w:spacing w:val="0"/>
                <w:kern w:val="0"/>
                <w:highlight w:val="none"/>
                <w:vertAlign w:val="subscript"/>
              </w:rPr>
              <w:t>eq</w:t>
            </w:r>
            <w:r>
              <w:rPr>
                <w:rFonts w:hint="eastAsia" w:ascii="宋体" w:hAnsi="宋体" w:eastAsia="宋体" w:cs="宋体"/>
                <w:color w:val="auto"/>
                <w:spacing w:val="0"/>
                <w:kern w:val="0"/>
                <w:highlight w:val="none"/>
              </w:rPr>
              <w:t>(A)</w:t>
            </w:r>
          </w:p>
        </w:tc>
        <w:tc>
          <w:tcPr>
            <w:tcW w:w="1720" w:type="dxa"/>
            <w:noWrap w:val="0"/>
            <w:vAlign w:val="center"/>
          </w:tcPr>
          <w:p w14:paraId="65A22BD6">
            <w:pPr>
              <w:spacing w:line="240" w:lineRule="auto"/>
              <w:ind w:firstLine="0" w:firstLineChars="0"/>
              <w:jc w:val="center"/>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rPr>
              <w:t>基础减振、厂房隔声</w:t>
            </w:r>
          </w:p>
        </w:tc>
        <w:tc>
          <w:tcPr>
            <w:tcW w:w="2981" w:type="dxa"/>
            <w:noWrap w:val="0"/>
            <w:vAlign w:val="center"/>
          </w:tcPr>
          <w:p w14:paraId="34FE07E9">
            <w:pPr>
              <w:pStyle w:val="70"/>
              <w:jc w:val="center"/>
              <w:rPr>
                <w:rFonts w:hint="default" w:ascii="宋体" w:hAnsi="宋体" w:eastAsia="宋体" w:cs="宋体"/>
                <w:color w:val="auto"/>
                <w:spacing w:val="0"/>
                <w:sz w:val="24"/>
                <w:szCs w:val="24"/>
                <w:highlight w:val="none"/>
                <w:lang w:val="en-US"/>
              </w:rPr>
            </w:pPr>
            <w:r>
              <w:rPr>
                <w:rFonts w:hint="eastAsia" w:ascii="宋体" w:hAnsi="宋体" w:cs="宋体"/>
                <w:color w:val="auto"/>
                <w:spacing w:val="0"/>
                <w:sz w:val="24"/>
                <w:szCs w:val="24"/>
                <w:highlight w:val="none"/>
                <w:lang w:val="en-US" w:eastAsia="zh-CN"/>
              </w:rPr>
              <w:t>厂界四侧执行</w:t>
            </w:r>
            <w:r>
              <w:rPr>
                <w:rFonts w:hint="eastAsia" w:ascii="宋体" w:hAnsi="宋体" w:eastAsia="宋体" w:cs="宋体"/>
                <w:color w:val="auto"/>
                <w:spacing w:val="0"/>
                <w:sz w:val="24"/>
                <w:szCs w:val="24"/>
                <w:highlight w:val="none"/>
              </w:rPr>
              <w:t>《工业企业厂界环境噪声排放标准》（GB12348-2008）</w:t>
            </w:r>
            <w:r>
              <w:rPr>
                <w:rFonts w:hint="eastAsia" w:ascii="宋体" w:hAnsi="宋体" w:cs="宋体"/>
                <w:color w:val="auto"/>
                <w:spacing w:val="0"/>
                <w:sz w:val="24"/>
                <w:szCs w:val="24"/>
                <w:highlight w:val="none"/>
                <w:lang w:val="en-US" w:eastAsia="zh-CN"/>
              </w:rPr>
              <w:t>3</w:t>
            </w:r>
            <w:r>
              <w:rPr>
                <w:rFonts w:hint="eastAsia" w:ascii="宋体" w:hAnsi="宋体" w:eastAsia="宋体" w:cs="宋体"/>
                <w:color w:val="auto"/>
                <w:spacing w:val="0"/>
                <w:sz w:val="24"/>
                <w:szCs w:val="24"/>
                <w:highlight w:val="none"/>
              </w:rPr>
              <w:t>类排放标准</w:t>
            </w:r>
          </w:p>
        </w:tc>
      </w:tr>
      <w:tr w14:paraId="4DF2B0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34" w:hRule="atLeast"/>
          <w:jc w:val="center"/>
        </w:trPr>
        <w:tc>
          <w:tcPr>
            <w:tcW w:w="1239" w:type="dxa"/>
            <w:noWrap w:val="0"/>
            <w:vAlign w:val="center"/>
          </w:tcPr>
          <w:p w14:paraId="08F9C548">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固体废物</w:t>
            </w:r>
          </w:p>
        </w:tc>
        <w:tc>
          <w:tcPr>
            <w:tcW w:w="7283" w:type="dxa"/>
            <w:gridSpan w:val="4"/>
            <w:noWrap w:val="0"/>
            <w:vAlign w:val="center"/>
          </w:tcPr>
          <w:p w14:paraId="4872A3B9">
            <w:pPr>
              <w:spacing w:line="360" w:lineRule="auto"/>
              <w:ind w:firstLine="480" w:firstLineChars="200"/>
              <w:jc w:val="both"/>
              <w:rPr>
                <w:rFonts w:hint="eastAsia" w:ascii="宋体" w:hAnsi="宋体" w:eastAsia="宋体" w:cs="宋体"/>
                <w:color w:val="auto"/>
                <w:spacing w:val="0"/>
                <w:sz w:val="24"/>
                <w:szCs w:val="24"/>
                <w:highlight w:val="none"/>
              </w:rPr>
            </w:pPr>
            <w:r>
              <w:rPr>
                <w:rFonts w:hint="eastAsia" w:cs="宋体"/>
                <w:color w:val="auto"/>
                <w:spacing w:val="0"/>
                <w:sz w:val="24"/>
                <w:szCs w:val="24"/>
                <w:highlight w:val="none"/>
                <w:lang w:val="en-US" w:eastAsia="zh-CN"/>
              </w:rPr>
              <w:t>本项目产生的固废为废离子交换树脂、锅炉灰渣、除尘器集尘、废布袋和废机油、废机油桶、含油棉纱，废离子交换树脂交厂界回收，废布袋收集后交厂家回收再生处理。除尘器集尘与锅炉灰渣外售综合利用。废机油、废机油桶、含油棉纱交有资质单位处置。</w:t>
            </w:r>
            <w:r>
              <w:rPr>
                <w:rFonts w:hint="eastAsia" w:ascii="宋体" w:hAnsi="宋体" w:eastAsia="宋体" w:cs="宋体"/>
                <w:bCs/>
                <w:color w:val="auto"/>
                <w:spacing w:val="0"/>
                <w:sz w:val="24"/>
                <w:szCs w:val="24"/>
                <w:highlight w:val="none"/>
              </w:rPr>
              <w:t>一般工业固体废物执行《一般工业固体废物贮存和填埋污染控制标准》（GB18599-2020）</w:t>
            </w:r>
            <w:r>
              <w:rPr>
                <w:rFonts w:hint="eastAsia" w:cs="宋体"/>
                <w:bCs/>
                <w:color w:val="auto"/>
                <w:spacing w:val="0"/>
                <w:sz w:val="24"/>
                <w:szCs w:val="24"/>
                <w:highlight w:val="none"/>
                <w:lang w:eastAsia="zh-CN"/>
              </w:rPr>
              <w:t>、</w:t>
            </w:r>
            <w:r>
              <w:rPr>
                <w:rFonts w:hint="eastAsia" w:ascii="宋体" w:hAnsi="宋体" w:eastAsia="宋体" w:cs="宋体"/>
                <w:color w:val="auto"/>
                <w:spacing w:val="0"/>
                <w:szCs w:val="21"/>
                <w:highlight w:val="none"/>
              </w:rPr>
              <w:t>《一般固体废物分类与代码》（GB/T39198-2020）</w:t>
            </w:r>
            <w:r>
              <w:rPr>
                <w:rFonts w:hint="eastAsia" w:ascii="宋体" w:hAnsi="宋体" w:eastAsia="宋体" w:cs="宋体"/>
                <w:color w:val="auto"/>
                <w:spacing w:val="0"/>
                <w:szCs w:val="21"/>
                <w:highlight w:val="none"/>
                <w:lang w:eastAsia="zh-CN"/>
              </w:rPr>
              <w:t>关于发布《固体废物分类与代码目录》的公告（公告2024年第4号）</w:t>
            </w:r>
            <w:r>
              <w:rPr>
                <w:rFonts w:hint="eastAsia" w:cs="宋体"/>
                <w:color w:val="auto"/>
                <w:spacing w:val="0"/>
                <w:szCs w:val="21"/>
                <w:highlight w:val="none"/>
                <w:lang w:eastAsia="zh-CN"/>
              </w:rPr>
              <w:t>。</w:t>
            </w:r>
            <w:r>
              <w:rPr>
                <w:rFonts w:hint="eastAsia" w:ascii="宋体" w:hAnsi="宋体" w:eastAsia="宋体" w:cs="宋体"/>
                <w:bCs/>
                <w:color w:val="auto"/>
                <w:spacing w:val="0"/>
                <w:kern w:val="2"/>
                <w:sz w:val="24"/>
                <w:szCs w:val="24"/>
                <w:highlight w:val="none"/>
                <w:lang w:val="en-US" w:eastAsia="zh-CN" w:bidi="ar-SA"/>
              </w:rPr>
              <w:t>危险固体废物执行《危险废物贮存污染控制标准》（GB18597-2023）。</w:t>
            </w:r>
          </w:p>
        </w:tc>
      </w:tr>
      <w:tr w14:paraId="76B305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10" w:hRule="atLeast"/>
          <w:jc w:val="center"/>
        </w:trPr>
        <w:tc>
          <w:tcPr>
            <w:tcW w:w="1239" w:type="dxa"/>
            <w:noWrap w:val="0"/>
            <w:vAlign w:val="center"/>
          </w:tcPr>
          <w:p w14:paraId="4352CA7A">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土壤及地下水污染防治措施</w:t>
            </w:r>
          </w:p>
        </w:tc>
        <w:tc>
          <w:tcPr>
            <w:tcW w:w="7283" w:type="dxa"/>
            <w:gridSpan w:val="4"/>
            <w:noWrap w:val="0"/>
            <w:vAlign w:val="center"/>
          </w:tcPr>
          <w:p w14:paraId="198A5B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4"/>
                <w:szCs w:val="24"/>
                <w:highlight w:val="none"/>
              </w:rPr>
            </w:pPr>
            <w:r>
              <w:rPr>
                <w:rFonts w:hint="eastAsia" w:cs="宋体"/>
                <w:color w:val="auto"/>
                <w:spacing w:val="0"/>
                <w:sz w:val="24"/>
                <w:szCs w:val="24"/>
                <w:highlight w:val="none"/>
                <w:lang w:val="en-US" w:eastAsia="zh-CN"/>
              </w:rPr>
              <w:t>本项目危险废物贮存依托在建工程危险废物贮存库，</w:t>
            </w:r>
            <w:r>
              <w:rPr>
                <w:rFonts w:hint="eastAsia" w:cs="宋体"/>
                <w:color w:val="auto"/>
                <w:spacing w:val="0"/>
                <w:sz w:val="24"/>
                <w:szCs w:val="24"/>
                <w:highlight w:val="none"/>
                <w:lang w:eastAsia="zh-CN"/>
              </w:rPr>
              <w:t>危险废物贮存库</w:t>
            </w:r>
            <w:r>
              <w:rPr>
                <w:rFonts w:hint="eastAsia" w:ascii="宋体" w:hAnsi="宋体" w:eastAsia="宋体" w:cs="宋体"/>
                <w:color w:val="auto"/>
                <w:spacing w:val="0"/>
                <w:sz w:val="24"/>
                <w:szCs w:val="24"/>
                <w:highlight w:val="none"/>
              </w:rPr>
              <w:t>采取地面</w:t>
            </w:r>
            <w:r>
              <w:rPr>
                <w:rFonts w:hint="eastAsia" w:ascii="宋体" w:hAnsi="宋体" w:eastAsia="宋体" w:cs="宋体"/>
                <w:color w:val="auto"/>
                <w:spacing w:val="0"/>
                <w:sz w:val="24"/>
                <w:szCs w:val="24"/>
                <w:highlight w:val="none"/>
                <w:lang w:eastAsia="zh-CN"/>
              </w:rPr>
              <w:t>和裙脚</w:t>
            </w:r>
            <w:r>
              <w:rPr>
                <w:rFonts w:hint="eastAsia" w:ascii="宋体" w:hAnsi="宋体" w:eastAsia="宋体" w:cs="宋体"/>
                <w:color w:val="auto"/>
                <w:spacing w:val="0"/>
                <w:sz w:val="24"/>
                <w:szCs w:val="24"/>
                <w:highlight w:val="none"/>
              </w:rPr>
              <w:t>采用高</w:t>
            </w:r>
            <w:r>
              <w:rPr>
                <w:rFonts w:hint="eastAsia" w:ascii="宋体" w:hAnsi="宋体" w:eastAsia="宋体" w:cs="宋体"/>
                <w:color w:val="auto"/>
                <w:spacing w:val="0"/>
                <w:sz w:val="24"/>
                <w:szCs w:val="24"/>
                <w:highlight w:val="none"/>
                <w:lang w:eastAsia="zh-CN"/>
              </w:rPr>
              <w:t>密度</w:t>
            </w:r>
            <w:r>
              <w:rPr>
                <w:rFonts w:hint="eastAsia" w:ascii="宋体" w:hAnsi="宋体" w:eastAsia="宋体" w:cs="宋体"/>
                <w:color w:val="auto"/>
                <w:spacing w:val="0"/>
                <w:sz w:val="24"/>
                <w:szCs w:val="24"/>
                <w:highlight w:val="none"/>
              </w:rPr>
              <w:t>聚乙烯膜（HDPE）进行基础防渗措施，防渗技术要求达到等效粘土防渗层Mb≥2.0mm，K≤1×10</w:t>
            </w:r>
            <w:r>
              <w:rPr>
                <w:rFonts w:hint="eastAsia" w:ascii="宋体" w:hAnsi="宋体" w:eastAsia="宋体" w:cs="宋体"/>
                <w:color w:val="auto"/>
                <w:spacing w:val="0"/>
                <w:sz w:val="24"/>
                <w:szCs w:val="24"/>
                <w:highlight w:val="none"/>
                <w:vertAlign w:val="superscript"/>
              </w:rPr>
              <w:t>-10</w:t>
            </w:r>
            <w:r>
              <w:rPr>
                <w:rFonts w:hint="eastAsia" w:ascii="宋体" w:hAnsi="宋体" w:eastAsia="宋体" w:cs="宋体"/>
                <w:color w:val="auto"/>
                <w:spacing w:val="0"/>
                <w:sz w:val="24"/>
                <w:szCs w:val="24"/>
                <w:highlight w:val="none"/>
              </w:rPr>
              <w:t>cm/s，满足《危险废物贮存污染控制标准》</w:t>
            </w:r>
            <w:r>
              <w:rPr>
                <w:rFonts w:hint="eastAsia" w:ascii="宋体" w:hAnsi="宋体" w:eastAsia="宋体" w:cs="宋体"/>
                <w:color w:val="auto"/>
                <w:spacing w:val="0"/>
                <w:sz w:val="24"/>
                <w:szCs w:val="24"/>
                <w:highlight w:val="none"/>
                <w:lang w:eastAsia="zh-CN"/>
              </w:rPr>
              <w:t>（</w:t>
            </w:r>
            <w:r>
              <w:rPr>
                <w:rFonts w:hint="eastAsia" w:ascii="宋体" w:hAnsi="宋体" w:eastAsia="宋体" w:cs="宋体"/>
                <w:color w:val="auto"/>
                <w:spacing w:val="0"/>
                <w:sz w:val="24"/>
                <w:szCs w:val="24"/>
                <w:highlight w:val="none"/>
              </w:rPr>
              <w:t>GB18597-20</w:t>
            </w:r>
            <w:r>
              <w:rPr>
                <w:rFonts w:hint="eastAsia" w:ascii="宋体" w:hAnsi="宋体" w:eastAsia="宋体" w:cs="宋体"/>
                <w:color w:val="auto"/>
                <w:spacing w:val="0"/>
                <w:sz w:val="24"/>
                <w:szCs w:val="24"/>
                <w:highlight w:val="none"/>
                <w:lang w:val="en-US" w:eastAsia="zh-CN"/>
              </w:rPr>
              <w:t>23）</w:t>
            </w:r>
            <w:r>
              <w:rPr>
                <w:rFonts w:hint="eastAsia" w:ascii="宋体" w:hAnsi="宋体" w:eastAsia="宋体" w:cs="宋体"/>
                <w:color w:val="auto"/>
                <w:spacing w:val="0"/>
                <w:sz w:val="24"/>
                <w:szCs w:val="24"/>
                <w:highlight w:val="none"/>
              </w:rPr>
              <w:t>要求。</w:t>
            </w:r>
          </w:p>
        </w:tc>
      </w:tr>
      <w:tr w14:paraId="33B8C7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350" w:hRule="atLeast"/>
          <w:jc w:val="center"/>
        </w:trPr>
        <w:tc>
          <w:tcPr>
            <w:tcW w:w="1239" w:type="dxa"/>
            <w:noWrap w:val="0"/>
            <w:vAlign w:val="center"/>
          </w:tcPr>
          <w:p w14:paraId="0124A582">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环境风险</w:t>
            </w:r>
          </w:p>
          <w:p w14:paraId="183B0436">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防范措施</w:t>
            </w:r>
          </w:p>
        </w:tc>
        <w:tc>
          <w:tcPr>
            <w:tcW w:w="7283" w:type="dxa"/>
            <w:gridSpan w:val="4"/>
            <w:noWrap w:val="0"/>
            <w:vAlign w:val="center"/>
          </w:tcPr>
          <w:p w14:paraId="6827F4D1">
            <w:pPr>
              <w:widowControl/>
              <w:spacing w:line="240" w:lineRule="auto"/>
              <w:ind w:firstLine="360" w:firstLineChars="150"/>
              <w:jc w:val="left"/>
              <w:rPr>
                <w:rFonts w:hint="eastAsia" w:ascii="宋体" w:hAnsi="宋体" w:eastAsia="宋体" w:cs="宋体"/>
                <w:color w:val="auto"/>
                <w:spacing w:val="0"/>
                <w:sz w:val="24"/>
                <w:szCs w:val="24"/>
                <w:highlight w:val="none"/>
              </w:rPr>
            </w:pPr>
            <w:r>
              <w:rPr>
                <w:rFonts w:hint="eastAsia" w:cs="宋体"/>
                <w:color w:val="auto"/>
                <w:spacing w:val="0"/>
                <w:sz w:val="24"/>
                <w:szCs w:val="24"/>
                <w:highlight w:val="none"/>
                <w:lang w:val="en-US" w:eastAsia="zh-CN"/>
              </w:rPr>
              <w:t>1.</w:t>
            </w:r>
            <w:r>
              <w:rPr>
                <w:rFonts w:hint="eastAsia" w:ascii="宋体" w:hAnsi="宋体" w:eastAsia="宋体" w:cs="宋体"/>
                <w:color w:val="auto"/>
                <w:spacing w:val="0"/>
                <w:sz w:val="24"/>
                <w:szCs w:val="24"/>
                <w:highlight w:val="none"/>
                <w:lang w:eastAsia="zh-CN"/>
              </w:rPr>
              <w:t>危险废物贮存库</w:t>
            </w:r>
            <w:r>
              <w:rPr>
                <w:rFonts w:hint="eastAsia" w:ascii="宋体" w:hAnsi="宋体" w:eastAsia="宋体" w:cs="宋体"/>
                <w:color w:val="auto"/>
                <w:spacing w:val="0"/>
                <w:sz w:val="24"/>
                <w:szCs w:val="24"/>
                <w:highlight w:val="none"/>
              </w:rPr>
              <w:t>地面及裙角做耐腐蚀硬化、防渗漏处理，且表面无缝隙，所使用的材料要与危险废物相容；危险废物应储存于密闭容器中，并在容器外表设置环境保护图形标志和警示标志；危险废物应选择防腐、防漏、防磕碰、密封严格的容器进行贮存和运输，储存于阴凉、通风良好的</w:t>
            </w:r>
            <w:r>
              <w:rPr>
                <w:rFonts w:hint="eastAsia" w:ascii="宋体" w:hAnsi="宋体" w:eastAsia="宋体" w:cs="宋体"/>
                <w:color w:val="auto"/>
                <w:spacing w:val="0"/>
                <w:sz w:val="24"/>
                <w:szCs w:val="24"/>
                <w:highlight w:val="none"/>
                <w:lang w:val="en-US" w:eastAsia="zh-CN"/>
              </w:rPr>
              <w:t>危险废物贮存库</w:t>
            </w:r>
            <w:r>
              <w:rPr>
                <w:rFonts w:hint="eastAsia" w:ascii="宋体" w:hAnsi="宋体" w:eastAsia="宋体" w:cs="宋体"/>
                <w:color w:val="auto"/>
                <w:spacing w:val="0"/>
                <w:sz w:val="24"/>
                <w:szCs w:val="24"/>
                <w:highlight w:val="none"/>
              </w:rPr>
              <w:t>，远离火种、热源，应有专门人员看管。</w:t>
            </w:r>
          </w:p>
          <w:p w14:paraId="229D0A3C">
            <w:pPr>
              <w:widowControl/>
              <w:spacing w:line="240" w:lineRule="auto"/>
              <w:ind w:firstLine="360" w:firstLineChars="150"/>
              <w:jc w:val="left"/>
              <w:rPr>
                <w:rFonts w:hint="eastAsia" w:ascii="宋体" w:hAnsi="宋体" w:eastAsia="宋体" w:cs="宋体"/>
                <w:color w:val="auto"/>
                <w:spacing w:val="0"/>
                <w:sz w:val="24"/>
                <w:szCs w:val="24"/>
                <w:highlight w:val="none"/>
              </w:rPr>
            </w:pPr>
            <w:r>
              <w:rPr>
                <w:rFonts w:hint="eastAsia" w:cs="宋体"/>
                <w:color w:val="auto"/>
                <w:spacing w:val="0"/>
                <w:sz w:val="24"/>
                <w:szCs w:val="24"/>
                <w:highlight w:val="none"/>
                <w:lang w:val="en-US" w:eastAsia="zh-CN"/>
              </w:rPr>
              <w:t>2.</w:t>
            </w:r>
            <w:r>
              <w:rPr>
                <w:rFonts w:hint="eastAsia" w:ascii="宋体" w:hAnsi="宋体" w:eastAsia="宋体" w:cs="宋体"/>
                <w:color w:val="auto"/>
                <w:spacing w:val="0"/>
                <w:sz w:val="24"/>
                <w:szCs w:val="24"/>
                <w:highlight w:val="none"/>
              </w:rPr>
              <w:t>加强对设备的维修管理，建立定期维护的人员编制和相关制度，制定严格的规范操作规程，以保证各装置的正常运转；</w:t>
            </w:r>
          </w:p>
          <w:p w14:paraId="7AD7A193">
            <w:pPr>
              <w:widowControl/>
              <w:spacing w:line="240" w:lineRule="auto"/>
              <w:ind w:firstLine="360" w:firstLineChars="150"/>
              <w:jc w:val="left"/>
              <w:rPr>
                <w:rFonts w:hint="eastAsia" w:ascii="宋体" w:hAnsi="宋体" w:eastAsia="宋体" w:cs="宋体"/>
                <w:color w:val="auto"/>
                <w:spacing w:val="0"/>
                <w:sz w:val="24"/>
                <w:szCs w:val="24"/>
                <w:highlight w:val="none"/>
              </w:rPr>
            </w:pPr>
            <w:r>
              <w:rPr>
                <w:rFonts w:hint="eastAsia" w:cs="宋体"/>
                <w:color w:val="auto"/>
                <w:spacing w:val="0"/>
                <w:sz w:val="24"/>
                <w:szCs w:val="24"/>
                <w:highlight w:val="none"/>
                <w:lang w:val="en-US" w:eastAsia="zh-CN"/>
              </w:rPr>
              <w:t>3.</w:t>
            </w:r>
            <w:r>
              <w:rPr>
                <w:rFonts w:hint="eastAsia" w:ascii="宋体" w:hAnsi="宋体" w:eastAsia="宋体" w:cs="宋体"/>
                <w:color w:val="auto"/>
                <w:spacing w:val="0"/>
                <w:sz w:val="24"/>
                <w:szCs w:val="24"/>
                <w:highlight w:val="none"/>
              </w:rPr>
              <w:t>油类物质及危害水环境物质均储存于阴凉、通风的贮存间内，远离火种、热源。房间内粘贴警示标志，周边严禁烟火，防止发生火灾爆炸等危险；</w:t>
            </w:r>
          </w:p>
          <w:p w14:paraId="6BF970DE">
            <w:pPr>
              <w:widowControl/>
              <w:spacing w:line="240" w:lineRule="auto"/>
              <w:ind w:firstLine="360" w:firstLineChars="150"/>
              <w:jc w:val="left"/>
              <w:rPr>
                <w:rFonts w:hint="eastAsia" w:ascii="宋体" w:hAnsi="宋体" w:eastAsia="宋体" w:cs="宋体"/>
                <w:color w:val="auto"/>
                <w:spacing w:val="0"/>
                <w:sz w:val="24"/>
                <w:szCs w:val="24"/>
                <w:highlight w:val="none"/>
              </w:rPr>
            </w:pPr>
            <w:r>
              <w:rPr>
                <w:rFonts w:hint="eastAsia" w:cs="宋体"/>
                <w:color w:val="auto"/>
                <w:spacing w:val="0"/>
                <w:sz w:val="24"/>
                <w:szCs w:val="24"/>
                <w:highlight w:val="none"/>
                <w:lang w:val="en-US" w:eastAsia="zh-CN"/>
              </w:rPr>
              <w:t>4.</w:t>
            </w:r>
            <w:r>
              <w:rPr>
                <w:rFonts w:hint="eastAsia" w:ascii="宋体" w:hAnsi="宋体" w:eastAsia="宋体" w:cs="宋体"/>
                <w:color w:val="auto"/>
                <w:spacing w:val="0"/>
                <w:sz w:val="24"/>
                <w:szCs w:val="24"/>
                <w:highlight w:val="none"/>
              </w:rPr>
              <w:t>按照《建筑灭火器配置设计规范》（GB50140-2005），库房内配置一定数量不同类型、不同规格的移动式灭火器材，以便及时扑救初始零星火灾。</w:t>
            </w:r>
          </w:p>
          <w:p w14:paraId="371B383B">
            <w:pPr>
              <w:widowControl/>
              <w:spacing w:line="240" w:lineRule="auto"/>
              <w:ind w:firstLine="360" w:firstLineChars="150"/>
              <w:jc w:val="left"/>
              <w:rPr>
                <w:rFonts w:hint="eastAsia" w:ascii="宋体" w:hAnsi="宋体" w:eastAsia="宋体" w:cs="宋体"/>
                <w:color w:val="auto"/>
                <w:spacing w:val="0"/>
                <w:sz w:val="24"/>
                <w:szCs w:val="24"/>
                <w:highlight w:val="none"/>
              </w:rPr>
            </w:pPr>
            <w:r>
              <w:rPr>
                <w:rFonts w:hint="eastAsia" w:cs="宋体"/>
                <w:color w:val="auto"/>
                <w:spacing w:val="0"/>
                <w:sz w:val="24"/>
                <w:szCs w:val="24"/>
                <w:highlight w:val="none"/>
                <w:lang w:val="en-US" w:eastAsia="zh-CN"/>
              </w:rPr>
              <w:t>5.</w:t>
            </w:r>
            <w:r>
              <w:rPr>
                <w:rFonts w:hint="eastAsia" w:ascii="宋体" w:hAnsi="宋体" w:eastAsia="宋体" w:cs="宋体"/>
                <w:color w:val="auto"/>
                <w:spacing w:val="0"/>
                <w:sz w:val="24"/>
                <w:szCs w:val="24"/>
                <w:highlight w:val="none"/>
              </w:rPr>
              <w:t>一旦发现室内风险物质泄漏，现场人员应佩戴口罩，做好个人防护，迅速将包装桶倾斜，使破损处朝上，防止继续泄漏，然后将其转移至空桶内。并及时采用砂土或其他不燃材料吸附或吸收，吸附废物集中收集后委托有资质的单位处置。</w:t>
            </w:r>
          </w:p>
          <w:p w14:paraId="45B5B6DB">
            <w:pPr>
              <w:widowControl/>
              <w:spacing w:line="240" w:lineRule="auto"/>
              <w:ind w:firstLine="360" w:firstLineChars="150"/>
              <w:jc w:val="left"/>
              <w:rPr>
                <w:rFonts w:hint="eastAsia" w:ascii="宋体" w:hAnsi="宋体" w:eastAsia="宋体" w:cs="宋体"/>
                <w:color w:val="auto"/>
                <w:spacing w:val="0"/>
                <w:sz w:val="24"/>
                <w:szCs w:val="24"/>
                <w:highlight w:val="none"/>
              </w:rPr>
            </w:pPr>
            <w:r>
              <w:rPr>
                <w:rFonts w:hint="eastAsia" w:cs="宋体"/>
                <w:color w:val="auto"/>
                <w:spacing w:val="0"/>
                <w:sz w:val="24"/>
                <w:szCs w:val="24"/>
                <w:highlight w:val="none"/>
                <w:lang w:val="en-US" w:eastAsia="zh-CN"/>
              </w:rPr>
              <w:t>6.</w:t>
            </w:r>
            <w:r>
              <w:rPr>
                <w:rFonts w:hint="eastAsia" w:ascii="宋体" w:hAnsi="宋体" w:eastAsia="宋体" w:cs="宋体"/>
                <w:color w:val="auto"/>
                <w:spacing w:val="0"/>
                <w:sz w:val="24"/>
                <w:szCs w:val="24"/>
                <w:highlight w:val="none"/>
              </w:rPr>
              <w:t>发生室外泄漏事故时，为防止对区域地表水环境造成影响，及时封堵雨水排口，防止经由雨水排口排入附近河流中造成水体污染。</w:t>
            </w:r>
          </w:p>
          <w:p w14:paraId="7CEC8A5D">
            <w:pPr>
              <w:widowControl/>
              <w:spacing w:line="240" w:lineRule="auto"/>
              <w:ind w:firstLine="360" w:firstLineChars="150"/>
              <w:jc w:val="left"/>
              <w:rPr>
                <w:rFonts w:hint="eastAsia" w:ascii="宋体" w:hAnsi="宋体" w:eastAsia="宋体" w:cs="宋体"/>
                <w:color w:val="auto"/>
                <w:spacing w:val="0"/>
                <w:sz w:val="24"/>
                <w:szCs w:val="24"/>
                <w:highlight w:val="none"/>
              </w:rPr>
            </w:pPr>
            <w:r>
              <w:rPr>
                <w:rFonts w:hint="eastAsia" w:cs="宋体"/>
                <w:color w:val="auto"/>
                <w:spacing w:val="0"/>
                <w:sz w:val="24"/>
                <w:szCs w:val="24"/>
                <w:highlight w:val="none"/>
                <w:lang w:val="en-US" w:eastAsia="zh-CN"/>
              </w:rPr>
              <w:t>7.</w:t>
            </w:r>
            <w:r>
              <w:rPr>
                <w:rFonts w:hint="eastAsia" w:ascii="宋体" w:hAnsi="宋体" w:eastAsia="宋体" w:cs="宋体"/>
                <w:color w:val="auto"/>
                <w:spacing w:val="0"/>
                <w:sz w:val="24"/>
                <w:szCs w:val="24"/>
                <w:highlight w:val="none"/>
              </w:rPr>
              <w:t>当发生火灾事故时，现场人员或其他人员应该立刻拨打火警电话119，并立即通知有关人员停止作业，尽快切断所有电源，组织人员和其他易燃物品的疏散，使用灭火器及沙土即可。</w:t>
            </w:r>
          </w:p>
        </w:tc>
      </w:tr>
      <w:tr w14:paraId="567293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1239" w:type="dxa"/>
            <w:noWrap w:val="0"/>
            <w:vAlign w:val="center"/>
          </w:tcPr>
          <w:p w14:paraId="5ECF3050">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其他环境</w:t>
            </w:r>
          </w:p>
          <w:p w14:paraId="28690C89">
            <w:pPr>
              <w:spacing w:line="240" w:lineRule="auto"/>
              <w:ind w:firstLine="0" w:firstLineChars="0"/>
              <w:jc w:val="center"/>
              <w:rPr>
                <w:rFonts w:hint="eastAsia" w:ascii="宋体" w:hAnsi="宋体" w:eastAsia="宋体" w:cs="宋体"/>
                <w:color w:val="auto"/>
                <w:spacing w:val="0"/>
                <w:sz w:val="24"/>
                <w:szCs w:val="24"/>
                <w:highlight w:val="none"/>
              </w:rPr>
            </w:pPr>
            <w:r>
              <w:rPr>
                <w:rFonts w:hint="eastAsia" w:ascii="宋体" w:hAnsi="宋体" w:eastAsia="宋体" w:cs="宋体"/>
                <w:color w:val="auto"/>
                <w:spacing w:val="0"/>
                <w:sz w:val="24"/>
                <w:szCs w:val="24"/>
                <w:highlight w:val="none"/>
              </w:rPr>
              <w:t>管理要求</w:t>
            </w:r>
          </w:p>
        </w:tc>
        <w:tc>
          <w:tcPr>
            <w:tcW w:w="7283" w:type="dxa"/>
            <w:gridSpan w:val="4"/>
            <w:noWrap w:val="0"/>
            <w:vAlign w:val="center"/>
          </w:tcPr>
          <w:p w14:paraId="52795954">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宋体" w:hAnsi="宋体" w:eastAsia="宋体" w:cs="宋体"/>
                <w:b/>
                <w:bCs/>
                <w:color w:val="auto"/>
                <w:spacing w:val="0"/>
                <w:kern w:val="0"/>
                <w:sz w:val="24"/>
                <w:szCs w:val="24"/>
                <w:highlight w:val="none"/>
              </w:rPr>
            </w:pPr>
            <w:r>
              <w:rPr>
                <w:rFonts w:hint="eastAsia" w:cs="宋体"/>
                <w:b/>
                <w:bCs/>
                <w:color w:val="auto"/>
                <w:spacing w:val="0"/>
                <w:kern w:val="0"/>
                <w:sz w:val="24"/>
                <w:szCs w:val="24"/>
                <w:highlight w:val="none"/>
                <w:lang w:val="en-US" w:eastAsia="zh-CN"/>
              </w:rPr>
              <w:t>1.</w:t>
            </w:r>
            <w:r>
              <w:rPr>
                <w:rFonts w:hint="eastAsia" w:ascii="宋体" w:hAnsi="宋体" w:eastAsia="宋体" w:cs="宋体"/>
                <w:b/>
                <w:bCs/>
                <w:color w:val="auto"/>
                <w:spacing w:val="0"/>
                <w:kern w:val="0"/>
                <w:sz w:val="24"/>
                <w:szCs w:val="24"/>
                <w:highlight w:val="none"/>
              </w:rPr>
              <w:t>严格</w:t>
            </w:r>
            <w:r>
              <w:rPr>
                <w:rFonts w:hint="eastAsia" w:ascii="宋体" w:hAnsi="宋体" w:eastAsia="宋体" w:cs="宋体"/>
                <w:b/>
                <w:bCs/>
                <w:color w:val="auto"/>
                <w:spacing w:val="0"/>
                <w:kern w:val="0"/>
                <w:sz w:val="24"/>
                <w:szCs w:val="24"/>
                <w:highlight w:val="none"/>
                <w:lang w:val="en-US" w:eastAsia="zh-CN"/>
              </w:rPr>
              <w:t>落实</w:t>
            </w:r>
            <w:r>
              <w:rPr>
                <w:rFonts w:hint="eastAsia" w:ascii="宋体" w:hAnsi="宋体" w:eastAsia="宋体" w:cs="宋体"/>
                <w:b/>
                <w:bCs/>
                <w:color w:val="auto"/>
                <w:spacing w:val="0"/>
                <w:kern w:val="0"/>
                <w:sz w:val="24"/>
                <w:szCs w:val="24"/>
                <w:highlight w:val="none"/>
              </w:rPr>
              <w:t>排污许可制度</w:t>
            </w:r>
          </w:p>
          <w:p w14:paraId="446B2FEB">
            <w:pPr>
              <w:keepNext w:val="0"/>
              <w:keepLines w:val="0"/>
              <w:widowControl/>
              <w:suppressLineNumbers w:val="0"/>
              <w:jc w:val="left"/>
              <w:rPr>
                <w:rFonts w:hint="eastAsia" w:ascii="宋体" w:hAnsi="宋体" w:eastAsia="宋体" w:cs="宋体"/>
                <w:color w:val="auto"/>
                <w:spacing w:val="0"/>
                <w:kern w:val="0"/>
                <w:sz w:val="24"/>
                <w:szCs w:val="24"/>
                <w:highlight w:val="none"/>
              </w:rPr>
            </w:pPr>
            <w:r>
              <w:rPr>
                <w:rFonts w:hint="eastAsia" w:ascii="宋体" w:hAnsi="宋体" w:eastAsia="宋体" w:cs="宋体"/>
                <w:color w:val="auto"/>
                <w:spacing w:val="0"/>
                <w:kern w:val="0"/>
                <w:sz w:val="24"/>
                <w:szCs w:val="24"/>
                <w:highlight w:val="none"/>
              </w:rPr>
              <w:t>据《国务院办公厅关于印发控制污染物排放许可制实施方案的通知》（国办发</w:t>
            </w:r>
            <w:r>
              <w:rPr>
                <w:rFonts w:hint="eastAsia" w:ascii="宋体" w:hAnsi="宋体" w:eastAsia="宋体" w:cs="宋体"/>
                <w:color w:val="auto"/>
                <w:spacing w:val="0"/>
                <w:kern w:val="0"/>
                <w:sz w:val="24"/>
                <w:szCs w:val="24"/>
                <w:highlight w:val="none"/>
                <w:lang w:eastAsia="zh-CN"/>
              </w:rPr>
              <w:t>〔</w:t>
            </w:r>
            <w:r>
              <w:rPr>
                <w:rFonts w:hint="eastAsia" w:ascii="宋体" w:hAnsi="宋体" w:eastAsia="宋体" w:cs="宋体"/>
                <w:color w:val="auto"/>
                <w:spacing w:val="0"/>
                <w:kern w:val="0"/>
                <w:sz w:val="24"/>
                <w:szCs w:val="24"/>
                <w:highlight w:val="none"/>
              </w:rPr>
              <w:t>2016</w:t>
            </w:r>
            <w:r>
              <w:rPr>
                <w:rFonts w:hint="eastAsia" w:ascii="宋体" w:hAnsi="宋体" w:eastAsia="宋体" w:cs="宋体"/>
                <w:color w:val="auto"/>
                <w:spacing w:val="0"/>
                <w:kern w:val="0"/>
                <w:sz w:val="24"/>
                <w:szCs w:val="24"/>
                <w:highlight w:val="none"/>
                <w:lang w:eastAsia="zh-CN"/>
              </w:rPr>
              <w:t>〕</w:t>
            </w:r>
            <w:r>
              <w:rPr>
                <w:rFonts w:hint="eastAsia" w:ascii="宋体" w:hAnsi="宋体" w:eastAsia="宋体" w:cs="宋体"/>
                <w:color w:val="auto"/>
                <w:spacing w:val="0"/>
                <w:kern w:val="0"/>
                <w:sz w:val="24"/>
                <w:szCs w:val="24"/>
                <w:highlight w:val="none"/>
              </w:rPr>
              <w:t>81号）、《固定污染源排污许可分类管理名录（2019年版）》本项目属于</w:t>
            </w:r>
            <w:r>
              <w:rPr>
                <w:rFonts w:hint="eastAsia" w:ascii="宋体" w:hAnsi="宋体" w:eastAsia="宋体" w:cs="宋体"/>
                <w:color w:val="auto"/>
                <w:spacing w:val="0"/>
                <w:kern w:val="0"/>
                <w:sz w:val="24"/>
                <w:szCs w:val="24"/>
                <w:highlight w:val="none"/>
                <w:lang w:eastAsia="zh-CN"/>
              </w:rPr>
              <w:t>“</w:t>
            </w:r>
            <w:r>
              <w:rPr>
                <w:rFonts w:hint="eastAsia" w:ascii="宋体" w:hAnsi="宋体" w:eastAsia="宋体" w:cs="宋体"/>
                <w:color w:val="auto"/>
                <w:spacing w:val="0"/>
                <w:kern w:val="0"/>
                <w:sz w:val="24"/>
                <w:szCs w:val="24"/>
                <w:highlight w:val="none"/>
                <w:lang w:val="en-US" w:eastAsia="zh-CN"/>
              </w:rPr>
              <w:t>五十一、通用工序”中的“锅炉”中的“除纳入重点排污单位名录的，单台且合计出力20吨/小时（14兆瓦）以下的锅炉（不含热电锅炉）</w:t>
            </w:r>
            <w:r>
              <w:rPr>
                <w:rFonts w:hint="eastAsia" w:ascii="宋体" w:hAnsi="宋体" w:eastAsia="宋体" w:cs="宋体"/>
                <w:color w:val="auto"/>
                <w:spacing w:val="0"/>
                <w:kern w:val="0"/>
                <w:sz w:val="24"/>
                <w:szCs w:val="24"/>
                <w:highlight w:val="none"/>
                <w:lang w:eastAsia="zh-CN"/>
              </w:rPr>
              <w:t>”</w:t>
            </w:r>
            <w:r>
              <w:rPr>
                <w:rFonts w:hint="eastAsia" w:cs="宋体"/>
                <w:color w:val="auto"/>
                <w:spacing w:val="0"/>
                <w:kern w:val="0"/>
                <w:sz w:val="24"/>
                <w:szCs w:val="24"/>
                <w:highlight w:val="none"/>
                <w:lang w:val="en-US" w:eastAsia="zh-CN"/>
              </w:rPr>
              <w:t>应</w:t>
            </w:r>
            <w:r>
              <w:rPr>
                <w:rFonts w:hint="eastAsia" w:ascii="宋体" w:hAnsi="宋体" w:eastAsia="宋体" w:cs="宋体"/>
                <w:bCs w:val="0"/>
                <w:color w:val="auto"/>
                <w:spacing w:val="0"/>
                <w:kern w:val="0"/>
                <w:sz w:val="24"/>
                <w:szCs w:val="24"/>
                <w:highlight w:val="none"/>
                <w:lang w:val="en-US" w:eastAsia="zh-CN" w:bidi="ar"/>
              </w:rPr>
              <w:t>属于实施登记管理。</w:t>
            </w:r>
            <w:r>
              <w:rPr>
                <w:rFonts w:hint="eastAsia" w:cs="宋体"/>
                <w:bCs w:val="0"/>
                <w:color w:val="auto"/>
                <w:spacing w:val="0"/>
                <w:kern w:val="0"/>
                <w:sz w:val="24"/>
                <w:szCs w:val="24"/>
                <w:highlight w:val="none"/>
                <w:lang w:val="en-US" w:eastAsia="zh-CN" w:bidi="ar"/>
              </w:rPr>
              <w:t>目前现有工程处于在建阶段，排污许可正在申请过程中，本项目建成后，应根据全厂建设情况对排污许可证进行变更，将本项目建设情况纳入排污许可申领的范围之内。</w:t>
            </w:r>
            <w:r>
              <w:rPr>
                <w:rFonts w:hint="eastAsia" w:ascii="宋体" w:hAnsi="宋体" w:eastAsia="宋体" w:cs="宋体"/>
                <w:bCs w:val="0"/>
                <w:color w:val="auto"/>
                <w:spacing w:val="0"/>
                <w:kern w:val="0"/>
                <w:sz w:val="24"/>
                <w:szCs w:val="24"/>
                <w:highlight w:val="none"/>
                <w:lang w:val="en-US" w:eastAsia="zh-CN" w:bidi="ar"/>
              </w:rPr>
              <w:t>项目</w:t>
            </w:r>
            <w:r>
              <w:rPr>
                <w:rFonts w:hint="eastAsia" w:ascii="宋体" w:hAnsi="宋体" w:eastAsia="宋体" w:cs="宋体"/>
                <w:color w:val="auto"/>
                <w:spacing w:val="0"/>
                <w:sz w:val="24"/>
                <w:highlight w:val="none"/>
              </w:rPr>
              <w:t>应当在启动生产设施或实际排污之前</w:t>
            </w:r>
            <w:r>
              <w:rPr>
                <w:rFonts w:hint="eastAsia" w:ascii="宋体" w:hAnsi="宋体" w:eastAsia="宋体" w:cs="宋体"/>
                <w:color w:val="auto"/>
                <w:spacing w:val="0"/>
                <w:sz w:val="24"/>
                <w:highlight w:val="none"/>
                <w:lang w:val="en-US" w:eastAsia="zh-CN"/>
              </w:rPr>
              <w:t>对锅炉进行排污许可</w:t>
            </w:r>
            <w:r>
              <w:rPr>
                <w:rFonts w:hint="eastAsia" w:cs="宋体"/>
                <w:color w:val="auto"/>
                <w:spacing w:val="0"/>
                <w:sz w:val="24"/>
                <w:highlight w:val="none"/>
                <w:lang w:val="en-US" w:eastAsia="zh-CN"/>
              </w:rPr>
              <w:t>证申领</w:t>
            </w:r>
            <w:r>
              <w:rPr>
                <w:rFonts w:hint="eastAsia" w:ascii="宋体" w:hAnsi="宋体" w:eastAsia="宋体" w:cs="宋体"/>
                <w:color w:val="auto"/>
                <w:spacing w:val="0"/>
                <w:sz w:val="24"/>
                <w:highlight w:val="none"/>
                <w:lang w:val="en-US" w:eastAsia="zh-CN"/>
              </w:rPr>
              <w:t>，做到持证排污</w:t>
            </w:r>
            <w:r>
              <w:rPr>
                <w:rFonts w:hint="eastAsia" w:ascii="宋体" w:hAnsi="宋体" w:eastAsia="宋体" w:cs="宋体"/>
                <w:color w:val="auto"/>
                <w:spacing w:val="0"/>
                <w:sz w:val="24"/>
                <w:highlight w:val="none"/>
              </w:rPr>
              <w:t>。</w:t>
            </w:r>
          </w:p>
          <w:p w14:paraId="28C8DF7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bCs/>
                <w:color w:val="auto"/>
                <w:spacing w:val="0"/>
                <w:kern w:val="0"/>
                <w:sz w:val="24"/>
                <w:szCs w:val="24"/>
                <w:highlight w:val="none"/>
              </w:rPr>
            </w:pPr>
            <w:r>
              <w:rPr>
                <w:rFonts w:hint="eastAsia" w:cs="宋体"/>
                <w:b/>
                <w:bCs/>
                <w:color w:val="auto"/>
                <w:spacing w:val="0"/>
                <w:kern w:val="0"/>
                <w:sz w:val="24"/>
                <w:szCs w:val="24"/>
                <w:highlight w:val="none"/>
                <w:lang w:val="en-US" w:eastAsia="zh-CN"/>
              </w:rPr>
              <w:t>2.</w:t>
            </w:r>
            <w:r>
              <w:rPr>
                <w:rFonts w:hint="eastAsia" w:ascii="宋体" w:hAnsi="宋体" w:eastAsia="宋体" w:cs="宋体"/>
                <w:b/>
                <w:bCs/>
                <w:color w:val="auto"/>
                <w:spacing w:val="0"/>
                <w:kern w:val="0"/>
                <w:sz w:val="24"/>
                <w:szCs w:val="24"/>
                <w:highlight w:val="none"/>
              </w:rPr>
              <w:t>三同时竣工验收</w:t>
            </w:r>
          </w:p>
          <w:p w14:paraId="2DACCB2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pacing w:val="0"/>
                <w:kern w:val="0"/>
                <w:sz w:val="24"/>
                <w:szCs w:val="24"/>
                <w:highlight w:val="none"/>
              </w:rPr>
            </w:pPr>
            <w:r>
              <w:rPr>
                <w:rFonts w:hint="eastAsia" w:ascii="宋体" w:hAnsi="宋体" w:eastAsia="宋体" w:cs="宋体"/>
                <w:color w:val="auto"/>
                <w:spacing w:val="0"/>
                <w:kern w:val="0"/>
                <w:sz w:val="24"/>
                <w:szCs w:val="24"/>
                <w:highlight w:val="none"/>
              </w:rPr>
              <w:t>建设单位应当按照“关于发布《建设项目竣工环境保护验收暂行办法》的公告（国环规环评</w:t>
            </w:r>
            <w:r>
              <w:rPr>
                <w:rFonts w:hint="eastAsia" w:cs="宋体"/>
                <w:color w:val="auto"/>
                <w:spacing w:val="0"/>
                <w:kern w:val="0"/>
                <w:sz w:val="24"/>
                <w:szCs w:val="24"/>
                <w:highlight w:val="none"/>
                <w:lang w:eastAsia="zh-CN"/>
              </w:rPr>
              <w:t>〔2017〕4号</w:t>
            </w:r>
            <w:r>
              <w:rPr>
                <w:rFonts w:hint="eastAsia" w:ascii="宋体" w:hAnsi="宋体" w:eastAsia="宋体" w:cs="宋体"/>
                <w:color w:val="auto"/>
                <w:spacing w:val="0"/>
                <w:kern w:val="0"/>
                <w:sz w:val="24"/>
                <w:szCs w:val="24"/>
                <w:highlight w:val="none"/>
              </w:rPr>
              <w:t>）”中“《建设项目竣工环境保护验收暂行办法》”要求，可以组织成立验收工作组，采取现场检查、资料查阅、召开验收会议等方式，协助开展验收工作，自行或委托有能力的技术机构编制验收报告</w:t>
            </w:r>
            <w:r>
              <w:rPr>
                <w:rFonts w:hint="eastAsia" w:cs="宋体"/>
                <w:color w:val="auto"/>
                <w:spacing w:val="0"/>
                <w:kern w:val="0"/>
                <w:sz w:val="24"/>
                <w:szCs w:val="24"/>
                <w:highlight w:val="none"/>
                <w:lang w:eastAsia="zh-CN"/>
              </w:rPr>
              <w:t>。</w:t>
            </w:r>
          </w:p>
          <w:p w14:paraId="23F1C0F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b/>
                <w:bCs/>
                <w:color w:val="auto"/>
                <w:spacing w:val="0"/>
                <w:sz w:val="24"/>
                <w:szCs w:val="24"/>
                <w:highlight w:val="none"/>
                <w:lang w:val="en-US" w:eastAsia="zh-CN"/>
              </w:rPr>
            </w:pPr>
            <w:r>
              <w:rPr>
                <w:rFonts w:hint="eastAsia" w:cs="宋体"/>
                <w:b/>
                <w:bCs/>
                <w:color w:val="auto"/>
                <w:spacing w:val="0"/>
                <w:sz w:val="24"/>
                <w:szCs w:val="24"/>
                <w:highlight w:val="none"/>
                <w:lang w:val="en-US" w:eastAsia="zh-CN"/>
              </w:rPr>
              <w:t>3.</w:t>
            </w:r>
            <w:r>
              <w:rPr>
                <w:rFonts w:hint="eastAsia" w:ascii="宋体" w:hAnsi="宋体" w:eastAsia="宋体" w:cs="宋体"/>
                <w:b/>
                <w:bCs/>
                <w:color w:val="auto"/>
                <w:spacing w:val="0"/>
                <w:sz w:val="24"/>
                <w:szCs w:val="24"/>
                <w:highlight w:val="none"/>
                <w:lang w:val="en-US" w:eastAsia="zh-CN"/>
              </w:rPr>
              <w:t>环境管理</w:t>
            </w:r>
          </w:p>
          <w:p w14:paraId="18C905E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根据国家和地方有关法规，公司应设置专职的环境管理机构。其职责是制定公司的环保工作计划、规章制度，统筹管理公司内部环保治理工作；负责与政府环境保护部门取得联系；负责项目的环评报批、竣工环保验收，监督环境保护设施的运行等。</w:t>
            </w:r>
          </w:p>
          <w:p w14:paraId="21D2902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全公司设有各部门负责人担当环境保护领导小组成员，下设专职环保人员。环境保护设施由公司统一管理，专（兼）职环保人员与环境保护领导小组专职人员积极配合，落实正常生产中的环保措施，反馈污染治理设备的运行情况。针对项目实施过程中各阶段的具体情况，环境保护管理工作均由公司现有环境管理机构承担。</w:t>
            </w:r>
          </w:p>
          <w:p w14:paraId="2FCDACE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eastAsia" w:ascii="宋体" w:hAnsi="宋体" w:eastAsia="宋体" w:cs="宋体"/>
                <w:b/>
                <w:bCs/>
                <w:color w:val="auto"/>
                <w:spacing w:val="0"/>
                <w:kern w:val="0"/>
                <w:sz w:val="24"/>
                <w:szCs w:val="24"/>
                <w:highlight w:val="none"/>
              </w:rPr>
            </w:pPr>
            <w:r>
              <w:rPr>
                <w:rFonts w:hint="eastAsia" w:cs="宋体"/>
                <w:b/>
                <w:bCs/>
                <w:color w:val="auto"/>
                <w:spacing w:val="0"/>
                <w:kern w:val="0"/>
                <w:sz w:val="24"/>
                <w:szCs w:val="24"/>
                <w:highlight w:val="none"/>
                <w:lang w:val="en-US" w:eastAsia="zh-CN"/>
              </w:rPr>
              <w:t>4.</w:t>
            </w:r>
            <w:r>
              <w:rPr>
                <w:rFonts w:hint="eastAsia" w:ascii="宋体" w:hAnsi="宋体" w:eastAsia="宋体" w:cs="宋体"/>
                <w:b/>
                <w:bCs/>
                <w:color w:val="auto"/>
                <w:spacing w:val="0"/>
                <w:kern w:val="0"/>
                <w:sz w:val="24"/>
                <w:szCs w:val="24"/>
                <w:highlight w:val="none"/>
              </w:rPr>
              <w:t>环保投资概述</w:t>
            </w:r>
          </w:p>
          <w:p w14:paraId="225629B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eastAsia" w:ascii="宋体" w:hAnsi="宋体" w:eastAsia="宋体" w:cs="宋体"/>
                <w:color w:val="auto"/>
                <w:spacing w:val="0"/>
                <w:kern w:val="0"/>
                <w:sz w:val="24"/>
                <w:szCs w:val="24"/>
                <w:highlight w:val="none"/>
              </w:rPr>
            </w:pPr>
            <w:r>
              <w:rPr>
                <w:rFonts w:hint="eastAsia" w:ascii="宋体" w:hAnsi="宋体" w:eastAsia="宋体" w:cs="宋体"/>
                <w:color w:val="auto"/>
                <w:spacing w:val="0"/>
                <w:kern w:val="0"/>
                <w:sz w:val="24"/>
                <w:szCs w:val="24"/>
                <w:highlight w:val="none"/>
              </w:rPr>
              <w:t>本项目总投资</w:t>
            </w:r>
            <w:r>
              <w:rPr>
                <w:rFonts w:hint="eastAsia" w:cs="宋体"/>
                <w:color w:val="auto"/>
                <w:spacing w:val="0"/>
                <w:sz w:val="24"/>
                <w:szCs w:val="24"/>
                <w:highlight w:val="none"/>
                <w:lang w:val="en-US" w:eastAsia="zh-CN"/>
              </w:rPr>
              <w:t>100</w:t>
            </w:r>
            <w:r>
              <w:rPr>
                <w:rFonts w:hint="eastAsia" w:ascii="宋体" w:hAnsi="宋体" w:eastAsia="宋体" w:cs="宋体"/>
                <w:color w:val="auto"/>
                <w:spacing w:val="0"/>
                <w:kern w:val="0"/>
                <w:sz w:val="24"/>
                <w:szCs w:val="24"/>
                <w:highlight w:val="none"/>
              </w:rPr>
              <w:t>万元，环保投资约</w:t>
            </w:r>
            <w:r>
              <w:rPr>
                <w:rFonts w:hint="eastAsia" w:cs="宋体"/>
                <w:color w:val="auto"/>
                <w:spacing w:val="0"/>
                <w:kern w:val="0"/>
                <w:sz w:val="24"/>
                <w:szCs w:val="24"/>
                <w:highlight w:val="none"/>
                <w:lang w:val="en-US" w:eastAsia="zh-CN"/>
              </w:rPr>
              <w:t>43.1</w:t>
            </w:r>
            <w:r>
              <w:rPr>
                <w:rFonts w:hint="eastAsia" w:ascii="宋体" w:hAnsi="宋体" w:eastAsia="宋体" w:cs="宋体"/>
                <w:color w:val="auto"/>
                <w:spacing w:val="0"/>
                <w:kern w:val="0"/>
                <w:sz w:val="24"/>
                <w:szCs w:val="24"/>
                <w:highlight w:val="none"/>
              </w:rPr>
              <w:t>万元，占工程总投资的</w:t>
            </w:r>
            <w:r>
              <w:rPr>
                <w:rFonts w:hint="eastAsia" w:cs="宋体"/>
                <w:color w:val="auto"/>
                <w:spacing w:val="0"/>
                <w:kern w:val="0"/>
                <w:sz w:val="24"/>
                <w:szCs w:val="24"/>
                <w:highlight w:val="none"/>
                <w:lang w:val="en-US" w:eastAsia="zh-CN"/>
              </w:rPr>
              <w:t>43.1</w:t>
            </w:r>
            <w:r>
              <w:rPr>
                <w:rFonts w:hint="eastAsia" w:ascii="宋体" w:hAnsi="宋体" w:eastAsia="宋体" w:cs="宋体"/>
                <w:color w:val="auto"/>
                <w:spacing w:val="0"/>
                <w:kern w:val="0"/>
                <w:sz w:val="24"/>
                <w:szCs w:val="24"/>
                <w:highlight w:val="none"/>
              </w:rPr>
              <w:t>%，具体环保投资见下表。</w:t>
            </w:r>
          </w:p>
          <w:p w14:paraId="3A4910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0"/>
                <w:szCs w:val="21"/>
                <w:highlight w:val="none"/>
              </w:rPr>
            </w:pPr>
            <w:r>
              <w:rPr>
                <w:rFonts w:hint="eastAsia" w:ascii="宋体" w:hAnsi="宋体" w:eastAsia="宋体" w:cs="宋体"/>
                <w:b/>
                <w:bCs/>
                <w:color w:val="auto"/>
                <w:spacing w:val="0"/>
                <w:kern w:val="0"/>
                <w:sz w:val="21"/>
                <w:szCs w:val="21"/>
                <w:highlight w:val="none"/>
              </w:rPr>
              <w:t>表5-1   本项目环保投资一览表</w:t>
            </w:r>
          </w:p>
          <w:tbl>
            <w:tblPr>
              <w:tblStyle w:val="37"/>
              <w:tblW w:w="492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65"/>
              <w:gridCol w:w="2947"/>
              <w:gridCol w:w="1747"/>
            </w:tblGrid>
            <w:tr w14:paraId="7F9E41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744" w:type="pct"/>
                  <w:gridSpan w:val="2"/>
                  <w:tcBorders>
                    <w:tl2br w:val="nil"/>
                    <w:tr2bl w:val="nil"/>
                  </w:tcBorders>
                  <w:noWrap w:val="0"/>
                  <w:vAlign w:val="center"/>
                </w:tcPr>
                <w:p w14:paraId="5FFD2B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0"/>
                      <w:sz w:val="21"/>
                      <w:szCs w:val="21"/>
                      <w:highlight w:val="none"/>
                    </w:rPr>
                  </w:pPr>
                  <w:r>
                    <w:rPr>
                      <w:rFonts w:hint="eastAsia" w:ascii="宋体" w:hAnsi="宋体" w:eastAsia="宋体" w:cs="宋体"/>
                      <w:b/>
                      <w:bCs/>
                      <w:color w:val="auto"/>
                      <w:spacing w:val="0"/>
                      <w:kern w:val="0"/>
                      <w:sz w:val="21"/>
                      <w:szCs w:val="21"/>
                      <w:highlight w:val="none"/>
                    </w:rPr>
                    <w:t>环保措施</w:t>
                  </w:r>
                </w:p>
              </w:tc>
              <w:tc>
                <w:tcPr>
                  <w:tcW w:w="1255" w:type="pct"/>
                  <w:tcBorders>
                    <w:tl2br w:val="nil"/>
                    <w:tr2bl w:val="nil"/>
                  </w:tcBorders>
                  <w:noWrap w:val="0"/>
                  <w:vAlign w:val="center"/>
                </w:tcPr>
                <w:p w14:paraId="05341FB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0"/>
                      <w:sz w:val="21"/>
                      <w:szCs w:val="21"/>
                      <w:highlight w:val="none"/>
                    </w:rPr>
                  </w:pPr>
                  <w:r>
                    <w:rPr>
                      <w:rFonts w:hint="eastAsia" w:ascii="宋体" w:hAnsi="宋体" w:eastAsia="宋体" w:cs="宋体"/>
                      <w:b/>
                      <w:bCs/>
                      <w:color w:val="auto"/>
                      <w:spacing w:val="0"/>
                      <w:kern w:val="0"/>
                      <w:sz w:val="21"/>
                      <w:szCs w:val="21"/>
                      <w:highlight w:val="none"/>
                    </w:rPr>
                    <w:t>投资额（万元）</w:t>
                  </w:r>
                </w:p>
              </w:tc>
            </w:tr>
            <w:tr w14:paraId="6C6855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27" w:type="pct"/>
                  <w:vMerge w:val="restart"/>
                  <w:tcBorders>
                    <w:tl2br w:val="nil"/>
                    <w:tr2bl w:val="nil"/>
                  </w:tcBorders>
                  <w:noWrap w:val="0"/>
                  <w:vAlign w:val="center"/>
                </w:tcPr>
                <w:p w14:paraId="513240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0"/>
                      <w:sz w:val="21"/>
                      <w:szCs w:val="21"/>
                      <w:highlight w:val="none"/>
                      <w:lang w:val="en-US" w:eastAsia="zh-CN"/>
                    </w:rPr>
                  </w:pPr>
                  <w:r>
                    <w:rPr>
                      <w:rFonts w:hint="eastAsia" w:cs="宋体"/>
                      <w:b w:val="0"/>
                      <w:bCs w:val="0"/>
                      <w:color w:val="auto"/>
                      <w:spacing w:val="0"/>
                      <w:kern w:val="0"/>
                      <w:sz w:val="21"/>
                      <w:szCs w:val="21"/>
                      <w:highlight w:val="none"/>
                      <w:lang w:val="en-US" w:eastAsia="zh-CN"/>
                    </w:rPr>
                    <w:t>施工期</w:t>
                  </w:r>
                </w:p>
              </w:tc>
              <w:tc>
                <w:tcPr>
                  <w:tcW w:w="2117" w:type="pct"/>
                  <w:tcBorders>
                    <w:tl2br w:val="nil"/>
                    <w:tr2bl w:val="nil"/>
                  </w:tcBorders>
                  <w:noWrap w:val="0"/>
                  <w:vAlign w:val="center"/>
                </w:tcPr>
                <w:p w14:paraId="6BEEEF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
                      <w:bCs/>
                      <w:color w:val="auto"/>
                      <w:spacing w:val="0"/>
                      <w:kern w:val="0"/>
                      <w:sz w:val="21"/>
                      <w:szCs w:val="21"/>
                      <w:highlight w:val="none"/>
                      <w:lang w:val="en-US" w:eastAsia="zh-CN"/>
                    </w:rPr>
                  </w:pPr>
                  <w:r>
                    <w:rPr>
                      <w:rFonts w:hint="eastAsia" w:cs="宋体"/>
                      <w:b w:val="0"/>
                      <w:bCs w:val="0"/>
                      <w:color w:val="auto"/>
                      <w:spacing w:val="0"/>
                      <w:kern w:val="0"/>
                      <w:sz w:val="21"/>
                      <w:szCs w:val="21"/>
                      <w:highlight w:val="none"/>
                      <w:lang w:val="en-US" w:eastAsia="zh-CN"/>
                    </w:rPr>
                    <w:t>施工期洒水降尘</w:t>
                  </w:r>
                </w:p>
              </w:tc>
              <w:tc>
                <w:tcPr>
                  <w:tcW w:w="1255" w:type="pct"/>
                  <w:tcBorders>
                    <w:tl2br w:val="nil"/>
                    <w:tr2bl w:val="nil"/>
                  </w:tcBorders>
                  <w:noWrap w:val="0"/>
                  <w:vAlign w:val="center"/>
                </w:tcPr>
                <w:p w14:paraId="5BE2A5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lang w:val="en-US" w:eastAsia="zh-CN"/>
                    </w:rPr>
                  </w:pPr>
                  <w:r>
                    <w:rPr>
                      <w:rFonts w:hint="eastAsia" w:cs="宋体"/>
                      <w:b w:val="0"/>
                      <w:bCs w:val="0"/>
                      <w:color w:val="auto"/>
                      <w:spacing w:val="0"/>
                      <w:kern w:val="0"/>
                      <w:sz w:val="21"/>
                      <w:szCs w:val="21"/>
                      <w:highlight w:val="none"/>
                      <w:lang w:val="en-US" w:eastAsia="zh-CN"/>
                    </w:rPr>
                    <w:t>0.5</w:t>
                  </w:r>
                </w:p>
              </w:tc>
            </w:tr>
            <w:tr w14:paraId="590E06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27" w:type="pct"/>
                  <w:vMerge w:val="continue"/>
                  <w:tcBorders>
                    <w:tl2br w:val="nil"/>
                    <w:tr2bl w:val="nil"/>
                  </w:tcBorders>
                  <w:noWrap w:val="0"/>
                  <w:vAlign w:val="center"/>
                </w:tcPr>
                <w:p w14:paraId="146D082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0"/>
                      <w:sz w:val="21"/>
                      <w:szCs w:val="21"/>
                      <w:highlight w:val="none"/>
                    </w:rPr>
                  </w:pPr>
                </w:p>
              </w:tc>
              <w:tc>
                <w:tcPr>
                  <w:tcW w:w="2117" w:type="pct"/>
                  <w:tcBorders>
                    <w:tl2br w:val="nil"/>
                    <w:tr2bl w:val="nil"/>
                  </w:tcBorders>
                  <w:noWrap w:val="0"/>
                  <w:vAlign w:val="center"/>
                </w:tcPr>
                <w:p w14:paraId="38A70A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
                      <w:bCs/>
                      <w:color w:val="auto"/>
                      <w:spacing w:val="0"/>
                      <w:kern w:val="0"/>
                      <w:sz w:val="21"/>
                      <w:szCs w:val="21"/>
                      <w:highlight w:val="none"/>
                      <w:lang w:val="en-US" w:eastAsia="zh-CN"/>
                    </w:rPr>
                  </w:pPr>
                  <w:r>
                    <w:rPr>
                      <w:rFonts w:hint="eastAsia" w:cs="宋体"/>
                      <w:b w:val="0"/>
                      <w:bCs w:val="0"/>
                      <w:color w:val="auto"/>
                      <w:spacing w:val="0"/>
                      <w:kern w:val="0"/>
                      <w:sz w:val="21"/>
                      <w:szCs w:val="21"/>
                      <w:highlight w:val="none"/>
                      <w:lang w:val="en-US" w:eastAsia="zh-CN"/>
                    </w:rPr>
                    <w:t>施工噪声屏障</w:t>
                  </w:r>
                </w:p>
              </w:tc>
              <w:tc>
                <w:tcPr>
                  <w:tcW w:w="1255" w:type="pct"/>
                  <w:tcBorders>
                    <w:tl2br w:val="nil"/>
                    <w:tr2bl w:val="nil"/>
                  </w:tcBorders>
                  <w:noWrap w:val="0"/>
                  <w:vAlign w:val="center"/>
                </w:tcPr>
                <w:p w14:paraId="38A492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val="0"/>
                      <w:bCs w:val="0"/>
                      <w:color w:val="auto"/>
                      <w:spacing w:val="0"/>
                      <w:kern w:val="0"/>
                      <w:sz w:val="21"/>
                      <w:szCs w:val="21"/>
                      <w:highlight w:val="none"/>
                      <w:lang w:val="en-US" w:eastAsia="zh-CN"/>
                    </w:rPr>
                  </w:pPr>
                  <w:r>
                    <w:rPr>
                      <w:rFonts w:hint="eastAsia" w:cs="宋体"/>
                      <w:b w:val="0"/>
                      <w:bCs w:val="0"/>
                      <w:color w:val="auto"/>
                      <w:spacing w:val="0"/>
                      <w:kern w:val="0"/>
                      <w:sz w:val="21"/>
                      <w:szCs w:val="21"/>
                      <w:highlight w:val="none"/>
                      <w:lang w:val="en-US" w:eastAsia="zh-CN"/>
                    </w:rPr>
                    <w:t>2</w:t>
                  </w:r>
                </w:p>
              </w:tc>
            </w:tr>
            <w:tr w14:paraId="79F588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27" w:type="pct"/>
                  <w:vMerge w:val="continue"/>
                  <w:tcBorders>
                    <w:tl2br w:val="nil"/>
                    <w:tr2bl w:val="nil"/>
                  </w:tcBorders>
                  <w:noWrap w:val="0"/>
                  <w:vAlign w:val="center"/>
                </w:tcPr>
                <w:p w14:paraId="5EC9F3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bCs/>
                      <w:color w:val="auto"/>
                      <w:spacing w:val="0"/>
                      <w:kern w:val="0"/>
                      <w:sz w:val="21"/>
                      <w:szCs w:val="21"/>
                      <w:highlight w:val="none"/>
                    </w:rPr>
                  </w:pPr>
                </w:p>
              </w:tc>
              <w:tc>
                <w:tcPr>
                  <w:tcW w:w="2117" w:type="pct"/>
                  <w:tcBorders>
                    <w:tl2br w:val="nil"/>
                    <w:tr2bl w:val="nil"/>
                  </w:tcBorders>
                  <w:noWrap w:val="0"/>
                  <w:vAlign w:val="center"/>
                </w:tcPr>
                <w:p w14:paraId="6874BAB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
                      <w:bCs/>
                      <w:color w:val="auto"/>
                      <w:spacing w:val="0"/>
                      <w:kern w:val="0"/>
                      <w:sz w:val="21"/>
                      <w:szCs w:val="21"/>
                      <w:highlight w:val="none"/>
                      <w:lang w:val="en-US" w:eastAsia="zh-CN"/>
                    </w:rPr>
                  </w:pPr>
                  <w:r>
                    <w:rPr>
                      <w:rFonts w:hint="eastAsia" w:cs="宋体"/>
                      <w:b w:val="0"/>
                      <w:bCs w:val="0"/>
                      <w:color w:val="auto"/>
                      <w:spacing w:val="0"/>
                      <w:kern w:val="0"/>
                      <w:sz w:val="21"/>
                      <w:szCs w:val="21"/>
                      <w:highlight w:val="none"/>
                      <w:lang w:val="en-US" w:eastAsia="zh-CN"/>
                    </w:rPr>
                    <w:t>建筑垃圾清运</w:t>
                  </w:r>
                </w:p>
              </w:tc>
              <w:tc>
                <w:tcPr>
                  <w:tcW w:w="1255" w:type="pct"/>
                  <w:tcBorders>
                    <w:tl2br w:val="nil"/>
                    <w:tr2bl w:val="nil"/>
                  </w:tcBorders>
                  <w:noWrap w:val="0"/>
                  <w:vAlign w:val="center"/>
                </w:tcPr>
                <w:p w14:paraId="3A04F8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b w:val="0"/>
                      <w:bCs w:val="0"/>
                      <w:color w:val="auto"/>
                      <w:spacing w:val="0"/>
                      <w:kern w:val="0"/>
                      <w:sz w:val="21"/>
                      <w:szCs w:val="21"/>
                      <w:highlight w:val="none"/>
                      <w:lang w:val="en-US" w:eastAsia="zh-CN"/>
                    </w:rPr>
                  </w:pPr>
                  <w:r>
                    <w:rPr>
                      <w:rFonts w:hint="eastAsia" w:cs="宋体"/>
                      <w:b w:val="0"/>
                      <w:bCs w:val="0"/>
                      <w:color w:val="auto"/>
                      <w:spacing w:val="0"/>
                      <w:kern w:val="0"/>
                      <w:sz w:val="21"/>
                      <w:szCs w:val="21"/>
                      <w:highlight w:val="none"/>
                      <w:lang w:val="en-US" w:eastAsia="zh-CN"/>
                    </w:rPr>
                    <w:t>1.5</w:t>
                  </w:r>
                </w:p>
              </w:tc>
            </w:tr>
            <w:tr w14:paraId="190BB7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27" w:type="pct"/>
                  <w:vMerge w:val="restart"/>
                  <w:tcBorders>
                    <w:tl2br w:val="nil"/>
                    <w:tr2bl w:val="nil"/>
                  </w:tcBorders>
                  <w:noWrap w:val="0"/>
                  <w:vAlign w:val="center"/>
                </w:tcPr>
                <w:p w14:paraId="13FE64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kern w:val="0"/>
                      <w:sz w:val="21"/>
                      <w:szCs w:val="21"/>
                      <w:highlight w:val="none"/>
                      <w:lang w:val="en-US" w:eastAsia="zh-CN"/>
                    </w:rPr>
                  </w:pPr>
                  <w:r>
                    <w:rPr>
                      <w:rFonts w:hint="eastAsia" w:cs="宋体"/>
                      <w:color w:val="auto"/>
                      <w:spacing w:val="0"/>
                      <w:kern w:val="0"/>
                      <w:sz w:val="21"/>
                      <w:szCs w:val="21"/>
                      <w:highlight w:val="none"/>
                      <w:lang w:val="en-US" w:eastAsia="zh-CN"/>
                    </w:rPr>
                    <w:t>运营期</w:t>
                  </w:r>
                </w:p>
              </w:tc>
              <w:tc>
                <w:tcPr>
                  <w:tcW w:w="2117" w:type="pct"/>
                  <w:tcBorders>
                    <w:tl2br w:val="nil"/>
                    <w:tr2bl w:val="nil"/>
                  </w:tcBorders>
                  <w:shd w:val="clear" w:color="auto" w:fill="auto"/>
                  <w:noWrap w:val="0"/>
                  <w:vAlign w:val="center"/>
                </w:tcPr>
                <w:p w14:paraId="63E6F4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color w:val="auto"/>
                      <w:spacing w:val="0"/>
                      <w:kern w:val="0"/>
                      <w:sz w:val="21"/>
                      <w:szCs w:val="21"/>
                      <w:highlight w:val="none"/>
                      <w:lang w:val="en-US" w:eastAsia="zh-CN" w:bidi="ar-SA"/>
                    </w:rPr>
                  </w:pPr>
                  <w:r>
                    <w:rPr>
                      <w:rFonts w:hint="eastAsia" w:ascii="宋体" w:hAnsi="宋体" w:eastAsia="宋体" w:cs="宋体"/>
                      <w:color w:val="auto"/>
                      <w:spacing w:val="0"/>
                      <w:kern w:val="0"/>
                      <w:sz w:val="21"/>
                      <w:szCs w:val="21"/>
                      <w:highlight w:val="none"/>
                      <w:lang w:val="en-US" w:eastAsia="zh-CN"/>
                    </w:rPr>
                    <w:t>锅炉烟囱</w:t>
                  </w:r>
                </w:p>
              </w:tc>
              <w:tc>
                <w:tcPr>
                  <w:tcW w:w="1255" w:type="pct"/>
                  <w:tcBorders>
                    <w:tl2br w:val="nil"/>
                    <w:tr2bl w:val="nil"/>
                  </w:tcBorders>
                  <w:noWrap w:val="0"/>
                  <w:vAlign w:val="center"/>
                </w:tcPr>
                <w:p w14:paraId="46D18E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2</w:t>
                  </w:r>
                </w:p>
              </w:tc>
            </w:tr>
            <w:tr w14:paraId="660C9B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27" w:type="pct"/>
                  <w:vMerge w:val="continue"/>
                  <w:tcBorders>
                    <w:tl2br w:val="nil"/>
                    <w:tr2bl w:val="nil"/>
                  </w:tcBorders>
                  <w:noWrap w:val="0"/>
                  <w:vAlign w:val="center"/>
                </w:tcPr>
                <w:p w14:paraId="45994B9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p>
              </w:tc>
              <w:tc>
                <w:tcPr>
                  <w:tcW w:w="2117" w:type="pct"/>
                  <w:tcBorders>
                    <w:tl2br w:val="nil"/>
                    <w:tr2bl w:val="nil"/>
                  </w:tcBorders>
                  <w:shd w:val="clear" w:color="auto" w:fill="auto"/>
                  <w:noWrap w:val="0"/>
                  <w:vAlign w:val="center"/>
                </w:tcPr>
                <w:p w14:paraId="534F19D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color w:val="auto"/>
                      <w:spacing w:val="0"/>
                      <w:kern w:val="0"/>
                      <w:sz w:val="21"/>
                      <w:szCs w:val="21"/>
                      <w:highlight w:val="none"/>
                      <w:lang w:val="en-US" w:eastAsia="zh-CN" w:bidi="ar-SA"/>
                    </w:rPr>
                  </w:pPr>
                  <w:r>
                    <w:rPr>
                      <w:rFonts w:hint="eastAsia" w:ascii="宋体" w:hAnsi="宋体" w:eastAsia="宋体" w:cs="宋体"/>
                      <w:color w:val="auto"/>
                      <w:spacing w:val="0"/>
                      <w:kern w:val="0"/>
                      <w:sz w:val="21"/>
                      <w:szCs w:val="21"/>
                      <w:highlight w:val="none"/>
                      <w:lang w:val="en-US" w:eastAsia="zh-CN"/>
                    </w:rPr>
                    <w:t>低氮燃烧器</w:t>
                  </w:r>
                </w:p>
              </w:tc>
              <w:tc>
                <w:tcPr>
                  <w:tcW w:w="1255" w:type="pct"/>
                  <w:tcBorders>
                    <w:tl2br w:val="nil"/>
                    <w:tr2bl w:val="nil"/>
                  </w:tcBorders>
                  <w:noWrap w:val="0"/>
                  <w:vAlign w:val="center"/>
                </w:tcPr>
                <w:p w14:paraId="0770EB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cs="宋体"/>
                      <w:color w:val="auto"/>
                      <w:spacing w:val="0"/>
                      <w:kern w:val="0"/>
                      <w:sz w:val="21"/>
                      <w:szCs w:val="21"/>
                      <w:highlight w:val="none"/>
                      <w:lang w:val="en-US" w:eastAsia="zh-CN"/>
                    </w:rPr>
                    <w:t>5</w:t>
                  </w:r>
                </w:p>
              </w:tc>
            </w:tr>
            <w:tr w14:paraId="5B52CD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27" w:type="pct"/>
                  <w:vMerge w:val="continue"/>
                  <w:tcBorders>
                    <w:tl2br w:val="nil"/>
                    <w:tr2bl w:val="nil"/>
                  </w:tcBorders>
                  <w:noWrap w:val="0"/>
                  <w:vAlign w:val="center"/>
                </w:tcPr>
                <w:p w14:paraId="4CCF76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kern w:val="0"/>
                      <w:sz w:val="21"/>
                      <w:szCs w:val="21"/>
                      <w:highlight w:val="none"/>
                      <w:lang w:val="en-US" w:eastAsia="zh-CN"/>
                    </w:rPr>
                  </w:pPr>
                </w:p>
              </w:tc>
              <w:tc>
                <w:tcPr>
                  <w:tcW w:w="2117" w:type="pct"/>
                  <w:tcBorders>
                    <w:tl2br w:val="nil"/>
                    <w:tr2bl w:val="nil"/>
                  </w:tcBorders>
                  <w:shd w:val="clear" w:color="auto" w:fill="auto"/>
                  <w:noWrap w:val="0"/>
                  <w:vAlign w:val="center"/>
                </w:tcPr>
                <w:p w14:paraId="4AE7C0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color w:val="auto"/>
                      <w:spacing w:val="0"/>
                      <w:kern w:val="0"/>
                      <w:sz w:val="21"/>
                      <w:szCs w:val="21"/>
                      <w:highlight w:val="none"/>
                      <w:lang w:val="en-US" w:eastAsia="zh-CN" w:bidi="ar-SA"/>
                    </w:rPr>
                  </w:pPr>
                  <w:r>
                    <w:rPr>
                      <w:rFonts w:hint="eastAsia" w:cs="宋体"/>
                      <w:color w:val="auto"/>
                      <w:spacing w:val="0"/>
                      <w:kern w:val="0"/>
                      <w:sz w:val="21"/>
                      <w:szCs w:val="21"/>
                      <w:highlight w:val="none"/>
                      <w:lang w:val="en-US" w:eastAsia="zh-CN"/>
                    </w:rPr>
                    <w:t>旋风除尘器+布袋除尘器</w:t>
                  </w:r>
                </w:p>
              </w:tc>
              <w:tc>
                <w:tcPr>
                  <w:tcW w:w="1255" w:type="pct"/>
                  <w:tcBorders>
                    <w:tl2br w:val="nil"/>
                    <w:tr2bl w:val="nil"/>
                  </w:tcBorders>
                  <w:noWrap w:val="0"/>
                  <w:vAlign w:val="center"/>
                </w:tcPr>
                <w:p w14:paraId="64DD9AC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kern w:val="0"/>
                      <w:sz w:val="21"/>
                      <w:szCs w:val="21"/>
                      <w:highlight w:val="none"/>
                      <w:lang w:val="en-US" w:eastAsia="zh-CN"/>
                    </w:rPr>
                  </w:pPr>
                  <w:r>
                    <w:rPr>
                      <w:rFonts w:hint="eastAsia" w:cs="宋体"/>
                      <w:color w:val="auto"/>
                      <w:spacing w:val="0"/>
                      <w:kern w:val="0"/>
                      <w:sz w:val="21"/>
                      <w:szCs w:val="21"/>
                      <w:highlight w:val="none"/>
                      <w:lang w:val="en-US" w:eastAsia="zh-CN"/>
                    </w:rPr>
                    <w:t>20</w:t>
                  </w:r>
                </w:p>
              </w:tc>
            </w:tr>
            <w:tr w14:paraId="629247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27" w:type="pct"/>
                  <w:vMerge w:val="continue"/>
                  <w:tcBorders>
                    <w:tl2br w:val="nil"/>
                    <w:tr2bl w:val="nil"/>
                  </w:tcBorders>
                  <w:noWrap w:val="0"/>
                  <w:vAlign w:val="center"/>
                </w:tcPr>
                <w:p w14:paraId="240657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p>
              </w:tc>
              <w:tc>
                <w:tcPr>
                  <w:tcW w:w="2117" w:type="pct"/>
                  <w:tcBorders>
                    <w:tl2br w:val="nil"/>
                    <w:tr2bl w:val="nil"/>
                  </w:tcBorders>
                  <w:shd w:val="clear" w:color="auto" w:fill="auto"/>
                  <w:noWrap w:val="0"/>
                  <w:vAlign w:val="center"/>
                </w:tcPr>
                <w:p w14:paraId="183FA4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color w:val="auto"/>
                      <w:spacing w:val="0"/>
                      <w:kern w:val="0"/>
                      <w:sz w:val="21"/>
                      <w:szCs w:val="21"/>
                      <w:highlight w:val="none"/>
                      <w:lang w:val="en-US" w:eastAsia="zh-CN" w:bidi="ar-SA"/>
                    </w:rPr>
                  </w:pPr>
                  <w:r>
                    <w:rPr>
                      <w:rFonts w:hint="eastAsia" w:ascii="宋体" w:hAnsi="宋体" w:eastAsia="宋体" w:cs="宋体"/>
                      <w:color w:val="auto"/>
                      <w:spacing w:val="0"/>
                      <w:kern w:val="0"/>
                      <w:sz w:val="21"/>
                      <w:szCs w:val="21"/>
                      <w:highlight w:val="none"/>
                    </w:rPr>
                    <w:t>隔声罩，基础减振降噪</w:t>
                  </w:r>
                </w:p>
              </w:tc>
              <w:tc>
                <w:tcPr>
                  <w:tcW w:w="1255" w:type="pct"/>
                  <w:tcBorders>
                    <w:tl2br w:val="nil"/>
                    <w:tr2bl w:val="nil"/>
                  </w:tcBorders>
                  <w:noWrap w:val="0"/>
                  <w:vAlign w:val="center"/>
                </w:tcPr>
                <w:p w14:paraId="52967B4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2</w:t>
                  </w:r>
                </w:p>
              </w:tc>
            </w:tr>
            <w:tr w14:paraId="474830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27" w:type="pct"/>
                  <w:vMerge w:val="continue"/>
                  <w:tcBorders>
                    <w:tl2br w:val="nil"/>
                    <w:tr2bl w:val="nil"/>
                  </w:tcBorders>
                  <w:noWrap w:val="0"/>
                  <w:vAlign w:val="center"/>
                </w:tcPr>
                <w:p w14:paraId="5FB7E1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p>
              </w:tc>
              <w:tc>
                <w:tcPr>
                  <w:tcW w:w="2117" w:type="pct"/>
                  <w:tcBorders>
                    <w:tl2br w:val="nil"/>
                    <w:tr2bl w:val="nil"/>
                  </w:tcBorders>
                  <w:shd w:val="clear" w:color="auto" w:fill="auto"/>
                  <w:noWrap w:val="0"/>
                  <w:vAlign w:val="center"/>
                </w:tcPr>
                <w:p w14:paraId="6B7653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color w:val="auto"/>
                      <w:spacing w:val="0"/>
                      <w:kern w:val="0"/>
                      <w:sz w:val="21"/>
                      <w:szCs w:val="21"/>
                      <w:highlight w:val="none"/>
                      <w:lang w:val="en-US" w:eastAsia="zh-CN" w:bidi="ar-SA"/>
                    </w:rPr>
                  </w:pPr>
                  <w:r>
                    <w:rPr>
                      <w:rFonts w:hint="eastAsia" w:ascii="宋体" w:hAnsi="宋体" w:eastAsia="宋体" w:cs="宋体"/>
                      <w:color w:val="auto"/>
                      <w:spacing w:val="0"/>
                      <w:kern w:val="0"/>
                      <w:sz w:val="21"/>
                      <w:szCs w:val="21"/>
                      <w:highlight w:val="none"/>
                      <w:lang w:val="en-US" w:eastAsia="zh-CN"/>
                    </w:rPr>
                    <w:t>环保措施的运行与维护</w:t>
                  </w:r>
                </w:p>
              </w:tc>
              <w:tc>
                <w:tcPr>
                  <w:tcW w:w="1255" w:type="pct"/>
                  <w:tcBorders>
                    <w:tl2br w:val="nil"/>
                    <w:tr2bl w:val="nil"/>
                  </w:tcBorders>
                  <w:noWrap w:val="0"/>
                  <w:vAlign w:val="center"/>
                </w:tcPr>
                <w:p w14:paraId="55ADF7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5</w:t>
                  </w:r>
                </w:p>
              </w:tc>
            </w:tr>
            <w:tr w14:paraId="306A99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27" w:type="pct"/>
                  <w:vMerge w:val="continue"/>
                  <w:tcBorders>
                    <w:tl2br w:val="nil"/>
                    <w:tr2bl w:val="nil"/>
                  </w:tcBorders>
                  <w:noWrap w:val="0"/>
                  <w:vAlign w:val="center"/>
                </w:tcPr>
                <w:p w14:paraId="64EDB2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p>
              </w:tc>
              <w:tc>
                <w:tcPr>
                  <w:tcW w:w="2117" w:type="pct"/>
                  <w:tcBorders>
                    <w:tl2br w:val="nil"/>
                    <w:tr2bl w:val="nil"/>
                  </w:tcBorders>
                  <w:shd w:val="clear" w:color="auto" w:fill="auto"/>
                  <w:noWrap w:val="0"/>
                  <w:vAlign w:val="center"/>
                </w:tcPr>
                <w:p w14:paraId="14C816A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color w:val="auto"/>
                      <w:spacing w:val="0"/>
                      <w:kern w:val="0"/>
                      <w:sz w:val="21"/>
                      <w:szCs w:val="21"/>
                      <w:highlight w:val="none"/>
                      <w:lang w:val="en-US" w:eastAsia="zh-CN" w:bidi="ar-SA"/>
                    </w:rPr>
                  </w:pPr>
                  <w:r>
                    <w:rPr>
                      <w:rFonts w:hint="eastAsia" w:ascii="宋体" w:hAnsi="宋体" w:eastAsia="宋体" w:cs="宋体"/>
                      <w:color w:val="auto"/>
                      <w:spacing w:val="0"/>
                      <w:kern w:val="0"/>
                      <w:sz w:val="21"/>
                      <w:szCs w:val="21"/>
                      <w:highlight w:val="none"/>
                      <w:lang w:val="en-US" w:eastAsia="zh-CN"/>
                    </w:rPr>
                    <w:t>环境管理与监测费用</w:t>
                  </w:r>
                </w:p>
              </w:tc>
              <w:tc>
                <w:tcPr>
                  <w:tcW w:w="1255" w:type="pct"/>
                  <w:tcBorders>
                    <w:tl2br w:val="nil"/>
                    <w:tr2bl w:val="nil"/>
                  </w:tcBorders>
                  <w:noWrap w:val="0"/>
                  <w:vAlign w:val="center"/>
                </w:tcPr>
                <w:p w14:paraId="332F5B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5</w:t>
                  </w:r>
                </w:p>
              </w:tc>
            </w:tr>
            <w:tr w14:paraId="59FCCB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627" w:type="pct"/>
                  <w:vMerge w:val="continue"/>
                  <w:tcBorders>
                    <w:tl2br w:val="nil"/>
                    <w:tr2bl w:val="nil"/>
                  </w:tcBorders>
                  <w:noWrap w:val="0"/>
                  <w:vAlign w:val="center"/>
                </w:tcPr>
                <w:p w14:paraId="5C412A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p>
              </w:tc>
              <w:tc>
                <w:tcPr>
                  <w:tcW w:w="2117" w:type="pct"/>
                  <w:tcBorders>
                    <w:tl2br w:val="nil"/>
                    <w:tr2bl w:val="nil"/>
                  </w:tcBorders>
                  <w:shd w:val="clear" w:color="auto" w:fill="auto"/>
                  <w:noWrap w:val="0"/>
                  <w:vAlign w:val="center"/>
                </w:tcPr>
                <w:p w14:paraId="2C65AB7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color w:val="auto"/>
                      <w:spacing w:val="0"/>
                      <w:kern w:val="0"/>
                      <w:sz w:val="21"/>
                      <w:szCs w:val="21"/>
                      <w:highlight w:val="none"/>
                      <w:lang w:val="en-US" w:eastAsia="zh-CN" w:bidi="ar-SA"/>
                    </w:rPr>
                  </w:pPr>
                  <w:r>
                    <w:rPr>
                      <w:rFonts w:hint="eastAsia" w:ascii="宋体" w:hAnsi="宋体" w:eastAsia="宋体" w:cs="宋体"/>
                      <w:color w:val="auto"/>
                      <w:spacing w:val="0"/>
                      <w:kern w:val="0"/>
                      <w:sz w:val="21"/>
                      <w:szCs w:val="21"/>
                      <w:highlight w:val="none"/>
                    </w:rPr>
                    <w:t>排污口规范化</w:t>
                  </w:r>
                </w:p>
              </w:tc>
              <w:tc>
                <w:tcPr>
                  <w:tcW w:w="1255" w:type="pct"/>
                  <w:tcBorders>
                    <w:tl2br w:val="nil"/>
                    <w:tr2bl w:val="nil"/>
                  </w:tcBorders>
                  <w:noWrap w:val="0"/>
                  <w:vAlign w:val="center"/>
                </w:tcPr>
                <w:p w14:paraId="7BF507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0.1</w:t>
                  </w:r>
                </w:p>
              </w:tc>
            </w:tr>
            <w:tr w14:paraId="268990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3744" w:type="pct"/>
                  <w:gridSpan w:val="2"/>
                  <w:tcBorders>
                    <w:tl2br w:val="nil"/>
                    <w:tr2bl w:val="nil"/>
                  </w:tcBorders>
                  <w:noWrap w:val="0"/>
                  <w:vAlign w:val="center"/>
                </w:tcPr>
                <w:p w14:paraId="075831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kern w:val="0"/>
                      <w:sz w:val="21"/>
                      <w:szCs w:val="21"/>
                      <w:highlight w:val="none"/>
                    </w:rPr>
                  </w:pPr>
                  <w:r>
                    <w:rPr>
                      <w:rFonts w:hint="eastAsia" w:ascii="宋体" w:hAnsi="宋体" w:eastAsia="宋体" w:cs="宋体"/>
                      <w:color w:val="auto"/>
                      <w:spacing w:val="0"/>
                      <w:kern w:val="0"/>
                      <w:sz w:val="21"/>
                      <w:szCs w:val="21"/>
                      <w:highlight w:val="none"/>
                    </w:rPr>
                    <w:t>合计</w:t>
                  </w:r>
                </w:p>
              </w:tc>
              <w:tc>
                <w:tcPr>
                  <w:tcW w:w="1255" w:type="pct"/>
                  <w:tcBorders>
                    <w:tl2br w:val="nil"/>
                    <w:tr2bl w:val="nil"/>
                  </w:tcBorders>
                  <w:noWrap w:val="0"/>
                  <w:vAlign w:val="center"/>
                </w:tcPr>
                <w:p w14:paraId="39B5BF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color w:val="auto"/>
                      <w:spacing w:val="0"/>
                      <w:kern w:val="0"/>
                      <w:sz w:val="21"/>
                      <w:szCs w:val="21"/>
                      <w:highlight w:val="none"/>
                      <w:lang w:val="en-US" w:eastAsia="zh-CN"/>
                    </w:rPr>
                  </w:pPr>
                  <w:r>
                    <w:rPr>
                      <w:rFonts w:hint="eastAsia" w:cs="宋体"/>
                      <w:color w:val="auto"/>
                      <w:spacing w:val="0"/>
                      <w:kern w:val="0"/>
                      <w:sz w:val="21"/>
                      <w:szCs w:val="21"/>
                      <w:highlight w:val="none"/>
                      <w:lang w:val="en-US" w:eastAsia="zh-CN"/>
                    </w:rPr>
                    <w:t>43.1</w:t>
                  </w:r>
                </w:p>
              </w:tc>
            </w:tr>
          </w:tbl>
          <w:p w14:paraId="63127A2B">
            <w:pPr>
              <w:ind w:firstLine="0" w:firstLineChars="0"/>
              <w:jc w:val="center"/>
              <w:rPr>
                <w:rFonts w:hint="eastAsia" w:ascii="宋体" w:hAnsi="宋体" w:eastAsia="宋体" w:cs="宋体"/>
                <w:color w:val="auto"/>
                <w:spacing w:val="0"/>
                <w:sz w:val="24"/>
                <w:szCs w:val="24"/>
                <w:highlight w:val="none"/>
              </w:rPr>
            </w:pPr>
          </w:p>
        </w:tc>
      </w:tr>
    </w:tbl>
    <w:p w14:paraId="41C80BAA">
      <w:pPr>
        <w:pStyle w:val="4"/>
        <w:spacing w:line="360" w:lineRule="auto"/>
        <w:jc w:val="center"/>
        <w:rPr>
          <w:rFonts w:hint="eastAsia" w:ascii="宋体" w:hAnsi="宋体" w:eastAsia="宋体" w:cs="宋体"/>
          <w:bCs w:val="0"/>
          <w:color w:val="auto"/>
          <w:spacing w:val="0"/>
          <w:highlight w:val="none"/>
        </w:rPr>
      </w:pPr>
      <w:r>
        <w:rPr>
          <w:rFonts w:hint="eastAsia" w:ascii="宋体" w:hAnsi="宋体" w:eastAsia="宋体" w:cs="宋体"/>
          <w:color w:val="auto"/>
          <w:spacing w:val="0"/>
          <w:highlight w:val="none"/>
        </w:rPr>
        <w:br w:type="page"/>
      </w:r>
      <w:bookmarkStart w:id="18" w:name="_Toc71191481"/>
      <w:bookmarkStart w:id="19" w:name="_Toc22477"/>
      <w:r>
        <w:rPr>
          <w:rFonts w:hint="eastAsia" w:ascii="宋体" w:hAnsi="宋体" w:eastAsia="宋体" w:cs="宋体"/>
          <w:bCs w:val="0"/>
          <w:color w:val="auto"/>
          <w:spacing w:val="0"/>
          <w:highlight w:val="none"/>
        </w:rPr>
        <w:t>六、结论</w:t>
      </w:r>
      <w:bookmarkEnd w:id="18"/>
      <w:bookmarkEnd w:id="19"/>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4E6A51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3" w:hRule="atLeast"/>
          <w:jc w:val="center"/>
        </w:trPr>
        <w:tc>
          <w:tcPr>
            <w:tcW w:w="8865" w:type="dxa"/>
            <w:noWrap w:val="0"/>
            <w:vAlign w:val="top"/>
          </w:tcPr>
          <w:p w14:paraId="2649004D">
            <w:pPr>
              <w:jc w:val="both"/>
              <w:rPr>
                <w:rFonts w:hint="eastAsia" w:ascii="宋体" w:hAnsi="宋体" w:eastAsia="宋体" w:cs="宋体"/>
                <w:color w:val="auto"/>
                <w:spacing w:val="0"/>
                <w:highlight w:val="none"/>
              </w:rPr>
            </w:pPr>
            <w:r>
              <w:rPr>
                <w:rFonts w:hint="eastAsia" w:ascii="宋体" w:hAnsi="宋体" w:eastAsia="宋体" w:cs="宋体"/>
                <w:color w:val="auto"/>
                <w:spacing w:val="0"/>
                <w:sz w:val="24"/>
                <w:highlight w:val="none"/>
              </w:rPr>
              <w:t>本项目在确保严格落实本报告表提出的污染物防治措施的前提下，对环境空气、地表水环境、声环境等的影响较小，可以被周围环境所接受，能够做到社会效益、经济效益和环境效益的统一。因此，本项目的建设从环境保护的角度而言是可行的。</w:t>
            </w:r>
          </w:p>
        </w:tc>
      </w:tr>
    </w:tbl>
    <w:p w14:paraId="53822285">
      <w:pPr>
        <w:rPr>
          <w:rFonts w:hint="eastAsia" w:ascii="宋体" w:hAnsi="宋体" w:eastAsia="宋体" w:cs="宋体"/>
          <w:color w:val="auto"/>
          <w:spacing w:val="0"/>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7620E7B0">
      <w:pPr>
        <w:pStyle w:val="4"/>
        <w:spacing w:line="360" w:lineRule="auto"/>
        <w:jc w:val="left"/>
        <w:rPr>
          <w:rFonts w:hint="eastAsia" w:ascii="宋体" w:hAnsi="宋体" w:eastAsia="宋体" w:cs="宋体"/>
          <w:b/>
          <w:bCs/>
          <w:color w:val="auto"/>
          <w:spacing w:val="0"/>
          <w:sz w:val="28"/>
          <w:szCs w:val="28"/>
          <w:highlight w:val="none"/>
        </w:rPr>
      </w:pPr>
      <w:bookmarkStart w:id="20" w:name="_Toc71191482"/>
      <w:bookmarkStart w:id="21" w:name="_Toc12176"/>
      <w:r>
        <w:rPr>
          <w:rFonts w:hint="eastAsia" w:ascii="宋体" w:hAnsi="宋体" w:eastAsia="宋体" w:cs="宋体"/>
          <w:b/>
          <w:bCs/>
          <w:color w:val="auto"/>
          <w:spacing w:val="0"/>
          <w:highlight w:val="none"/>
        </w:rPr>
        <w:t>附表</w:t>
      </w:r>
      <w:bookmarkEnd w:id="20"/>
      <w:bookmarkEnd w:id="21"/>
    </w:p>
    <w:p w14:paraId="3CE0B648">
      <w:pPr>
        <w:bidi w:val="0"/>
        <w:spacing w:line="360" w:lineRule="auto"/>
        <w:jc w:val="center"/>
        <w:rPr>
          <w:rFonts w:hint="eastAsia" w:ascii="宋体" w:hAnsi="宋体" w:eastAsia="宋体" w:cs="宋体"/>
          <w:color w:val="auto"/>
          <w:spacing w:val="0"/>
          <w:sz w:val="32"/>
          <w:szCs w:val="32"/>
          <w:highlight w:val="none"/>
        </w:rPr>
      </w:pPr>
      <w:bookmarkStart w:id="22" w:name="_Toc71191483"/>
      <w:r>
        <w:rPr>
          <w:rFonts w:hint="eastAsia" w:ascii="宋体" w:hAnsi="宋体" w:eastAsia="宋体" w:cs="宋体"/>
          <w:color w:val="auto"/>
          <w:spacing w:val="0"/>
          <w:sz w:val="32"/>
          <w:szCs w:val="32"/>
          <w:highlight w:val="none"/>
        </w:rPr>
        <w:t>建设项目污染物排放量汇总表</w:t>
      </w:r>
      <w:bookmarkEnd w:id="22"/>
    </w:p>
    <w:tbl>
      <w:tblPr>
        <w:tblStyle w:val="37"/>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32"/>
        <w:gridCol w:w="1443"/>
        <w:gridCol w:w="1524"/>
        <w:gridCol w:w="1341"/>
        <w:gridCol w:w="1390"/>
        <w:gridCol w:w="1595"/>
        <w:gridCol w:w="1416"/>
        <w:gridCol w:w="1662"/>
        <w:gridCol w:w="1589"/>
      </w:tblGrid>
      <w:tr w14:paraId="1E93C0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43" w:hRule="atLeast"/>
          <w:jc w:val="center"/>
        </w:trPr>
        <w:tc>
          <w:tcPr>
            <w:tcW w:w="1332" w:type="dxa"/>
            <w:tcBorders>
              <w:tl2br w:val="single" w:color="auto" w:sz="4" w:space="0"/>
            </w:tcBorders>
            <w:noWrap w:val="0"/>
            <w:tcMar>
              <w:left w:w="28" w:type="dxa"/>
              <w:right w:w="28" w:type="dxa"/>
            </w:tcMar>
            <w:vAlign w:val="center"/>
          </w:tcPr>
          <w:p w14:paraId="4CB3BCC3">
            <w:pPr>
              <w:pStyle w:val="73"/>
              <w:spacing w:beforeLines="0" w:afterLines="0" w:line="240" w:lineRule="auto"/>
              <w:ind w:firstLine="0" w:firstLineChars="0"/>
              <w:jc w:val="right"/>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rPr>
              <w:t>项目</w:t>
            </w:r>
          </w:p>
          <w:p w14:paraId="6BCC253A">
            <w:pPr>
              <w:pStyle w:val="73"/>
              <w:spacing w:beforeLines="0" w:afterLines="0" w:line="240" w:lineRule="auto"/>
              <w:ind w:firstLine="0" w:firstLineChars="0"/>
              <w:jc w:val="left"/>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rPr>
              <w:t>分类</w:t>
            </w:r>
          </w:p>
        </w:tc>
        <w:tc>
          <w:tcPr>
            <w:tcW w:w="1443" w:type="dxa"/>
            <w:noWrap w:val="0"/>
            <w:tcMar>
              <w:left w:w="28" w:type="dxa"/>
              <w:right w:w="28" w:type="dxa"/>
            </w:tcMar>
            <w:vAlign w:val="center"/>
          </w:tcPr>
          <w:p w14:paraId="305EA53B">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rPr>
              <w:t>污染物名称</w:t>
            </w:r>
          </w:p>
        </w:tc>
        <w:tc>
          <w:tcPr>
            <w:tcW w:w="1524" w:type="dxa"/>
            <w:noWrap w:val="0"/>
            <w:tcMar>
              <w:left w:w="28" w:type="dxa"/>
              <w:right w:w="28" w:type="dxa"/>
            </w:tcMar>
            <w:vAlign w:val="center"/>
          </w:tcPr>
          <w:p w14:paraId="68FEDA6D">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rPr>
              <w:t>现有工程</w:t>
            </w:r>
          </w:p>
          <w:p w14:paraId="7F7E216A">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rPr>
              <w:t>排放量（固体废物产生量）</w:t>
            </w:r>
            <w:r>
              <w:rPr>
                <w:rFonts w:hint="eastAsia" w:ascii="宋体" w:hAnsi="宋体" w:eastAsia="宋体" w:cs="宋体"/>
                <w:bCs/>
                <w:snapToGrid w:val="0"/>
                <w:color w:val="auto"/>
                <w:spacing w:val="0"/>
                <w:kern w:val="21"/>
                <w:sz w:val="24"/>
                <w:szCs w:val="24"/>
                <w:highlight w:val="none"/>
              </w:rPr>
              <w:fldChar w:fldCharType="begin"/>
            </w:r>
            <w:r>
              <w:rPr>
                <w:rFonts w:hint="eastAsia" w:ascii="宋体" w:hAnsi="宋体" w:eastAsia="宋体" w:cs="宋体"/>
                <w:bCs/>
                <w:snapToGrid w:val="0"/>
                <w:color w:val="auto"/>
                <w:spacing w:val="0"/>
                <w:kern w:val="21"/>
                <w:sz w:val="24"/>
                <w:szCs w:val="24"/>
                <w:highlight w:val="none"/>
              </w:rPr>
              <w:instrText xml:space="preserve"> = 1 \* GB3 \* MERGEFORMAT </w:instrText>
            </w:r>
            <w:r>
              <w:rPr>
                <w:rFonts w:hint="eastAsia" w:ascii="宋体" w:hAnsi="宋体" w:eastAsia="宋体" w:cs="宋体"/>
                <w:bCs/>
                <w:snapToGrid w:val="0"/>
                <w:color w:val="auto"/>
                <w:spacing w:val="0"/>
                <w:kern w:val="21"/>
                <w:sz w:val="24"/>
                <w:szCs w:val="24"/>
                <w:highlight w:val="none"/>
              </w:rPr>
              <w:fldChar w:fldCharType="separate"/>
            </w:r>
            <w:r>
              <w:rPr>
                <w:rFonts w:hint="eastAsia" w:ascii="宋体" w:hAnsi="宋体" w:eastAsia="宋体" w:cs="宋体"/>
                <w:bCs/>
                <w:color w:val="auto"/>
                <w:spacing w:val="0"/>
                <w:kern w:val="2"/>
                <w:sz w:val="24"/>
                <w:szCs w:val="24"/>
                <w:highlight w:val="none"/>
              </w:rPr>
              <w:t>①</w:t>
            </w:r>
            <w:r>
              <w:rPr>
                <w:rFonts w:hint="eastAsia" w:ascii="宋体" w:hAnsi="宋体" w:eastAsia="宋体" w:cs="宋体"/>
                <w:bCs/>
                <w:snapToGrid w:val="0"/>
                <w:color w:val="auto"/>
                <w:spacing w:val="0"/>
                <w:kern w:val="21"/>
                <w:sz w:val="24"/>
                <w:szCs w:val="24"/>
                <w:highlight w:val="none"/>
              </w:rPr>
              <w:fldChar w:fldCharType="end"/>
            </w:r>
          </w:p>
        </w:tc>
        <w:tc>
          <w:tcPr>
            <w:tcW w:w="1341" w:type="dxa"/>
            <w:noWrap w:val="0"/>
            <w:tcMar>
              <w:left w:w="28" w:type="dxa"/>
              <w:right w:w="28" w:type="dxa"/>
            </w:tcMar>
            <w:vAlign w:val="center"/>
          </w:tcPr>
          <w:p w14:paraId="097D7319">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lang w:val="en-US" w:eastAsia="zh-CN"/>
              </w:rPr>
              <w:t>在建</w:t>
            </w:r>
            <w:r>
              <w:rPr>
                <w:rFonts w:hint="eastAsia" w:ascii="宋体" w:hAnsi="宋体" w:eastAsia="宋体" w:cs="宋体"/>
                <w:bCs/>
                <w:snapToGrid w:val="0"/>
                <w:color w:val="auto"/>
                <w:spacing w:val="0"/>
                <w:kern w:val="21"/>
                <w:sz w:val="24"/>
                <w:szCs w:val="24"/>
                <w:highlight w:val="none"/>
              </w:rPr>
              <w:t>工程许可排放量</w:t>
            </w:r>
            <w:r>
              <w:rPr>
                <w:rFonts w:hint="eastAsia" w:ascii="宋体" w:hAnsi="宋体" w:eastAsia="宋体" w:cs="宋体"/>
                <w:bCs/>
                <w:snapToGrid w:val="0"/>
                <w:color w:val="auto"/>
                <w:spacing w:val="0"/>
                <w:kern w:val="21"/>
                <w:sz w:val="24"/>
                <w:szCs w:val="24"/>
                <w:highlight w:val="none"/>
              </w:rPr>
              <w:fldChar w:fldCharType="begin"/>
            </w:r>
            <w:r>
              <w:rPr>
                <w:rFonts w:hint="eastAsia" w:ascii="宋体" w:hAnsi="宋体" w:eastAsia="宋体" w:cs="宋体"/>
                <w:bCs/>
                <w:snapToGrid w:val="0"/>
                <w:color w:val="auto"/>
                <w:spacing w:val="0"/>
                <w:kern w:val="21"/>
                <w:sz w:val="24"/>
                <w:szCs w:val="24"/>
                <w:highlight w:val="none"/>
              </w:rPr>
              <w:instrText xml:space="preserve"> = 2 \* GB3 \* MERGEFORMAT </w:instrText>
            </w:r>
            <w:r>
              <w:rPr>
                <w:rFonts w:hint="eastAsia" w:ascii="宋体" w:hAnsi="宋体" w:eastAsia="宋体" w:cs="宋体"/>
                <w:bCs/>
                <w:snapToGrid w:val="0"/>
                <w:color w:val="auto"/>
                <w:spacing w:val="0"/>
                <w:kern w:val="21"/>
                <w:sz w:val="24"/>
                <w:szCs w:val="24"/>
                <w:highlight w:val="none"/>
              </w:rPr>
              <w:fldChar w:fldCharType="separate"/>
            </w:r>
            <w:r>
              <w:rPr>
                <w:rFonts w:hint="eastAsia" w:ascii="宋体" w:hAnsi="宋体" w:eastAsia="宋体" w:cs="宋体"/>
                <w:bCs/>
                <w:snapToGrid w:val="0"/>
                <w:color w:val="auto"/>
                <w:spacing w:val="0"/>
                <w:kern w:val="21"/>
                <w:sz w:val="24"/>
                <w:szCs w:val="24"/>
                <w:highlight w:val="none"/>
              </w:rPr>
              <w:t>②</w:t>
            </w:r>
            <w:r>
              <w:rPr>
                <w:rFonts w:hint="eastAsia" w:ascii="宋体" w:hAnsi="宋体" w:eastAsia="宋体" w:cs="宋体"/>
                <w:bCs/>
                <w:snapToGrid w:val="0"/>
                <w:color w:val="auto"/>
                <w:spacing w:val="0"/>
                <w:kern w:val="21"/>
                <w:sz w:val="24"/>
                <w:szCs w:val="24"/>
                <w:highlight w:val="none"/>
              </w:rPr>
              <w:fldChar w:fldCharType="end"/>
            </w:r>
          </w:p>
        </w:tc>
        <w:tc>
          <w:tcPr>
            <w:tcW w:w="1390" w:type="dxa"/>
            <w:noWrap w:val="0"/>
            <w:tcMar>
              <w:left w:w="28" w:type="dxa"/>
              <w:right w:w="28" w:type="dxa"/>
            </w:tcMar>
            <w:vAlign w:val="center"/>
          </w:tcPr>
          <w:p w14:paraId="1DAE818B">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rPr>
              <w:t>在建工程排放量（固体废物产生量）</w:t>
            </w:r>
            <w:r>
              <w:rPr>
                <w:rFonts w:hint="eastAsia" w:ascii="宋体" w:hAnsi="宋体" w:eastAsia="宋体" w:cs="宋体"/>
                <w:bCs/>
                <w:snapToGrid w:val="0"/>
                <w:color w:val="auto"/>
                <w:spacing w:val="0"/>
                <w:kern w:val="21"/>
                <w:sz w:val="24"/>
                <w:szCs w:val="24"/>
                <w:highlight w:val="none"/>
              </w:rPr>
              <w:fldChar w:fldCharType="begin"/>
            </w:r>
            <w:r>
              <w:rPr>
                <w:rFonts w:hint="eastAsia" w:ascii="宋体" w:hAnsi="宋体" w:eastAsia="宋体" w:cs="宋体"/>
                <w:bCs/>
                <w:snapToGrid w:val="0"/>
                <w:color w:val="auto"/>
                <w:spacing w:val="0"/>
                <w:kern w:val="21"/>
                <w:sz w:val="24"/>
                <w:szCs w:val="24"/>
                <w:highlight w:val="none"/>
              </w:rPr>
              <w:instrText xml:space="preserve"> = 3 \* GB3 \* MERGEFORMAT </w:instrText>
            </w:r>
            <w:r>
              <w:rPr>
                <w:rFonts w:hint="eastAsia" w:ascii="宋体" w:hAnsi="宋体" w:eastAsia="宋体" w:cs="宋体"/>
                <w:bCs/>
                <w:snapToGrid w:val="0"/>
                <w:color w:val="auto"/>
                <w:spacing w:val="0"/>
                <w:kern w:val="21"/>
                <w:sz w:val="24"/>
                <w:szCs w:val="24"/>
                <w:highlight w:val="none"/>
              </w:rPr>
              <w:fldChar w:fldCharType="separate"/>
            </w:r>
            <w:r>
              <w:rPr>
                <w:rFonts w:hint="eastAsia" w:ascii="宋体" w:hAnsi="宋体" w:eastAsia="宋体" w:cs="宋体"/>
                <w:bCs/>
                <w:color w:val="auto"/>
                <w:spacing w:val="0"/>
                <w:kern w:val="2"/>
                <w:sz w:val="24"/>
                <w:szCs w:val="24"/>
                <w:highlight w:val="none"/>
              </w:rPr>
              <w:t>③</w:t>
            </w:r>
            <w:r>
              <w:rPr>
                <w:rFonts w:hint="eastAsia" w:ascii="宋体" w:hAnsi="宋体" w:eastAsia="宋体" w:cs="宋体"/>
                <w:bCs/>
                <w:snapToGrid w:val="0"/>
                <w:color w:val="auto"/>
                <w:spacing w:val="0"/>
                <w:kern w:val="21"/>
                <w:sz w:val="24"/>
                <w:szCs w:val="24"/>
                <w:highlight w:val="none"/>
              </w:rPr>
              <w:fldChar w:fldCharType="end"/>
            </w:r>
          </w:p>
        </w:tc>
        <w:tc>
          <w:tcPr>
            <w:tcW w:w="1595" w:type="dxa"/>
            <w:noWrap w:val="0"/>
            <w:tcMar>
              <w:left w:w="28" w:type="dxa"/>
              <w:right w:w="28" w:type="dxa"/>
            </w:tcMar>
            <w:vAlign w:val="center"/>
          </w:tcPr>
          <w:p w14:paraId="129B6DCE">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rPr>
              <w:t>本项目排放量（固体废物产生量）</w:t>
            </w:r>
            <w:r>
              <w:rPr>
                <w:rFonts w:hint="eastAsia" w:ascii="宋体" w:hAnsi="宋体" w:eastAsia="宋体" w:cs="宋体"/>
                <w:bCs/>
                <w:snapToGrid w:val="0"/>
                <w:color w:val="auto"/>
                <w:spacing w:val="0"/>
                <w:kern w:val="21"/>
                <w:sz w:val="24"/>
                <w:szCs w:val="24"/>
                <w:highlight w:val="none"/>
              </w:rPr>
              <w:fldChar w:fldCharType="begin"/>
            </w:r>
            <w:r>
              <w:rPr>
                <w:rFonts w:hint="eastAsia" w:ascii="宋体" w:hAnsi="宋体" w:eastAsia="宋体" w:cs="宋体"/>
                <w:bCs/>
                <w:snapToGrid w:val="0"/>
                <w:color w:val="auto"/>
                <w:spacing w:val="0"/>
                <w:kern w:val="21"/>
                <w:sz w:val="24"/>
                <w:szCs w:val="24"/>
                <w:highlight w:val="none"/>
              </w:rPr>
              <w:instrText xml:space="preserve"> = 4 \* GB3 \* MERGEFORMAT </w:instrText>
            </w:r>
            <w:r>
              <w:rPr>
                <w:rFonts w:hint="eastAsia" w:ascii="宋体" w:hAnsi="宋体" w:eastAsia="宋体" w:cs="宋体"/>
                <w:bCs/>
                <w:snapToGrid w:val="0"/>
                <w:color w:val="auto"/>
                <w:spacing w:val="0"/>
                <w:kern w:val="21"/>
                <w:sz w:val="24"/>
                <w:szCs w:val="24"/>
                <w:highlight w:val="none"/>
              </w:rPr>
              <w:fldChar w:fldCharType="separate"/>
            </w:r>
            <w:r>
              <w:rPr>
                <w:rFonts w:hint="eastAsia" w:ascii="宋体" w:hAnsi="宋体" w:eastAsia="宋体" w:cs="宋体"/>
                <w:bCs/>
                <w:color w:val="auto"/>
                <w:spacing w:val="0"/>
                <w:kern w:val="2"/>
                <w:sz w:val="24"/>
                <w:szCs w:val="24"/>
                <w:highlight w:val="none"/>
              </w:rPr>
              <w:t>④</w:t>
            </w:r>
            <w:r>
              <w:rPr>
                <w:rFonts w:hint="eastAsia" w:ascii="宋体" w:hAnsi="宋体" w:eastAsia="宋体" w:cs="宋体"/>
                <w:bCs/>
                <w:snapToGrid w:val="0"/>
                <w:color w:val="auto"/>
                <w:spacing w:val="0"/>
                <w:kern w:val="21"/>
                <w:sz w:val="24"/>
                <w:szCs w:val="24"/>
                <w:highlight w:val="none"/>
              </w:rPr>
              <w:fldChar w:fldCharType="end"/>
            </w:r>
          </w:p>
        </w:tc>
        <w:tc>
          <w:tcPr>
            <w:tcW w:w="1416" w:type="dxa"/>
            <w:noWrap w:val="0"/>
            <w:tcMar>
              <w:left w:w="28" w:type="dxa"/>
              <w:right w:w="28" w:type="dxa"/>
            </w:tcMar>
            <w:vAlign w:val="center"/>
          </w:tcPr>
          <w:p w14:paraId="1E5E3EBF">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rPr>
              <w:t>以新带老削减量（新建项目不填）</w:t>
            </w:r>
            <w:r>
              <w:rPr>
                <w:rFonts w:hint="eastAsia" w:ascii="宋体" w:hAnsi="宋体" w:eastAsia="宋体" w:cs="宋体"/>
                <w:bCs/>
                <w:snapToGrid w:val="0"/>
                <w:color w:val="auto"/>
                <w:spacing w:val="0"/>
                <w:kern w:val="21"/>
                <w:sz w:val="24"/>
                <w:szCs w:val="24"/>
                <w:highlight w:val="none"/>
              </w:rPr>
              <w:fldChar w:fldCharType="begin"/>
            </w:r>
            <w:r>
              <w:rPr>
                <w:rFonts w:hint="eastAsia" w:ascii="宋体" w:hAnsi="宋体" w:eastAsia="宋体" w:cs="宋体"/>
                <w:bCs/>
                <w:snapToGrid w:val="0"/>
                <w:color w:val="auto"/>
                <w:spacing w:val="0"/>
                <w:kern w:val="21"/>
                <w:sz w:val="24"/>
                <w:szCs w:val="24"/>
                <w:highlight w:val="none"/>
              </w:rPr>
              <w:instrText xml:space="preserve"> = 5 \* GB3 \* MERGEFORMAT </w:instrText>
            </w:r>
            <w:r>
              <w:rPr>
                <w:rFonts w:hint="eastAsia" w:ascii="宋体" w:hAnsi="宋体" w:eastAsia="宋体" w:cs="宋体"/>
                <w:bCs/>
                <w:snapToGrid w:val="0"/>
                <w:color w:val="auto"/>
                <w:spacing w:val="0"/>
                <w:kern w:val="21"/>
                <w:sz w:val="24"/>
                <w:szCs w:val="24"/>
                <w:highlight w:val="none"/>
              </w:rPr>
              <w:fldChar w:fldCharType="separate"/>
            </w:r>
            <w:r>
              <w:rPr>
                <w:rFonts w:hint="eastAsia" w:ascii="宋体" w:hAnsi="宋体" w:eastAsia="宋体" w:cs="宋体"/>
                <w:bCs/>
                <w:color w:val="auto"/>
                <w:spacing w:val="0"/>
                <w:kern w:val="2"/>
                <w:sz w:val="24"/>
                <w:szCs w:val="24"/>
                <w:highlight w:val="none"/>
              </w:rPr>
              <w:t>⑤</w:t>
            </w:r>
            <w:r>
              <w:rPr>
                <w:rFonts w:hint="eastAsia" w:ascii="宋体" w:hAnsi="宋体" w:eastAsia="宋体" w:cs="宋体"/>
                <w:bCs/>
                <w:snapToGrid w:val="0"/>
                <w:color w:val="auto"/>
                <w:spacing w:val="0"/>
                <w:kern w:val="21"/>
                <w:sz w:val="24"/>
                <w:szCs w:val="24"/>
                <w:highlight w:val="none"/>
              </w:rPr>
              <w:fldChar w:fldCharType="end"/>
            </w:r>
          </w:p>
        </w:tc>
        <w:tc>
          <w:tcPr>
            <w:tcW w:w="1662" w:type="dxa"/>
            <w:noWrap w:val="0"/>
            <w:tcMar>
              <w:left w:w="28" w:type="dxa"/>
              <w:right w:w="28" w:type="dxa"/>
            </w:tcMar>
            <w:vAlign w:val="center"/>
          </w:tcPr>
          <w:p w14:paraId="74B25B8C">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rPr>
              <w:t>本项目建成后全厂排放量（固体废物产生量）</w:t>
            </w:r>
            <w:r>
              <w:rPr>
                <w:rFonts w:hint="eastAsia" w:ascii="宋体" w:hAnsi="宋体" w:eastAsia="宋体" w:cs="宋体"/>
                <w:bCs/>
                <w:snapToGrid w:val="0"/>
                <w:color w:val="auto"/>
                <w:spacing w:val="0"/>
                <w:kern w:val="21"/>
                <w:sz w:val="24"/>
                <w:szCs w:val="24"/>
                <w:highlight w:val="none"/>
              </w:rPr>
              <w:fldChar w:fldCharType="begin"/>
            </w:r>
            <w:r>
              <w:rPr>
                <w:rFonts w:hint="eastAsia" w:ascii="宋体" w:hAnsi="宋体" w:eastAsia="宋体" w:cs="宋体"/>
                <w:bCs/>
                <w:snapToGrid w:val="0"/>
                <w:color w:val="auto"/>
                <w:spacing w:val="0"/>
                <w:kern w:val="21"/>
                <w:sz w:val="24"/>
                <w:szCs w:val="24"/>
                <w:highlight w:val="none"/>
              </w:rPr>
              <w:instrText xml:space="preserve"> = 6 \* GB3 \* MERGEFORMAT </w:instrText>
            </w:r>
            <w:r>
              <w:rPr>
                <w:rFonts w:hint="eastAsia" w:ascii="宋体" w:hAnsi="宋体" w:eastAsia="宋体" w:cs="宋体"/>
                <w:bCs/>
                <w:snapToGrid w:val="0"/>
                <w:color w:val="auto"/>
                <w:spacing w:val="0"/>
                <w:kern w:val="21"/>
                <w:sz w:val="24"/>
                <w:szCs w:val="24"/>
                <w:highlight w:val="none"/>
              </w:rPr>
              <w:fldChar w:fldCharType="separate"/>
            </w:r>
            <w:r>
              <w:rPr>
                <w:rFonts w:hint="eastAsia" w:ascii="宋体" w:hAnsi="宋体" w:eastAsia="宋体" w:cs="宋体"/>
                <w:bCs/>
                <w:color w:val="auto"/>
                <w:spacing w:val="0"/>
                <w:kern w:val="2"/>
                <w:sz w:val="24"/>
                <w:szCs w:val="24"/>
                <w:highlight w:val="none"/>
              </w:rPr>
              <w:t>⑥</w:t>
            </w:r>
            <w:r>
              <w:rPr>
                <w:rFonts w:hint="eastAsia" w:ascii="宋体" w:hAnsi="宋体" w:eastAsia="宋体" w:cs="宋体"/>
                <w:bCs/>
                <w:snapToGrid w:val="0"/>
                <w:color w:val="auto"/>
                <w:spacing w:val="0"/>
                <w:kern w:val="21"/>
                <w:sz w:val="24"/>
                <w:szCs w:val="24"/>
                <w:highlight w:val="none"/>
              </w:rPr>
              <w:fldChar w:fldCharType="end"/>
            </w:r>
          </w:p>
        </w:tc>
        <w:tc>
          <w:tcPr>
            <w:tcW w:w="1589" w:type="dxa"/>
            <w:noWrap w:val="0"/>
            <w:tcMar>
              <w:left w:w="28" w:type="dxa"/>
              <w:right w:w="28" w:type="dxa"/>
            </w:tcMar>
            <w:vAlign w:val="center"/>
          </w:tcPr>
          <w:p w14:paraId="393A0BC0">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rPr>
              <w:t>变化量</w:t>
            </w:r>
          </w:p>
          <w:p w14:paraId="552BA831">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rPr>
              <w:fldChar w:fldCharType="begin"/>
            </w:r>
            <w:r>
              <w:rPr>
                <w:rFonts w:hint="eastAsia" w:ascii="宋体" w:hAnsi="宋体" w:eastAsia="宋体" w:cs="宋体"/>
                <w:bCs/>
                <w:snapToGrid w:val="0"/>
                <w:color w:val="auto"/>
                <w:spacing w:val="0"/>
                <w:kern w:val="21"/>
                <w:sz w:val="24"/>
                <w:szCs w:val="24"/>
                <w:highlight w:val="none"/>
              </w:rPr>
              <w:instrText xml:space="preserve"> = 7 \* GB3 \* MERGEFORMAT </w:instrText>
            </w:r>
            <w:r>
              <w:rPr>
                <w:rFonts w:hint="eastAsia" w:ascii="宋体" w:hAnsi="宋体" w:eastAsia="宋体" w:cs="宋体"/>
                <w:bCs/>
                <w:snapToGrid w:val="0"/>
                <w:color w:val="auto"/>
                <w:spacing w:val="0"/>
                <w:kern w:val="21"/>
                <w:sz w:val="24"/>
                <w:szCs w:val="24"/>
                <w:highlight w:val="none"/>
              </w:rPr>
              <w:fldChar w:fldCharType="separate"/>
            </w:r>
            <w:r>
              <w:rPr>
                <w:rFonts w:hint="eastAsia" w:ascii="宋体" w:hAnsi="宋体" w:eastAsia="宋体" w:cs="宋体"/>
                <w:bCs/>
                <w:color w:val="auto"/>
                <w:spacing w:val="0"/>
                <w:kern w:val="2"/>
                <w:sz w:val="24"/>
                <w:szCs w:val="24"/>
                <w:highlight w:val="none"/>
              </w:rPr>
              <w:t>⑦</w:t>
            </w:r>
            <w:r>
              <w:rPr>
                <w:rFonts w:hint="eastAsia" w:ascii="宋体" w:hAnsi="宋体" w:eastAsia="宋体" w:cs="宋体"/>
                <w:bCs/>
                <w:snapToGrid w:val="0"/>
                <w:color w:val="auto"/>
                <w:spacing w:val="0"/>
                <w:kern w:val="21"/>
                <w:sz w:val="24"/>
                <w:szCs w:val="24"/>
                <w:highlight w:val="none"/>
              </w:rPr>
              <w:fldChar w:fldCharType="end"/>
            </w:r>
          </w:p>
        </w:tc>
      </w:tr>
      <w:tr w14:paraId="2A0E27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restart"/>
            <w:noWrap w:val="0"/>
            <w:vAlign w:val="center"/>
          </w:tcPr>
          <w:p w14:paraId="342E8707">
            <w:pPr>
              <w:pStyle w:val="70"/>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color w:val="auto"/>
                <w:spacing w:val="0"/>
                <w:sz w:val="24"/>
                <w:szCs w:val="24"/>
                <w:highlight w:val="none"/>
                <w:lang w:val="en-US" w:eastAsia="zh-CN"/>
              </w:rPr>
              <w:t>废气</w:t>
            </w:r>
          </w:p>
        </w:tc>
        <w:tc>
          <w:tcPr>
            <w:tcW w:w="1443" w:type="dxa"/>
            <w:noWrap w:val="0"/>
            <w:vAlign w:val="center"/>
          </w:tcPr>
          <w:p w14:paraId="6FDFCAE7">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sz w:val="24"/>
                <w:szCs w:val="24"/>
                <w:highlight w:val="none"/>
                <w:lang w:val="en-US" w:eastAsia="zh-CN"/>
              </w:rPr>
              <w:t>二氧化硫</w:t>
            </w:r>
          </w:p>
        </w:tc>
        <w:tc>
          <w:tcPr>
            <w:tcW w:w="1524" w:type="dxa"/>
            <w:noWrap w:val="0"/>
            <w:vAlign w:val="center"/>
          </w:tcPr>
          <w:p w14:paraId="626EEFDD">
            <w:pPr>
              <w:pStyle w:val="70"/>
              <w:rPr>
                <w:rFonts w:hint="default"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2C333758">
            <w:pPr>
              <w:pStyle w:val="70"/>
              <w:rPr>
                <w:rFonts w:hint="default"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8.35t/a</w:t>
            </w:r>
          </w:p>
        </w:tc>
        <w:tc>
          <w:tcPr>
            <w:tcW w:w="1390" w:type="dxa"/>
            <w:noWrap w:val="0"/>
            <w:vAlign w:val="center"/>
          </w:tcPr>
          <w:p w14:paraId="726F01A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bCs/>
                <w:i w:val="0"/>
                <w:iCs w:val="0"/>
                <w:color w:val="auto"/>
                <w:spacing w:val="0"/>
                <w:kern w:val="2"/>
                <w:sz w:val="24"/>
                <w:szCs w:val="24"/>
                <w:highlight w:val="none"/>
                <w:u w:val="none"/>
                <w:lang w:val="en-US" w:eastAsia="zh-CN" w:bidi="ar-SA"/>
              </w:rPr>
            </w:pPr>
            <w:r>
              <w:rPr>
                <w:rFonts w:hint="eastAsia" w:cs="宋体"/>
                <w:bCs/>
                <w:i w:val="0"/>
                <w:iCs w:val="0"/>
                <w:color w:val="auto"/>
                <w:spacing w:val="0"/>
                <w:kern w:val="2"/>
                <w:sz w:val="24"/>
                <w:szCs w:val="24"/>
                <w:highlight w:val="none"/>
                <w:u w:val="none"/>
                <w:lang w:val="en-US" w:eastAsia="zh-CN" w:bidi="ar-SA"/>
              </w:rPr>
              <w:t>2.698t/a</w:t>
            </w:r>
          </w:p>
        </w:tc>
        <w:tc>
          <w:tcPr>
            <w:tcW w:w="1595" w:type="dxa"/>
            <w:noWrap w:val="0"/>
            <w:vAlign w:val="center"/>
          </w:tcPr>
          <w:p w14:paraId="35B4FC8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bCs/>
                <w:i w:val="0"/>
                <w:iCs w:val="0"/>
                <w:color w:val="auto"/>
                <w:spacing w:val="0"/>
                <w:kern w:val="2"/>
                <w:sz w:val="24"/>
                <w:szCs w:val="24"/>
                <w:highlight w:val="none"/>
                <w:u w:val="none"/>
                <w:lang w:val="en-US" w:eastAsia="zh-CN" w:bidi="ar-SA"/>
              </w:rPr>
            </w:pPr>
            <w:r>
              <w:rPr>
                <w:rFonts w:hint="eastAsia" w:cs="宋体"/>
                <w:bCs/>
                <w:i w:val="0"/>
                <w:iCs w:val="0"/>
                <w:color w:val="auto"/>
                <w:spacing w:val="0"/>
                <w:kern w:val="2"/>
                <w:sz w:val="24"/>
                <w:szCs w:val="24"/>
                <w:highlight w:val="none"/>
                <w:u w:val="none"/>
                <w:lang w:val="en-US" w:eastAsia="zh-CN" w:bidi="ar-SA"/>
              </w:rPr>
              <w:t>1.962</w:t>
            </w:r>
            <w:r>
              <w:rPr>
                <w:rFonts w:hint="eastAsia" w:ascii="宋体" w:hAnsi="宋体" w:eastAsia="宋体" w:cs="宋体"/>
                <w:bCs/>
                <w:i w:val="0"/>
                <w:iCs w:val="0"/>
                <w:color w:val="auto"/>
                <w:spacing w:val="0"/>
                <w:kern w:val="2"/>
                <w:sz w:val="24"/>
                <w:szCs w:val="24"/>
                <w:highlight w:val="none"/>
                <w:u w:val="none"/>
                <w:lang w:val="en-US" w:eastAsia="zh-CN" w:bidi="ar-SA"/>
              </w:rPr>
              <w:t>t/a</w:t>
            </w:r>
          </w:p>
        </w:tc>
        <w:tc>
          <w:tcPr>
            <w:tcW w:w="1416" w:type="dxa"/>
            <w:noWrap w:val="0"/>
            <w:vAlign w:val="center"/>
          </w:tcPr>
          <w:p w14:paraId="66C4CE63">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38572B0A">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sz w:val="24"/>
                <w:szCs w:val="24"/>
                <w:highlight w:val="none"/>
                <w:lang w:val="en-US" w:eastAsia="zh-CN"/>
              </w:rPr>
              <w:t>4.66</w:t>
            </w:r>
            <w:r>
              <w:rPr>
                <w:rFonts w:hint="eastAsia" w:ascii="宋体" w:hAnsi="宋体" w:eastAsia="宋体" w:cs="宋体"/>
                <w:color w:val="auto"/>
                <w:spacing w:val="0"/>
                <w:sz w:val="24"/>
                <w:szCs w:val="24"/>
                <w:highlight w:val="none"/>
                <w:lang w:eastAsia="zh-CN"/>
              </w:rPr>
              <w:t>t/a</w:t>
            </w:r>
          </w:p>
        </w:tc>
        <w:tc>
          <w:tcPr>
            <w:tcW w:w="1589" w:type="dxa"/>
            <w:noWrap w:val="0"/>
            <w:vAlign w:val="center"/>
          </w:tcPr>
          <w:p w14:paraId="4456385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spacing w:val="0"/>
                <w:kern w:val="2"/>
                <w:sz w:val="24"/>
                <w:szCs w:val="24"/>
                <w:highlight w:val="none"/>
                <w:lang w:val="en-US" w:eastAsia="zh-CN" w:bidi="ar-SA"/>
              </w:rPr>
            </w:pPr>
            <w:r>
              <w:rPr>
                <w:rFonts w:hint="eastAsia" w:cs="宋体"/>
                <w:bCs/>
                <w:i w:val="0"/>
                <w:iCs w:val="0"/>
                <w:color w:val="auto"/>
                <w:spacing w:val="0"/>
                <w:kern w:val="2"/>
                <w:sz w:val="24"/>
                <w:szCs w:val="24"/>
                <w:highlight w:val="none"/>
                <w:u w:val="none"/>
                <w:lang w:val="en-US" w:eastAsia="zh-CN" w:bidi="ar-SA"/>
              </w:rPr>
              <w:t>1.962</w:t>
            </w:r>
            <w:r>
              <w:rPr>
                <w:rFonts w:hint="eastAsia" w:ascii="宋体" w:hAnsi="宋体" w:eastAsia="宋体" w:cs="宋体"/>
                <w:bCs/>
                <w:i w:val="0"/>
                <w:iCs w:val="0"/>
                <w:color w:val="auto"/>
                <w:spacing w:val="0"/>
                <w:kern w:val="2"/>
                <w:sz w:val="24"/>
                <w:szCs w:val="24"/>
                <w:highlight w:val="none"/>
                <w:u w:val="none"/>
                <w:lang w:val="en-US" w:eastAsia="zh-CN" w:bidi="ar-SA"/>
              </w:rPr>
              <w:t>t/a</w:t>
            </w:r>
          </w:p>
        </w:tc>
      </w:tr>
      <w:tr w14:paraId="2C6E0C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07670B51">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62AD5587">
            <w:pPr>
              <w:pStyle w:val="70"/>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氮氧化物</w:t>
            </w:r>
          </w:p>
        </w:tc>
        <w:tc>
          <w:tcPr>
            <w:tcW w:w="1524" w:type="dxa"/>
            <w:noWrap w:val="0"/>
            <w:vAlign w:val="center"/>
          </w:tcPr>
          <w:p w14:paraId="09DCBC89">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58568610">
            <w:pPr>
              <w:pStyle w:val="70"/>
              <w:rPr>
                <w:rFonts w:hint="default"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10.44t/a</w:t>
            </w:r>
          </w:p>
        </w:tc>
        <w:tc>
          <w:tcPr>
            <w:tcW w:w="1390" w:type="dxa"/>
            <w:noWrap w:val="0"/>
            <w:vAlign w:val="center"/>
          </w:tcPr>
          <w:p w14:paraId="657E6902">
            <w:pPr>
              <w:pStyle w:val="70"/>
              <w:rPr>
                <w:rFonts w:hint="default"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5.339</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0A5B993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bCs/>
                <w:i w:val="0"/>
                <w:iCs w:val="0"/>
                <w:color w:val="auto"/>
                <w:spacing w:val="0"/>
                <w:kern w:val="2"/>
                <w:sz w:val="24"/>
                <w:szCs w:val="24"/>
                <w:highlight w:val="none"/>
                <w:u w:val="none"/>
                <w:lang w:val="en-US" w:eastAsia="zh-CN" w:bidi="ar-SA"/>
              </w:rPr>
            </w:pPr>
            <w:r>
              <w:rPr>
                <w:rFonts w:hint="eastAsia" w:cs="宋体"/>
                <w:bCs/>
                <w:i w:val="0"/>
                <w:iCs w:val="0"/>
                <w:color w:val="auto"/>
                <w:spacing w:val="0"/>
                <w:kern w:val="2"/>
                <w:sz w:val="24"/>
                <w:szCs w:val="24"/>
                <w:highlight w:val="none"/>
                <w:u w:val="none"/>
                <w:lang w:val="en-US" w:eastAsia="zh-CN" w:bidi="ar-SA"/>
              </w:rPr>
              <w:t>6.28</w:t>
            </w:r>
            <w:r>
              <w:rPr>
                <w:rFonts w:hint="eastAsia" w:ascii="宋体" w:hAnsi="宋体" w:eastAsia="宋体" w:cs="宋体"/>
                <w:bCs/>
                <w:i w:val="0"/>
                <w:iCs w:val="0"/>
                <w:color w:val="auto"/>
                <w:spacing w:val="0"/>
                <w:kern w:val="2"/>
                <w:sz w:val="24"/>
                <w:szCs w:val="24"/>
                <w:highlight w:val="none"/>
                <w:u w:val="none"/>
                <w:lang w:val="en-US" w:eastAsia="zh-CN" w:bidi="ar-SA"/>
              </w:rPr>
              <w:t>t/a</w:t>
            </w:r>
          </w:p>
        </w:tc>
        <w:tc>
          <w:tcPr>
            <w:tcW w:w="1416" w:type="dxa"/>
            <w:noWrap w:val="0"/>
            <w:vAlign w:val="center"/>
          </w:tcPr>
          <w:p w14:paraId="19308647">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726349EF">
            <w:pPr>
              <w:pStyle w:val="70"/>
              <w:rPr>
                <w:rFonts w:hint="eastAsia"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11.619</w:t>
            </w:r>
            <w:r>
              <w:rPr>
                <w:rFonts w:hint="eastAsia" w:ascii="宋体" w:hAnsi="宋体" w:eastAsia="宋体" w:cs="宋体"/>
                <w:color w:val="auto"/>
                <w:spacing w:val="0"/>
                <w:sz w:val="24"/>
                <w:szCs w:val="24"/>
                <w:highlight w:val="none"/>
                <w:lang w:val="en-US" w:eastAsia="zh-CN"/>
              </w:rPr>
              <w:t>t/a</w:t>
            </w:r>
          </w:p>
        </w:tc>
        <w:tc>
          <w:tcPr>
            <w:tcW w:w="1589" w:type="dxa"/>
            <w:noWrap w:val="0"/>
            <w:vAlign w:val="center"/>
          </w:tcPr>
          <w:p w14:paraId="1E7D18ED">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spacing w:val="0"/>
                <w:sz w:val="24"/>
                <w:szCs w:val="24"/>
                <w:highlight w:val="none"/>
                <w:lang w:val="en-US" w:eastAsia="zh-CN"/>
              </w:rPr>
            </w:pPr>
            <w:r>
              <w:rPr>
                <w:rFonts w:hint="eastAsia" w:cs="宋体"/>
                <w:bCs/>
                <w:i w:val="0"/>
                <w:iCs w:val="0"/>
                <w:color w:val="auto"/>
                <w:spacing w:val="0"/>
                <w:kern w:val="2"/>
                <w:sz w:val="24"/>
                <w:szCs w:val="24"/>
                <w:highlight w:val="none"/>
                <w:u w:val="none"/>
                <w:lang w:val="en-US" w:eastAsia="zh-CN" w:bidi="ar-SA"/>
              </w:rPr>
              <w:t>6.28</w:t>
            </w:r>
            <w:r>
              <w:rPr>
                <w:rFonts w:hint="eastAsia" w:ascii="宋体" w:hAnsi="宋体" w:eastAsia="宋体" w:cs="宋体"/>
                <w:bCs/>
                <w:i w:val="0"/>
                <w:iCs w:val="0"/>
                <w:color w:val="auto"/>
                <w:spacing w:val="0"/>
                <w:kern w:val="2"/>
                <w:sz w:val="24"/>
                <w:szCs w:val="24"/>
                <w:highlight w:val="none"/>
                <w:u w:val="none"/>
                <w:lang w:val="en-US" w:eastAsia="zh-CN" w:bidi="ar-SA"/>
              </w:rPr>
              <w:t>t/a</w:t>
            </w:r>
          </w:p>
        </w:tc>
      </w:tr>
      <w:tr w14:paraId="668BD0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65DBAF77">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3CE3964D">
            <w:pPr>
              <w:pStyle w:val="70"/>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颗粒物</w:t>
            </w:r>
          </w:p>
        </w:tc>
        <w:tc>
          <w:tcPr>
            <w:tcW w:w="1524" w:type="dxa"/>
            <w:noWrap w:val="0"/>
            <w:vAlign w:val="center"/>
          </w:tcPr>
          <w:p w14:paraId="112C985E">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4294A5A4">
            <w:pPr>
              <w:pStyle w:val="70"/>
              <w:rPr>
                <w:rFonts w:hint="default"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1.74t/a</w:t>
            </w:r>
          </w:p>
        </w:tc>
        <w:tc>
          <w:tcPr>
            <w:tcW w:w="1390" w:type="dxa"/>
            <w:noWrap w:val="0"/>
            <w:vAlign w:val="center"/>
          </w:tcPr>
          <w:p w14:paraId="7C2C9AD4">
            <w:pPr>
              <w:pStyle w:val="70"/>
              <w:rPr>
                <w:rFonts w:hint="default"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0.7503t/a</w:t>
            </w:r>
          </w:p>
        </w:tc>
        <w:tc>
          <w:tcPr>
            <w:tcW w:w="1595" w:type="dxa"/>
            <w:noWrap w:val="0"/>
            <w:vAlign w:val="center"/>
          </w:tcPr>
          <w:p w14:paraId="1EC1566A">
            <w:pPr>
              <w:pStyle w:val="70"/>
              <w:rPr>
                <w:rFonts w:hint="default"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0.102t/a</w:t>
            </w:r>
          </w:p>
        </w:tc>
        <w:tc>
          <w:tcPr>
            <w:tcW w:w="1416" w:type="dxa"/>
            <w:noWrap w:val="0"/>
            <w:vAlign w:val="center"/>
          </w:tcPr>
          <w:p w14:paraId="4C421260">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447403D7">
            <w:pPr>
              <w:pStyle w:val="70"/>
              <w:rPr>
                <w:rFonts w:hint="eastAsia"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0.8523</w:t>
            </w:r>
            <w:r>
              <w:rPr>
                <w:rFonts w:hint="eastAsia" w:ascii="宋体" w:hAnsi="宋体" w:eastAsia="宋体" w:cs="宋体"/>
                <w:color w:val="auto"/>
                <w:spacing w:val="0"/>
                <w:sz w:val="24"/>
                <w:szCs w:val="24"/>
                <w:highlight w:val="none"/>
                <w:lang w:val="en-US" w:eastAsia="zh-CN"/>
              </w:rPr>
              <w:t>t/a</w:t>
            </w:r>
          </w:p>
        </w:tc>
        <w:tc>
          <w:tcPr>
            <w:tcW w:w="1589" w:type="dxa"/>
            <w:noWrap w:val="0"/>
            <w:vAlign w:val="center"/>
          </w:tcPr>
          <w:p w14:paraId="3D6F7C50">
            <w:pPr>
              <w:pStyle w:val="70"/>
              <w:rPr>
                <w:rFonts w:hint="eastAsia"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0.102t/a</w:t>
            </w:r>
          </w:p>
        </w:tc>
      </w:tr>
      <w:tr w14:paraId="748ECE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31026B6C">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6A7E289A">
            <w:pPr>
              <w:pStyle w:val="70"/>
              <w:rPr>
                <w:rFonts w:hint="default"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VOCs</w:t>
            </w:r>
          </w:p>
        </w:tc>
        <w:tc>
          <w:tcPr>
            <w:tcW w:w="1524" w:type="dxa"/>
            <w:noWrap w:val="0"/>
            <w:vAlign w:val="center"/>
          </w:tcPr>
          <w:p w14:paraId="0E595FA0">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0EC9AF51">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45.78t/a</w:t>
            </w:r>
          </w:p>
        </w:tc>
        <w:tc>
          <w:tcPr>
            <w:tcW w:w="1390" w:type="dxa"/>
            <w:noWrap w:val="0"/>
            <w:vAlign w:val="center"/>
          </w:tcPr>
          <w:p w14:paraId="1A79E350">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5.721t/a</w:t>
            </w:r>
          </w:p>
        </w:tc>
        <w:tc>
          <w:tcPr>
            <w:tcW w:w="1595" w:type="dxa"/>
            <w:noWrap w:val="0"/>
            <w:vAlign w:val="center"/>
          </w:tcPr>
          <w:p w14:paraId="3C07AFFF">
            <w:pPr>
              <w:pStyle w:val="70"/>
              <w:rPr>
                <w:rFonts w:hint="default"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w:t>
            </w:r>
          </w:p>
        </w:tc>
        <w:tc>
          <w:tcPr>
            <w:tcW w:w="1416" w:type="dxa"/>
            <w:noWrap w:val="0"/>
            <w:vAlign w:val="center"/>
          </w:tcPr>
          <w:p w14:paraId="289EB799">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018F1AAC">
            <w:pPr>
              <w:pStyle w:val="70"/>
              <w:rPr>
                <w:rFonts w:hint="default" w:ascii="宋体" w:hAnsi="宋体" w:eastAsia="宋体" w:cs="宋体"/>
                <w:color w:val="auto"/>
                <w:spacing w:val="0"/>
                <w:sz w:val="24"/>
                <w:szCs w:val="24"/>
                <w:highlight w:val="none"/>
                <w:lang w:val="en-US" w:eastAsia="zh-CN"/>
              </w:rPr>
            </w:pPr>
            <w:r>
              <w:rPr>
                <w:rFonts w:hint="eastAsia" w:ascii="宋体" w:hAnsi="宋体" w:cs="宋体"/>
                <w:color w:val="auto"/>
                <w:spacing w:val="0"/>
                <w:kern w:val="2"/>
                <w:sz w:val="24"/>
                <w:szCs w:val="24"/>
                <w:highlight w:val="none"/>
                <w:lang w:val="en-US" w:eastAsia="zh-CN" w:bidi="ar-SA"/>
              </w:rPr>
              <w:t>5.721t/a</w:t>
            </w:r>
          </w:p>
        </w:tc>
        <w:tc>
          <w:tcPr>
            <w:tcW w:w="1589" w:type="dxa"/>
            <w:noWrap w:val="0"/>
            <w:vAlign w:val="center"/>
          </w:tcPr>
          <w:p w14:paraId="0764451C">
            <w:pPr>
              <w:pStyle w:val="70"/>
              <w:rPr>
                <w:rFonts w:hint="default"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0</w:t>
            </w:r>
          </w:p>
        </w:tc>
      </w:tr>
      <w:tr w14:paraId="21270D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5BE3E6F0">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3CB8981F">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硫酸雾</w:t>
            </w:r>
          </w:p>
        </w:tc>
        <w:tc>
          <w:tcPr>
            <w:tcW w:w="1524" w:type="dxa"/>
            <w:noWrap w:val="0"/>
            <w:vAlign w:val="center"/>
          </w:tcPr>
          <w:p w14:paraId="4623D3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7D6942FF">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04B18A88">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0.08893t/a</w:t>
            </w:r>
          </w:p>
        </w:tc>
        <w:tc>
          <w:tcPr>
            <w:tcW w:w="1595" w:type="dxa"/>
            <w:noWrap w:val="0"/>
            <w:vAlign w:val="center"/>
          </w:tcPr>
          <w:p w14:paraId="35A43AF8">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w:t>
            </w:r>
          </w:p>
        </w:tc>
        <w:tc>
          <w:tcPr>
            <w:tcW w:w="1416" w:type="dxa"/>
            <w:noWrap w:val="0"/>
            <w:vAlign w:val="center"/>
          </w:tcPr>
          <w:p w14:paraId="329623DC">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260EFB2A">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0.08893t/a</w:t>
            </w:r>
          </w:p>
        </w:tc>
        <w:tc>
          <w:tcPr>
            <w:tcW w:w="1589" w:type="dxa"/>
            <w:noWrap w:val="0"/>
            <w:vAlign w:val="center"/>
          </w:tcPr>
          <w:p w14:paraId="1F452592">
            <w:pPr>
              <w:pStyle w:val="70"/>
              <w:rPr>
                <w:rFonts w:hint="default"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4B2D25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11B9313C">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7D28DEC4">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氯化氢</w:t>
            </w:r>
          </w:p>
        </w:tc>
        <w:tc>
          <w:tcPr>
            <w:tcW w:w="1524" w:type="dxa"/>
            <w:noWrap w:val="0"/>
            <w:vAlign w:val="center"/>
          </w:tcPr>
          <w:p w14:paraId="78BD54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1B722519">
            <w:pPr>
              <w:pStyle w:val="7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3B6D2AD5">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0.1484t/a</w:t>
            </w:r>
          </w:p>
        </w:tc>
        <w:tc>
          <w:tcPr>
            <w:tcW w:w="1595" w:type="dxa"/>
            <w:noWrap w:val="0"/>
            <w:vAlign w:val="center"/>
          </w:tcPr>
          <w:p w14:paraId="186C5D9E">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w:t>
            </w:r>
          </w:p>
        </w:tc>
        <w:tc>
          <w:tcPr>
            <w:tcW w:w="1416" w:type="dxa"/>
            <w:noWrap w:val="0"/>
            <w:vAlign w:val="center"/>
          </w:tcPr>
          <w:p w14:paraId="334E3C31">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7FC06AD7">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0.1484t/a</w:t>
            </w:r>
          </w:p>
        </w:tc>
        <w:tc>
          <w:tcPr>
            <w:tcW w:w="1589" w:type="dxa"/>
            <w:noWrap w:val="0"/>
            <w:vAlign w:val="center"/>
          </w:tcPr>
          <w:p w14:paraId="46E36E20">
            <w:pPr>
              <w:pStyle w:val="70"/>
              <w:rPr>
                <w:rFonts w:hint="eastAsia"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555B34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1F68055B">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1A683B34">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溴化氢</w:t>
            </w:r>
          </w:p>
        </w:tc>
        <w:tc>
          <w:tcPr>
            <w:tcW w:w="1524" w:type="dxa"/>
            <w:noWrap w:val="0"/>
            <w:vAlign w:val="center"/>
          </w:tcPr>
          <w:p w14:paraId="31B587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4385C2CC">
            <w:pPr>
              <w:pStyle w:val="7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71BB2926">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0.0172t/a</w:t>
            </w:r>
          </w:p>
        </w:tc>
        <w:tc>
          <w:tcPr>
            <w:tcW w:w="1595" w:type="dxa"/>
            <w:noWrap w:val="0"/>
            <w:vAlign w:val="center"/>
          </w:tcPr>
          <w:p w14:paraId="0DB29E43">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w:t>
            </w:r>
          </w:p>
        </w:tc>
        <w:tc>
          <w:tcPr>
            <w:tcW w:w="1416" w:type="dxa"/>
            <w:noWrap w:val="0"/>
            <w:vAlign w:val="center"/>
          </w:tcPr>
          <w:p w14:paraId="77EA5194">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4C74A035">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0.0172t/a</w:t>
            </w:r>
          </w:p>
        </w:tc>
        <w:tc>
          <w:tcPr>
            <w:tcW w:w="1589" w:type="dxa"/>
            <w:noWrap w:val="0"/>
            <w:vAlign w:val="center"/>
          </w:tcPr>
          <w:p w14:paraId="675E02A7">
            <w:pPr>
              <w:pStyle w:val="70"/>
              <w:rPr>
                <w:rFonts w:hint="eastAsia"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25F0B8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06938423">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2F247B1C">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氨</w:t>
            </w:r>
          </w:p>
        </w:tc>
        <w:tc>
          <w:tcPr>
            <w:tcW w:w="1524" w:type="dxa"/>
            <w:noWrap w:val="0"/>
            <w:vAlign w:val="center"/>
          </w:tcPr>
          <w:p w14:paraId="283A74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5BB29E53">
            <w:pPr>
              <w:pStyle w:val="7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690E3CE8">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0.303t/a</w:t>
            </w:r>
          </w:p>
        </w:tc>
        <w:tc>
          <w:tcPr>
            <w:tcW w:w="1595" w:type="dxa"/>
            <w:noWrap w:val="0"/>
            <w:vAlign w:val="center"/>
          </w:tcPr>
          <w:p w14:paraId="62D9E5FF">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w:t>
            </w:r>
          </w:p>
        </w:tc>
        <w:tc>
          <w:tcPr>
            <w:tcW w:w="1416" w:type="dxa"/>
            <w:noWrap w:val="0"/>
            <w:vAlign w:val="center"/>
          </w:tcPr>
          <w:p w14:paraId="38F82865">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573321FE">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0.303t/a</w:t>
            </w:r>
          </w:p>
        </w:tc>
        <w:tc>
          <w:tcPr>
            <w:tcW w:w="1589" w:type="dxa"/>
            <w:noWrap w:val="0"/>
            <w:vAlign w:val="center"/>
          </w:tcPr>
          <w:p w14:paraId="65FEC46C">
            <w:pPr>
              <w:pStyle w:val="70"/>
              <w:rPr>
                <w:rFonts w:hint="eastAsia"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70B702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0724F381">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116A87F4">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硫化氢</w:t>
            </w:r>
          </w:p>
        </w:tc>
        <w:tc>
          <w:tcPr>
            <w:tcW w:w="1524" w:type="dxa"/>
            <w:noWrap w:val="0"/>
            <w:vAlign w:val="center"/>
          </w:tcPr>
          <w:p w14:paraId="59208C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61FEB39D">
            <w:pPr>
              <w:pStyle w:val="7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7A39BBB7">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0.0135t/a</w:t>
            </w:r>
          </w:p>
        </w:tc>
        <w:tc>
          <w:tcPr>
            <w:tcW w:w="1595" w:type="dxa"/>
            <w:noWrap w:val="0"/>
            <w:vAlign w:val="center"/>
          </w:tcPr>
          <w:p w14:paraId="3BEB7B77">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w:t>
            </w:r>
          </w:p>
        </w:tc>
        <w:tc>
          <w:tcPr>
            <w:tcW w:w="1416" w:type="dxa"/>
            <w:noWrap w:val="0"/>
            <w:vAlign w:val="center"/>
          </w:tcPr>
          <w:p w14:paraId="4515FCF1">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30BBE669">
            <w:pPr>
              <w:pStyle w:val="7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0.0135t/a</w:t>
            </w:r>
          </w:p>
        </w:tc>
        <w:tc>
          <w:tcPr>
            <w:tcW w:w="1589" w:type="dxa"/>
            <w:noWrap w:val="0"/>
            <w:vAlign w:val="center"/>
          </w:tcPr>
          <w:p w14:paraId="2A4CC642">
            <w:pPr>
              <w:pStyle w:val="70"/>
              <w:rPr>
                <w:rFonts w:hint="eastAsia"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4B921B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restart"/>
            <w:noWrap w:val="0"/>
            <w:vAlign w:val="center"/>
          </w:tcPr>
          <w:p w14:paraId="4CB41EDB">
            <w:pPr>
              <w:pStyle w:val="70"/>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废水</w:t>
            </w:r>
          </w:p>
        </w:tc>
        <w:tc>
          <w:tcPr>
            <w:tcW w:w="1443" w:type="dxa"/>
            <w:noWrap w:val="0"/>
            <w:vAlign w:val="center"/>
          </w:tcPr>
          <w:p w14:paraId="7921A4BC">
            <w:pPr>
              <w:pStyle w:val="70"/>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COD</w:t>
            </w:r>
          </w:p>
        </w:tc>
        <w:tc>
          <w:tcPr>
            <w:tcW w:w="1524" w:type="dxa"/>
            <w:noWrap w:val="0"/>
            <w:vAlign w:val="center"/>
          </w:tcPr>
          <w:p w14:paraId="47C59776">
            <w:pPr>
              <w:pStyle w:val="70"/>
              <w:rPr>
                <w:rFonts w:hint="default"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0D2ADE4D">
            <w:pPr>
              <w:pStyle w:val="70"/>
              <w:rPr>
                <w:rFonts w:hint="default"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563B1B66">
            <w:pPr>
              <w:pStyle w:val="70"/>
              <w:rPr>
                <w:rFonts w:hint="default"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100.683</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712951D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bCs w:val="0"/>
                <w:color w:val="auto"/>
                <w:spacing w:val="0"/>
                <w:kern w:val="2"/>
                <w:sz w:val="24"/>
                <w:szCs w:val="24"/>
                <w:highlight w:val="none"/>
                <w:lang w:val="en-US" w:eastAsia="zh-CN" w:bidi="ar-SA"/>
              </w:rPr>
            </w:pPr>
            <w:r>
              <w:rPr>
                <w:rFonts w:hint="eastAsia" w:cs="宋体"/>
                <w:bCs w:val="0"/>
                <w:color w:val="auto"/>
                <w:spacing w:val="0"/>
                <w:kern w:val="2"/>
                <w:sz w:val="24"/>
                <w:szCs w:val="24"/>
                <w:highlight w:val="none"/>
                <w:lang w:val="en-US" w:eastAsia="zh-CN" w:bidi="ar-SA"/>
              </w:rPr>
              <w:t>0.0934</w:t>
            </w:r>
            <w:r>
              <w:rPr>
                <w:rFonts w:hint="eastAsia" w:ascii="宋体" w:hAnsi="宋体" w:eastAsia="宋体" w:cs="宋体"/>
                <w:bCs w:val="0"/>
                <w:color w:val="auto"/>
                <w:spacing w:val="0"/>
                <w:kern w:val="2"/>
                <w:sz w:val="24"/>
                <w:szCs w:val="24"/>
                <w:highlight w:val="none"/>
                <w:lang w:val="en-US" w:eastAsia="zh-CN" w:bidi="ar-SA"/>
              </w:rPr>
              <w:t>t/a</w:t>
            </w:r>
          </w:p>
        </w:tc>
        <w:tc>
          <w:tcPr>
            <w:tcW w:w="1416" w:type="dxa"/>
            <w:noWrap w:val="0"/>
            <w:vAlign w:val="center"/>
          </w:tcPr>
          <w:p w14:paraId="4B3861B0">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4C04267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color w:val="auto"/>
                <w:spacing w:val="0"/>
                <w:sz w:val="24"/>
                <w:szCs w:val="24"/>
                <w:highlight w:val="none"/>
                <w:lang w:val="en-US" w:eastAsia="zh-CN"/>
              </w:rPr>
            </w:pPr>
            <w:r>
              <w:rPr>
                <w:rFonts w:hint="eastAsia" w:cs="宋体"/>
                <w:bCs/>
                <w:caps w:val="0"/>
                <w:color w:val="auto"/>
                <w:spacing w:val="0"/>
                <w:kern w:val="2"/>
                <w:sz w:val="24"/>
                <w:szCs w:val="24"/>
                <w:highlight w:val="none"/>
                <w:lang w:val="en-US" w:eastAsia="zh-CN" w:bidi="ar-SA"/>
              </w:rPr>
              <w:t>100.7764</w:t>
            </w:r>
            <w:r>
              <w:rPr>
                <w:rFonts w:hint="eastAsia" w:ascii="宋体" w:hAnsi="宋体" w:eastAsia="宋体" w:cs="宋体"/>
                <w:color w:val="auto"/>
                <w:spacing w:val="0"/>
                <w:sz w:val="24"/>
                <w:szCs w:val="24"/>
                <w:highlight w:val="none"/>
                <w:lang w:val="en-US" w:eastAsia="zh-CN"/>
              </w:rPr>
              <w:t>t/a</w:t>
            </w:r>
          </w:p>
        </w:tc>
        <w:tc>
          <w:tcPr>
            <w:tcW w:w="1589" w:type="dxa"/>
            <w:noWrap w:val="0"/>
            <w:vAlign w:val="center"/>
          </w:tcPr>
          <w:p w14:paraId="4B96930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color w:val="auto"/>
                <w:spacing w:val="0"/>
                <w:sz w:val="24"/>
                <w:szCs w:val="24"/>
                <w:highlight w:val="none"/>
                <w:lang w:val="en-US" w:eastAsia="zh-CN"/>
              </w:rPr>
            </w:pPr>
            <w:r>
              <w:rPr>
                <w:rFonts w:hint="eastAsia" w:cs="宋体"/>
                <w:bCs w:val="0"/>
                <w:color w:val="auto"/>
                <w:spacing w:val="0"/>
                <w:kern w:val="2"/>
                <w:sz w:val="24"/>
                <w:szCs w:val="24"/>
                <w:highlight w:val="none"/>
                <w:lang w:val="en-US" w:eastAsia="zh-CN" w:bidi="ar-SA"/>
              </w:rPr>
              <w:t>0.0934</w:t>
            </w:r>
            <w:r>
              <w:rPr>
                <w:rFonts w:hint="eastAsia" w:ascii="宋体" w:hAnsi="宋体" w:eastAsia="宋体" w:cs="宋体"/>
                <w:bCs w:val="0"/>
                <w:color w:val="auto"/>
                <w:spacing w:val="0"/>
                <w:kern w:val="2"/>
                <w:sz w:val="24"/>
                <w:szCs w:val="24"/>
                <w:highlight w:val="none"/>
                <w:lang w:val="en-US" w:eastAsia="zh-CN" w:bidi="ar-SA"/>
              </w:rPr>
              <w:t>t/a</w:t>
            </w:r>
          </w:p>
        </w:tc>
      </w:tr>
      <w:tr w14:paraId="7031E8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1E78FA37">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37955CB6">
            <w:pPr>
              <w:pStyle w:val="70"/>
              <w:rPr>
                <w:rFonts w:hint="default"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SS</w:t>
            </w:r>
          </w:p>
        </w:tc>
        <w:tc>
          <w:tcPr>
            <w:tcW w:w="1524" w:type="dxa"/>
            <w:noWrap w:val="0"/>
            <w:vAlign w:val="center"/>
          </w:tcPr>
          <w:p w14:paraId="33C4A28E">
            <w:pPr>
              <w:pStyle w:val="70"/>
              <w:rPr>
                <w:rFonts w:hint="default"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695B69F0">
            <w:pPr>
              <w:pStyle w:val="70"/>
              <w:rPr>
                <w:rFonts w:hint="default"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0522B0E3">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245</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1C70C55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bCs w:val="0"/>
                <w:color w:val="auto"/>
                <w:spacing w:val="0"/>
                <w:kern w:val="2"/>
                <w:sz w:val="24"/>
                <w:szCs w:val="24"/>
                <w:highlight w:val="none"/>
                <w:lang w:val="en-US" w:eastAsia="zh-CN" w:bidi="ar-SA"/>
              </w:rPr>
            </w:pPr>
            <w:r>
              <w:rPr>
                <w:rFonts w:hint="eastAsia" w:cs="宋体"/>
                <w:bCs w:val="0"/>
                <w:color w:val="auto"/>
                <w:spacing w:val="0"/>
                <w:kern w:val="2"/>
                <w:sz w:val="24"/>
                <w:szCs w:val="24"/>
                <w:highlight w:val="none"/>
                <w:lang w:val="en-US" w:eastAsia="zh-CN" w:bidi="ar-SA"/>
              </w:rPr>
              <w:t>0.325</w:t>
            </w:r>
            <w:r>
              <w:rPr>
                <w:rFonts w:hint="eastAsia" w:ascii="宋体" w:hAnsi="宋体" w:eastAsia="宋体" w:cs="宋体"/>
                <w:bCs w:val="0"/>
                <w:color w:val="auto"/>
                <w:spacing w:val="0"/>
                <w:kern w:val="2"/>
                <w:sz w:val="24"/>
                <w:szCs w:val="24"/>
                <w:highlight w:val="none"/>
                <w:lang w:val="en-US" w:eastAsia="zh-CN" w:bidi="ar-SA"/>
              </w:rPr>
              <w:t>t/a</w:t>
            </w:r>
          </w:p>
        </w:tc>
        <w:tc>
          <w:tcPr>
            <w:tcW w:w="1416" w:type="dxa"/>
            <w:noWrap w:val="0"/>
            <w:vAlign w:val="center"/>
          </w:tcPr>
          <w:p w14:paraId="4E853F23">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25FF634E">
            <w:pPr>
              <w:pStyle w:val="70"/>
              <w:rPr>
                <w:rFonts w:hint="eastAsia" w:ascii="宋体" w:hAnsi="宋体" w:eastAsia="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245.325t/a</w:t>
            </w:r>
          </w:p>
        </w:tc>
        <w:tc>
          <w:tcPr>
            <w:tcW w:w="1589" w:type="dxa"/>
            <w:noWrap w:val="0"/>
            <w:vAlign w:val="center"/>
          </w:tcPr>
          <w:p w14:paraId="212DBAA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caps w:val="0"/>
                <w:color w:val="auto"/>
                <w:spacing w:val="0"/>
                <w:sz w:val="24"/>
                <w:szCs w:val="24"/>
                <w:highlight w:val="none"/>
                <w:lang w:val="en-US" w:eastAsia="zh-CN"/>
              </w:rPr>
            </w:pPr>
            <w:r>
              <w:rPr>
                <w:rFonts w:hint="eastAsia" w:cs="宋体"/>
                <w:bCs w:val="0"/>
                <w:color w:val="auto"/>
                <w:spacing w:val="0"/>
                <w:kern w:val="2"/>
                <w:sz w:val="24"/>
                <w:szCs w:val="24"/>
                <w:highlight w:val="none"/>
                <w:lang w:val="en-US" w:eastAsia="zh-CN" w:bidi="ar-SA"/>
              </w:rPr>
              <w:t>0.325</w:t>
            </w:r>
            <w:r>
              <w:rPr>
                <w:rFonts w:hint="eastAsia" w:ascii="宋体" w:hAnsi="宋体" w:eastAsia="宋体" w:cs="宋体"/>
                <w:bCs w:val="0"/>
                <w:color w:val="auto"/>
                <w:spacing w:val="0"/>
                <w:kern w:val="2"/>
                <w:sz w:val="24"/>
                <w:szCs w:val="24"/>
                <w:highlight w:val="none"/>
                <w:lang w:val="en-US" w:eastAsia="zh-CN" w:bidi="ar-SA"/>
              </w:rPr>
              <w:t>t/a</w:t>
            </w:r>
          </w:p>
        </w:tc>
      </w:tr>
      <w:tr w14:paraId="2C2407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51E44F26">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2904E324">
            <w:pPr>
              <w:pStyle w:val="70"/>
              <w:rPr>
                <w:rFonts w:hint="default"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TDS</w:t>
            </w:r>
          </w:p>
        </w:tc>
        <w:tc>
          <w:tcPr>
            <w:tcW w:w="1524" w:type="dxa"/>
            <w:noWrap w:val="0"/>
            <w:vAlign w:val="center"/>
          </w:tcPr>
          <w:p w14:paraId="71AD1B1D">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7C8FA6B6">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6C18DA22">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111</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0D25B1C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bCs w:val="0"/>
                <w:color w:val="auto"/>
                <w:spacing w:val="0"/>
                <w:kern w:val="2"/>
                <w:sz w:val="24"/>
                <w:szCs w:val="24"/>
                <w:highlight w:val="none"/>
                <w:lang w:val="en-US" w:eastAsia="zh-CN" w:bidi="ar-SA"/>
              </w:rPr>
            </w:pPr>
            <w:r>
              <w:rPr>
                <w:rFonts w:hint="eastAsia" w:cs="宋体"/>
                <w:bCs w:val="0"/>
                <w:color w:val="auto"/>
                <w:spacing w:val="0"/>
                <w:kern w:val="2"/>
                <w:sz w:val="24"/>
                <w:szCs w:val="24"/>
                <w:highlight w:val="none"/>
                <w:lang w:val="en-US" w:eastAsia="zh-CN" w:bidi="ar-SA"/>
              </w:rPr>
              <w:t>3.959</w:t>
            </w:r>
            <w:r>
              <w:rPr>
                <w:rFonts w:hint="eastAsia" w:ascii="宋体" w:hAnsi="宋体" w:eastAsia="宋体" w:cs="宋体"/>
                <w:bCs w:val="0"/>
                <w:color w:val="auto"/>
                <w:spacing w:val="0"/>
                <w:kern w:val="2"/>
                <w:sz w:val="24"/>
                <w:szCs w:val="24"/>
                <w:highlight w:val="none"/>
                <w:lang w:val="en-US" w:eastAsia="zh-CN" w:bidi="ar-SA"/>
              </w:rPr>
              <w:t>t/a</w:t>
            </w:r>
          </w:p>
        </w:tc>
        <w:tc>
          <w:tcPr>
            <w:tcW w:w="1416" w:type="dxa"/>
            <w:noWrap w:val="0"/>
            <w:vAlign w:val="center"/>
          </w:tcPr>
          <w:p w14:paraId="03C290D4">
            <w:pPr>
              <w:pStyle w:val="70"/>
              <w:rPr>
                <w:rFonts w:hint="default" w:ascii="宋体" w:hAnsi="宋体" w:eastAsia="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0396D378">
            <w:pPr>
              <w:pStyle w:val="70"/>
              <w:rPr>
                <w:rFonts w:hint="eastAsia" w:ascii="宋体" w:hAnsi="宋体" w:eastAsia="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114.898t/a</w:t>
            </w:r>
          </w:p>
        </w:tc>
        <w:tc>
          <w:tcPr>
            <w:tcW w:w="1589" w:type="dxa"/>
            <w:noWrap w:val="0"/>
            <w:vAlign w:val="center"/>
          </w:tcPr>
          <w:p w14:paraId="4449650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caps w:val="0"/>
                <w:color w:val="auto"/>
                <w:spacing w:val="0"/>
                <w:sz w:val="24"/>
                <w:szCs w:val="24"/>
                <w:highlight w:val="none"/>
                <w:lang w:val="en-US" w:eastAsia="zh-CN"/>
              </w:rPr>
            </w:pPr>
            <w:r>
              <w:rPr>
                <w:rFonts w:hint="eastAsia" w:cs="宋体"/>
                <w:bCs w:val="0"/>
                <w:color w:val="auto"/>
                <w:spacing w:val="0"/>
                <w:kern w:val="2"/>
                <w:sz w:val="24"/>
                <w:szCs w:val="24"/>
                <w:highlight w:val="none"/>
                <w:lang w:val="en-US" w:eastAsia="zh-CN" w:bidi="ar-SA"/>
              </w:rPr>
              <w:t>3.959</w:t>
            </w:r>
            <w:r>
              <w:rPr>
                <w:rFonts w:hint="eastAsia" w:ascii="宋体" w:hAnsi="宋体" w:eastAsia="宋体" w:cs="宋体"/>
                <w:bCs w:val="0"/>
                <w:color w:val="auto"/>
                <w:spacing w:val="0"/>
                <w:kern w:val="2"/>
                <w:sz w:val="24"/>
                <w:szCs w:val="24"/>
                <w:highlight w:val="none"/>
                <w:lang w:val="en-US" w:eastAsia="zh-CN" w:bidi="ar-SA"/>
              </w:rPr>
              <w:t>t/a</w:t>
            </w:r>
          </w:p>
        </w:tc>
      </w:tr>
      <w:tr w14:paraId="13222E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350F1D3F">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7D6071B4">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BOD</w:t>
            </w:r>
            <w:r>
              <w:rPr>
                <w:rFonts w:hint="eastAsia" w:ascii="宋体" w:hAnsi="宋体" w:cs="宋体"/>
                <w:color w:val="auto"/>
                <w:spacing w:val="0"/>
                <w:sz w:val="24"/>
                <w:szCs w:val="24"/>
                <w:highlight w:val="none"/>
                <w:vertAlign w:val="subscript"/>
                <w:lang w:val="en-US" w:eastAsia="zh-CN"/>
              </w:rPr>
              <w:t>5</w:t>
            </w:r>
          </w:p>
        </w:tc>
        <w:tc>
          <w:tcPr>
            <w:tcW w:w="1524" w:type="dxa"/>
            <w:noWrap w:val="0"/>
            <w:vAlign w:val="center"/>
          </w:tcPr>
          <w:p w14:paraId="04B5B95A">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5DB3B2F7">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shd w:val="clear" w:color="auto" w:fill="auto"/>
            <w:noWrap w:val="0"/>
            <w:vAlign w:val="center"/>
          </w:tcPr>
          <w:p w14:paraId="53A715F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val="0"/>
                <w:color w:val="auto"/>
                <w:spacing w:val="0"/>
                <w:kern w:val="2"/>
                <w:sz w:val="24"/>
                <w:szCs w:val="24"/>
                <w:highlight w:val="none"/>
                <w:lang w:val="en-US" w:eastAsia="zh-CN" w:bidi="ar-SA"/>
              </w:rPr>
            </w:pPr>
            <w:r>
              <w:rPr>
                <w:rFonts w:hint="eastAsia" w:ascii="宋体" w:hAnsi="宋体" w:eastAsia="宋体" w:cs="宋体"/>
                <w:bCs w:val="0"/>
                <w:color w:val="auto"/>
                <w:spacing w:val="0"/>
                <w:kern w:val="2"/>
                <w:sz w:val="24"/>
                <w:szCs w:val="24"/>
                <w:highlight w:val="none"/>
                <w:lang w:val="en-US" w:eastAsia="zh-CN" w:bidi="ar-SA"/>
              </w:rPr>
              <w:t>214.6</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7B5BFAD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宋体" w:hAnsi="宋体" w:eastAsia="宋体" w:cs="宋体"/>
                <w:bCs w:val="0"/>
                <w:color w:val="auto"/>
                <w:spacing w:val="0"/>
                <w:kern w:val="2"/>
                <w:sz w:val="24"/>
                <w:szCs w:val="24"/>
                <w:highlight w:val="none"/>
                <w:lang w:val="en-US" w:eastAsia="zh-CN" w:bidi="ar-SA"/>
              </w:rPr>
            </w:pPr>
            <w:r>
              <w:rPr>
                <w:rFonts w:hint="eastAsia" w:ascii="宋体" w:hAnsi="宋体" w:eastAsia="宋体" w:cs="宋体"/>
                <w:bCs w:val="0"/>
                <w:color w:val="auto"/>
                <w:spacing w:val="0"/>
                <w:kern w:val="2"/>
                <w:sz w:val="24"/>
                <w:szCs w:val="24"/>
                <w:highlight w:val="none"/>
                <w:lang w:val="en-US" w:eastAsia="zh-CN" w:bidi="ar-SA"/>
              </w:rPr>
              <w:t>/</w:t>
            </w:r>
          </w:p>
        </w:tc>
        <w:tc>
          <w:tcPr>
            <w:tcW w:w="1416" w:type="dxa"/>
            <w:noWrap w:val="0"/>
            <w:vAlign w:val="center"/>
          </w:tcPr>
          <w:p w14:paraId="3C09B0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7FB7F7EF">
            <w:pPr>
              <w:pStyle w:val="70"/>
              <w:rPr>
                <w:rFonts w:hint="default"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13F23A5B">
            <w:pPr>
              <w:pStyle w:val="70"/>
              <w:rPr>
                <w:rFonts w:hint="default"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0</w:t>
            </w:r>
          </w:p>
        </w:tc>
      </w:tr>
      <w:tr w14:paraId="2DF163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7DD320AD">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022B9800">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NH3-N</w:t>
            </w:r>
          </w:p>
        </w:tc>
        <w:tc>
          <w:tcPr>
            <w:tcW w:w="1524" w:type="dxa"/>
            <w:noWrap w:val="0"/>
            <w:vAlign w:val="center"/>
          </w:tcPr>
          <w:p w14:paraId="0593092E">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3290E0FC">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shd w:val="clear" w:color="auto" w:fill="auto"/>
            <w:noWrap w:val="0"/>
            <w:vAlign w:val="center"/>
          </w:tcPr>
          <w:p w14:paraId="72E8414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val="0"/>
                <w:color w:val="auto"/>
                <w:spacing w:val="0"/>
                <w:kern w:val="2"/>
                <w:sz w:val="24"/>
                <w:szCs w:val="24"/>
                <w:highlight w:val="none"/>
                <w:lang w:val="en-US" w:eastAsia="zh-CN" w:bidi="ar-SA"/>
              </w:rPr>
            </w:pPr>
            <w:r>
              <w:rPr>
                <w:rFonts w:hint="eastAsia" w:ascii="宋体" w:hAnsi="宋体" w:eastAsia="宋体" w:cs="宋体"/>
                <w:bCs w:val="0"/>
                <w:color w:val="auto"/>
                <w:spacing w:val="0"/>
                <w:kern w:val="2"/>
                <w:sz w:val="24"/>
                <w:szCs w:val="24"/>
                <w:highlight w:val="none"/>
                <w:lang w:val="en-US" w:eastAsia="zh-CN" w:bidi="ar-SA"/>
              </w:rPr>
              <w:t>28.5</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0A29BDD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val="0"/>
                <w:color w:val="auto"/>
                <w:spacing w:val="0"/>
                <w:kern w:val="2"/>
                <w:sz w:val="24"/>
                <w:szCs w:val="24"/>
                <w:highlight w:val="none"/>
                <w:lang w:val="en-US" w:eastAsia="zh-CN" w:bidi="ar-SA"/>
              </w:rPr>
            </w:pPr>
            <w:r>
              <w:rPr>
                <w:rFonts w:hint="eastAsia" w:ascii="宋体" w:hAnsi="宋体" w:eastAsia="宋体" w:cs="宋体"/>
                <w:bCs w:val="0"/>
                <w:color w:val="auto"/>
                <w:spacing w:val="0"/>
                <w:kern w:val="2"/>
                <w:sz w:val="24"/>
                <w:szCs w:val="24"/>
                <w:highlight w:val="none"/>
                <w:lang w:val="en-US" w:eastAsia="zh-CN" w:bidi="ar-SA"/>
              </w:rPr>
              <w:t>/</w:t>
            </w:r>
          </w:p>
        </w:tc>
        <w:tc>
          <w:tcPr>
            <w:tcW w:w="1416" w:type="dxa"/>
            <w:noWrap w:val="0"/>
            <w:vAlign w:val="center"/>
          </w:tcPr>
          <w:p w14:paraId="2B228C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218144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23B22C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0</w:t>
            </w:r>
          </w:p>
        </w:tc>
      </w:tr>
      <w:tr w14:paraId="5F8CE7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789ED1F2">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737A78A9">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总氮</w:t>
            </w:r>
          </w:p>
        </w:tc>
        <w:tc>
          <w:tcPr>
            <w:tcW w:w="1524" w:type="dxa"/>
            <w:noWrap w:val="0"/>
            <w:vAlign w:val="center"/>
          </w:tcPr>
          <w:p w14:paraId="3758BA56">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7986ADAB">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shd w:val="clear" w:color="auto" w:fill="auto"/>
            <w:noWrap w:val="0"/>
            <w:vAlign w:val="center"/>
          </w:tcPr>
          <w:p w14:paraId="7D8307E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val="0"/>
                <w:color w:val="auto"/>
                <w:spacing w:val="0"/>
                <w:kern w:val="2"/>
                <w:sz w:val="24"/>
                <w:szCs w:val="24"/>
                <w:highlight w:val="none"/>
                <w:lang w:val="en-US" w:eastAsia="zh-CN" w:bidi="ar-SA"/>
              </w:rPr>
            </w:pPr>
            <w:r>
              <w:rPr>
                <w:rFonts w:hint="eastAsia" w:ascii="宋体" w:hAnsi="宋体" w:eastAsia="宋体" w:cs="宋体"/>
                <w:bCs w:val="0"/>
                <w:color w:val="auto"/>
                <w:spacing w:val="0"/>
                <w:kern w:val="2"/>
                <w:sz w:val="24"/>
                <w:szCs w:val="24"/>
                <w:highlight w:val="none"/>
                <w:lang w:val="en-US" w:eastAsia="zh-CN" w:bidi="ar-SA"/>
              </w:rPr>
              <w:t>43.7</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04ECC1B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val="0"/>
                <w:color w:val="auto"/>
                <w:spacing w:val="0"/>
                <w:kern w:val="2"/>
                <w:sz w:val="24"/>
                <w:szCs w:val="24"/>
                <w:highlight w:val="none"/>
                <w:lang w:val="en-US" w:eastAsia="zh-CN" w:bidi="ar-SA"/>
              </w:rPr>
            </w:pPr>
            <w:r>
              <w:rPr>
                <w:rFonts w:hint="eastAsia" w:ascii="宋体" w:hAnsi="宋体" w:eastAsia="宋体" w:cs="宋体"/>
                <w:bCs w:val="0"/>
                <w:color w:val="auto"/>
                <w:spacing w:val="0"/>
                <w:kern w:val="2"/>
                <w:sz w:val="24"/>
                <w:szCs w:val="24"/>
                <w:highlight w:val="none"/>
                <w:lang w:val="en-US" w:eastAsia="zh-CN" w:bidi="ar-SA"/>
              </w:rPr>
              <w:t>/</w:t>
            </w:r>
          </w:p>
        </w:tc>
        <w:tc>
          <w:tcPr>
            <w:tcW w:w="1416" w:type="dxa"/>
            <w:noWrap w:val="0"/>
            <w:vAlign w:val="center"/>
          </w:tcPr>
          <w:p w14:paraId="06805F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13F13A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0765C4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0</w:t>
            </w:r>
          </w:p>
        </w:tc>
      </w:tr>
      <w:tr w14:paraId="129306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6E87A2A4">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6D16F2E4">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色度</w:t>
            </w:r>
          </w:p>
        </w:tc>
        <w:tc>
          <w:tcPr>
            <w:tcW w:w="1524" w:type="dxa"/>
            <w:noWrap w:val="0"/>
            <w:vAlign w:val="center"/>
          </w:tcPr>
          <w:p w14:paraId="2E721EC1">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27BD0ED7">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14DBAF20">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65</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0CA0529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val="0"/>
                <w:color w:val="auto"/>
                <w:spacing w:val="0"/>
                <w:kern w:val="2"/>
                <w:sz w:val="24"/>
                <w:szCs w:val="24"/>
                <w:highlight w:val="none"/>
                <w:lang w:val="en-US" w:eastAsia="zh-CN" w:bidi="ar-SA"/>
              </w:rPr>
            </w:pPr>
            <w:r>
              <w:rPr>
                <w:rFonts w:hint="eastAsia" w:ascii="宋体" w:hAnsi="宋体" w:eastAsia="宋体" w:cs="宋体"/>
                <w:bCs w:val="0"/>
                <w:color w:val="auto"/>
                <w:spacing w:val="0"/>
                <w:kern w:val="2"/>
                <w:sz w:val="24"/>
                <w:szCs w:val="24"/>
                <w:highlight w:val="none"/>
                <w:lang w:val="en-US" w:eastAsia="zh-CN" w:bidi="ar-SA"/>
              </w:rPr>
              <w:t>/</w:t>
            </w:r>
          </w:p>
        </w:tc>
        <w:tc>
          <w:tcPr>
            <w:tcW w:w="1416" w:type="dxa"/>
            <w:noWrap w:val="0"/>
            <w:vAlign w:val="center"/>
          </w:tcPr>
          <w:p w14:paraId="52DA75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793814A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5344D5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0</w:t>
            </w:r>
          </w:p>
        </w:tc>
      </w:tr>
      <w:tr w14:paraId="188E49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5379C3C9">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1EB10D1E">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挥发酚</w:t>
            </w:r>
          </w:p>
        </w:tc>
        <w:tc>
          <w:tcPr>
            <w:tcW w:w="1524" w:type="dxa"/>
            <w:noWrap w:val="0"/>
            <w:vAlign w:val="center"/>
          </w:tcPr>
          <w:p w14:paraId="1CB75522">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7C45D8A9">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621D9C9A">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1.6</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373003DE">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val="0"/>
                <w:color w:val="auto"/>
                <w:spacing w:val="0"/>
                <w:kern w:val="2"/>
                <w:sz w:val="24"/>
                <w:szCs w:val="24"/>
                <w:highlight w:val="none"/>
                <w:lang w:val="en-US" w:eastAsia="zh-CN" w:bidi="ar-SA"/>
              </w:rPr>
            </w:pPr>
            <w:r>
              <w:rPr>
                <w:rFonts w:hint="eastAsia" w:ascii="宋体" w:hAnsi="宋体" w:eastAsia="宋体" w:cs="宋体"/>
                <w:bCs w:val="0"/>
                <w:color w:val="auto"/>
                <w:spacing w:val="0"/>
                <w:kern w:val="2"/>
                <w:sz w:val="24"/>
                <w:szCs w:val="24"/>
                <w:highlight w:val="none"/>
                <w:lang w:val="en-US" w:eastAsia="zh-CN" w:bidi="ar-SA"/>
              </w:rPr>
              <w:t>/</w:t>
            </w:r>
          </w:p>
        </w:tc>
        <w:tc>
          <w:tcPr>
            <w:tcW w:w="1416" w:type="dxa"/>
            <w:noWrap w:val="0"/>
            <w:vAlign w:val="center"/>
          </w:tcPr>
          <w:p w14:paraId="133D14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5492C7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01EC52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0</w:t>
            </w:r>
          </w:p>
        </w:tc>
      </w:tr>
      <w:tr w14:paraId="3DB411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460E9B68">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59DF0877">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苯胺类</w:t>
            </w:r>
          </w:p>
        </w:tc>
        <w:tc>
          <w:tcPr>
            <w:tcW w:w="1524" w:type="dxa"/>
            <w:noWrap w:val="0"/>
            <w:vAlign w:val="center"/>
          </w:tcPr>
          <w:p w14:paraId="63DA96D7">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3E223835">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7930E1FE">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4.1</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68BDE30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val="0"/>
                <w:color w:val="auto"/>
                <w:spacing w:val="0"/>
                <w:kern w:val="2"/>
                <w:sz w:val="24"/>
                <w:szCs w:val="24"/>
                <w:highlight w:val="none"/>
                <w:lang w:val="en-US" w:eastAsia="zh-CN" w:bidi="ar-SA"/>
              </w:rPr>
            </w:pPr>
            <w:r>
              <w:rPr>
                <w:rFonts w:hint="eastAsia" w:ascii="宋体" w:hAnsi="宋体" w:eastAsia="宋体" w:cs="宋体"/>
                <w:bCs w:val="0"/>
                <w:color w:val="auto"/>
                <w:spacing w:val="0"/>
                <w:kern w:val="2"/>
                <w:sz w:val="24"/>
                <w:szCs w:val="24"/>
                <w:highlight w:val="none"/>
                <w:lang w:val="en-US" w:eastAsia="zh-CN" w:bidi="ar-SA"/>
              </w:rPr>
              <w:t>/</w:t>
            </w:r>
          </w:p>
        </w:tc>
        <w:tc>
          <w:tcPr>
            <w:tcW w:w="1416" w:type="dxa"/>
            <w:noWrap w:val="0"/>
            <w:vAlign w:val="center"/>
          </w:tcPr>
          <w:p w14:paraId="2FD0F18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043F57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04C6A16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0</w:t>
            </w:r>
          </w:p>
        </w:tc>
      </w:tr>
      <w:tr w14:paraId="6AB457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5D395C68">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13BEF944">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总氰</w:t>
            </w:r>
          </w:p>
        </w:tc>
        <w:tc>
          <w:tcPr>
            <w:tcW w:w="1524" w:type="dxa"/>
            <w:noWrap w:val="0"/>
            <w:vAlign w:val="center"/>
          </w:tcPr>
          <w:p w14:paraId="2D02644F">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5F1E32B6">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3E491964">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1.31</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3725DC4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val="0"/>
                <w:color w:val="auto"/>
                <w:spacing w:val="0"/>
                <w:kern w:val="2"/>
                <w:sz w:val="24"/>
                <w:szCs w:val="24"/>
                <w:highlight w:val="none"/>
                <w:lang w:val="en-US" w:eastAsia="zh-CN" w:bidi="ar-SA"/>
              </w:rPr>
            </w:pPr>
            <w:r>
              <w:rPr>
                <w:rFonts w:hint="eastAsia" w:ascii="宋体" w:hAnsi="宋体" w:eastAsia="宋体" w:cs="宋体"/>
                <w:bCs w:val="0"/>
                <w:color w:val="auto"/>
                <w:spacing w:val="0"/>
                <w:kern w:val="2"/>
                <w:sz w:val="24"/>
                <w:szCs w:val="24"/>
                <w:highlight w:val="none"/>
                <w:lang w:val="en-US" w:eastAsia="zh-CN" w:bidi="ar-SA"/>
              </w:rPr>
              <w:t>/</w:t>
            </w:r>
          </w:p>
        </w:tc>
        <w:tc>
          <w:tcPr>
            <w:tcW w:w="1416" w:type="dxa"/>
            <w:noWrap w:val="0"/>
            <w:vAlign w:val="center"/>
          </w:tcPr>
          <w:p w14:paraId="2ED625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62A678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786EAAF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0</w:t>
            </w:r>
          </w:p>
        </w:tc>
      </w:tr>
      <w:tr w14:paraId="62EFD8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1332" w:type="dxa"/>
            <w:vMerge w:val="continue"/>
            <w:noWrap w:val="0"/>
            <w:vAlign w:val="center"/>
          </w:tcPr>
          <w:p w14:paraId="4A848219">
            <w:pPr>
              <w:pStyle w:val="70"/>
              <w:rPr>
                <w:rFonts w:hint="eastAsia" w:ascii="宋体" w:hAnsi="宋体" w:eastAsia="宋体" w:cs="宋体"/>
                <w:color w:val="auto"/>
                <w:spacing w:val="0"/>
                <w:sz w:val="24"/>
                <w:szCs w:val="24"/>
                <w:highlight w:val="none"/>
                <w:lang w:val="en-US" w:eastAsia="zh-CN"/>
              </w:rPr>
            </w:pPr>
          </w:p>
        </w:tc>
        <w:tc>
          <w:tcPr>
            <w:tcW w:w="1443" w:type="dxa"/>
            <w:noWrap w:val="0"/>
            <w:vAlign w:val="center"/>
          </w:tcPr>
          <w:p w14:paraId="0C3DC968">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可吸附有机卤化物</w:t>
            </w:r>
          </w:p>
        </w:tc>
        <w:tc>
          <w:tcPr>
            <w:tcW w:w="1524" w:type="dxa"/>
            <w:noWrap w:val="0"/>
            <w:vAlign w:val="center"/>
          </w:tcPr>
          <w:p w14:paraId="0ECF5E66">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510F70DE">
            <w:pPr>
              <w:spacing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2DD57A7D">
            <w:pPr>
              <w:pStyle w:val="70"/>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5.9</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6B05DAF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宋体" w:hAnsi="宋体" w:eastAsia="宋体" w:cs="宋体"/>
                <w:bCs w:val="0"/>
                <w:color w:val="auto"/>
                <w:spacing w:val="0"/>
                <w:kern w:val="2"/>
                <w:sz w:val="24"/>
                <w:szCs w:val="24"/>
                <w:highlight w:val="none"/>
                <w:lang w:val="en-US" w:eastAsia="zh-CN" w:bidi="ar-SA"/>
              </w:rPr>
            </w:pPr>
            <w:r>
              <w:rPr>
                <w:rFonts w:hint="eastAsia" w:ascii="宋体" w:hAnsi="宋体" w:eastAsia="宋体" w:cs="宋体"/>
                <w:bCs w:val="0"/>
                <w:color w:val="auto"/>
                <w:spacing w:val="0"/>
                <w:kern w:val="2"/>
                <w:sz w:val="24"/>
                <w:szCs w:val="24"/>
                <w:highlight w:val="none"/>
                <w:lang w:val="en-US" w:eastAsia="zh-CN" w:bidi="ar-SA"/>
              </w:rPr>
              <w:t>/</w:t>
            </w:r>
          </w:p>
        </w:tc>
        <w:tc>
          <w:tcPr>
            <w:tcW w:w="1416" w:type="dxa"/>
            <w:noWrap w:val="0"/>
            <w:vAlign w:val="center"/>
          </w:tcPr>
          <w:p w14:paraId="5C70E4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7EE2462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59B8489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bCs/>
                <w:caps w:val="0"/>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0</w:t>
            </w:r>
          </w:p>
        </w:tc>
      </w:tr>
      <w:tr w14:paraId="616332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restart"/>
            <w:noWrap w:val="0"/>
            <w:vAlign w:val="center"/>
          </w:tcPr>
          <w:p w14:paraId="2A40B429">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rPr>
              <w:t>一般工业</w:t>
            </w:r>
          </w:p>
          <w:p w14:paraId="46CF35CC">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eastAsia="宋体" w:cs="宋体"/>
                <w:bCs/>
                <w:snapToGrid w:val="0"/>
                <w:color w:val="auto"/>
                <w:spacing w:val="0"/>
                <w:kern w:val="21"/>
                <w:sz w:val="24"/>
                <w:szCs w:val="24"/>
                <w:highlight w:val="none"/>
              </w:rPr>
              <w:t>固体废物</w:t>
            </w:r>
          </w:p>
        </w:tc>
        <w:tc>
          <w:tcPr>
            <w:tcW w:w="1443" w:type="dxa"/>
            <w:noWrap w:val="0"/>
            <w:vAlign w:val="center"/>
          </w:tcPr>
          <w:p w14:paraId="07023E9B">
            <w:pPr>
              <w:pStyle w:val="70"/>
              <w:rPr>
                <w:rFonts w:hint="default" w:ascii="宋体" w:hAnsi="宋体" w:eastAsia="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废离子交换树脂</w:t>
            </w:r>
          </w:p>
        </w:tc>
        <w:tc>
          <w:tcPr>
            <w:tcW w:w="1524" w:type="dxa"/>
            <w:noWrap w:val="0"/>
            <w:vAlign w:val="center"/>
          </w:tcPr>
          <w:p w14:paraId="0CD2C3C1">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60695C5E">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023A85D7">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cs="宋体"/>
                <w:color w:val="auto"/>
                <w:spacing w:val="0"/>
                <w:kern w:val="2"/>
                <w:sz w:val="24"/>
                <w:szCs w:val="24"/>
                <w:highlight w:val="none"/>
                <w:lang w:val="en-US" w:eastAsia="zh-CN" w:bidi="ar-SA"/>
              </w:rPr>
              <w:t>/</w:t>
            </w:r>
          </w:p>
        </w:tc>
        <w:tc>
          <w:tcPr>
            <w:tcW w:w="1595" w:type="dxa"/>
            <w:noWrap w:val="0"/>
            <w:vAlign w:val="center"/>
          </w:tcPr>
          <w:p w14:paraId="33F49C51">
            <w:pPr>
              <w:pStyle w:val="70"/>
              <w:rPr>
                <w:rFonts w:hint="eastAsia" w:ascii="宋体" w:hAnsi="宋体" w:eastAsia="宋体" w:cs="宋体"/>
                <w:bCs/>
                <w:snapToGrid w:val="0"/>
                <w:color w:val="auto"/>
                <w:spacing w:val="0"/>
                <w:kern w:val="21"/>
                <w:sz w:val="24"/>
                <w:szCs w:val="24"/>
                <w:highlight w:val="none"/>
                <w:lang w:val="en-US" w:eastAsia="zh-CN" w:bidi="ar-SA"/>
              </w:rPr>
            </w:pPr>
            <w:r>
              <w:rPr>
                <w:rFonts w:hint="eastAsia" w:ascii="宋体" w:hAnsi="宋体" w:cs="宋体"/>
                <w:color w:val="auto"/>
                <w:spacing w:val="0"/>
                <w:sz w:val="24"/>
                <w:szCs w:val="24"/>
                <w:highlight w:val="none"/>
                <w:lang w:val="en-US" w:eastAsia="zh-CN"/>
              </w:rPr>
              <w:t>0.5</w:t>
            </w:r>
            <w:r>
              <w:rPr>
                <w:rFonts w:hint="eastAsia" w:ascii="宋体" w:hAnsi="宋体" w:eastAsia="宋体" w:cs="宋体"/>
                <w:color w:val="auto"/>
                <w:spacing w:val="0"/>
                <w:sz w:val="24"/>
                <w:szCs w:val="24"/>
                <w:highlight w:val="none"/>
                <w:lang w:val="en-US" w:eastAsia="zh-CN"/>
              </w:rPr>
              <w:t>t/a</w:t>
            </w:r>
          </w:p>
        </w:tc>
        <w:tc>
          <w:tcPr>
            <w:tcW w:w="1416" w:type="dxa"/>
            <w:noWrap w:val="0"/>
            <w:vAlign w:val="center"/>
          </w:tcPr>
          <w:p w14:paraId="1C389C82">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6805BDE9">
            <w:pPr>
              <w:pStyle w:val="70"/>
              <w:rPr>
                <w:rFonts w:hint="eastAsia" w:ascii="宋体" w:hAnsi="宋体" w:eastAsia="宋体" w:cs="宋体"/>
                <w:bCs/>
                <w:snapToGrid w:val="0"/>
                <w:color w:val="auto"/>
                <w:spacing w:val="0"/>
                <w:kern w:val="21"/>
                <w:sz w:val="24"/>
                <w:szCs w:val="24"/>
                <w:highlight w:val="none"/>
                <w:lang w:val="en-US" w:eastAsia="zh-CN" w:bidi="ar-SA"/>
              </w:rPr>
            </w:pPr>
            <w:r>
              <w:rPr>
                <w:rFonts w:hint="eastAsia" w:ascii="宋体" w:hAnsi="宋体" w:cs="宋体"/>
                <w:color w:val="auto"/>
                <w:spacing w:val="0"/>
                <w:sz w:val="24"/>
                <w:szCs w:val="24"/>
                <w:highlight w:val="none"/>
                <w:lang w:val="en-US" w:eastAsia="zh-CN"/>
              </w:rPr>
              <w:t>0.5</w:t>
            </w:r>
            <w:r>
              <w:rPr>
                <w:rFonts w:hint="eastAsia" w:ascii="宋体" w:hAnsi="宋体" w:eastAsia="宋体" w:cs="宋体"/>
                <w:color w:val="auto"/>
                <w:spacing w:val="0"/>
                <w:sz w:val="24"/>
                <w:szCs w:val="24"/>
                <w:highlight w:val="none"/>
                <w:lang w:val="en-US" w:eastAsia="zh-CN"/>
              </w:rPr>
              <w:t>t/a</w:t>
            </w:r>
          </w:p>
        </w:tc>
        <w:tc>
          <w:tcPr>
            <w:tcW w:w="1589" w:type="dxa"/>
            <w:noWrap w:val="0"/>
            <w:vAlign w:val="center"/>
          </w:tcPr>
          <w:p w14:paraId="388BECF4">
            <w:pPr>
              <w:pStyle w:val="70"/>
              <w:rPr>
                <w:rFonts w:hint="eastAsia" w:ascii="宋体" w:hAnsi="宋体" w:eastAsia="宋体" w:cs="宋体"/>
                <w:bCs/>
                <w:snapToGrid w:val="0"/>
                <w:color w:val="auto"/>
                <w:spacing w:val="0"/>
                <w:kern w:val="21"/>
                <w:sz w:val="24"/>
                <w:szCs w:val="24"/>
                <w:highlight w:val="none"/>
                <w:lang w:val="en-US" w:eastAsia="zh-CN" w:bidi="ar-SA"/>
              </w:rPr>
            </w:pPr>
            <w:r>
              <w:rPr>
                <w:rFonts w:hint="eastAsia" w:ascii="宋体" w:hAnsi="宋体" w:cs="宋体"/>
                <w:color w:val="auto"/>
                <w:spacing w:val="0"/>
                <w:sz w:val="24"/>
                <w:szCs w:val="24"/>
                <w:highlight w:val="none"/>
                <w:lang w:val="en-US" w:eastAsia="zh-CN"/>
              </w:rPr>
              <w:t>0.5</w:t>
            </w:r>
            <w:r>
              <w:rPr>
                <w:rFonts w:hint="eastAsia" w:ascii="宋体" w:hAnsi="宋体" w:eastAsia="宋体" w:cs="宋体"/>
                <w:color w:val="auto"/>
                <w:spacing w:val="0"/>
                <w:sz w:val="24"/>
                <w:szCs w:val="24"/>
                <w:highlight w:val="none"/>
                <w:lang w:val="en-US" w:eastAsia="zh-CN"/>
              </w:rPr>
              <w:t>t/a</w:t>
            </w:r>
          </w:p>
        </w:tc>
      </w:tr>
      <w:tr w14:paraId="52FE2A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4C050739">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noWrap w:val="0"/>
            <w:vAlign w:val="center"/>
          </w:tcPr>
          <w:p w14:paraId="6704AC6F">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锅炉灰渣</w:t>
            </w:r>
          </w:p>
        </w:tc>
        <w:tc>
          <w:tcPr>
            <w:tcW w:w="1524" w:type="dxa"/>
            <w:noWrap w:val="0"/>
            <w:vAlign w:val="center"/>
          </w:tcPr>
          <w:p w14:paraId="5DD301FA">
            <w:pPr>
              <w:pStyle w:val="73"/>
              <w:spacing w:beforeLines="0" w:afterLines="0" w:line="240" w:lineRule="auto"/>
              <w:ind w:firstLine="0" w:firstLineChars="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0F5F3514">
            <w:pPr>
              <w:pStyle w:val="73"/>
              <w:spacing w:beforeLines="0" w:afterLines="0" w:line="240" w:lineRule="auto"/>
              <w:ind w:firstLine="0" w:firstLineChars="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69E2DCB6">
            <w:pPr>
              <w:pStyle w:val="73"/>
              <w:spacing w:beforeLines="0" w:afterLines="0" w:line="240" w:lineRule="auto"/>
              <w:ind w:firstLine="0" w:firstLineChars="0"/>
              <w:rPr>
                <w:rFonts w:hint="default" w:ascii="宋体" w:hAnsi="宋体" w:cs="宋体"/>
                <w:color w:val="auto"/>
                <w:spacing w:val="0"/>
                <w:kern w:val="2"/>
                <w:sz w:val="24"/>
                <w:szCs w:val="24"/>
                <w:highlight w:val="none"/>
                <w:lang w:val="en-US" w:eastAsia="zh-CN" w:bidi="ar-SA"/>
              </w:rPr>
            </w:pPr>
            <w:r>
              <w:rPr>
                <w:rFonts w:hint="eastAsia" w:ascii="宋体" w:hAnsi="宋体" w:eastAsia="仿宋_GB2312" w:cs="宋体"/>
                <w:bCs w:val="0"/>
                <w:color w:val="auto"/>
                <w:spacing w:val="0"/>
                <w:kern w:val="2"/>
                <w:sz w:val="24"/>
                <w:szCs w:val="24"/>
                <w:highlight w:val="none"/>
                <w:lang w:val="en-US" w:eastAsia="zh-CN" w:bidi="ar-SA"/>
              </w:rPr>
              <w:t>886.5</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068B5693">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509.98t/a</w:t>
            </w:r>
          </w:p>
        </w:tc>
        <w:tc>
          <w:tcPr>
            <w:tcW w:w="1416" w:type="dxa"/>
            <w:noWrap w:val="0"/>
            <w:vAlign w:val="center"/>
          </w:tcPr>
          <w:p w14:paraId="3D54747F">
            <w:pPr>
              <w:pStyle w:val="73"/>
              <w:spacing w:beforeLines="0" w:afterLines="0" w:line="240" w:lineRule="auto"/>
              <w:ind w:firstLine="0" w:firstLineChars="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38F32275">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1396.48t/a</w:t>
            </w:r>
          </w:p>
        </w:tc>
        <w:tc>
          <w:tcPr>
            <w:tcW w:w="1589" w:type="dxa"/>
            <w:noWrap w:val="0"/>
            <w:vAlign w:val="center"/>
          </w:tcPr>
          <w:p w14:paraId="129D501F">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509.98t/a</w:t>
            </w:r>
          </w:p>
        </w:tc>
      </w:tr>
      <w:tr w14:paraId="104233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77F9D5F4">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noWrap w:val="0"/>
            <w:vAlign w:val="center"/>
          </w:tcPr>
          <w:p w14:paraId="3E01CC7B">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旋风除尘器+布袋除尘器收集的粉尘</w:t>
            </w:r>
          </w:p>
        </w:tc>
        <w:tc>
          <w:tcPr>
            <w:tcW w:w="1524" w:type="dxa"/>
            <w:noWrap w:val="0"/>
            <w:vAlign w:val="center"/>
          </w:tcPr>
          <w:p w14:paraId="3E16A2B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20F3216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02A1E516">
            <w:pPr>
              <w:pStyle w:val="73"/>
              <w:spacing w:beforeLines="0" w:afterLines="0" w:line="240" w:lineRule="auto"/>
              <w:ind w:firstLine="0" w:firstLineChars="0"/>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36.298t/a</w:t>
            </w:r>
          </w:p>
        </w:tc>
        <w:tc>
          <w:tcPr>
            <w:tcW w:w="1595" w:type="dxa"/>
            <w:noWrap w:val="0"/>
            <w:vAlign w:val="center"/>
          </w:tcPr>
          <w:p w14:paraId="1BE29B90">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33.825t/a</w:t>
            </w:r>
          </w:p>
        </w:tc>
        <w:tc>
          <w:tcPr>
            <w:tcW w:w="1416" w:type="dxa"/>
            <w:noWrap w:val="0"/>
            <w:vAlign w:val="center"/>
          </w:tcPr>
          <w:p w14:paraId="514BC762">
            <w:pPr>
              <w:spacing w:beforeLines="0" w:afterLines="0"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2CAD2A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cs="宋体"/>
                <w:color w:val="auto"/>
                <w:spacing w:val="0"/>
                <w:sz w:val="24"/>
                <w:szCs w:val="24"/>
                <w:highlight w:val="none"/>
                <w:lang w:val="en-US" w:eastAsia="zh-CN"/>
              </w:rPr>
            </w:pPr>
            <w:r>
              <w:rPr>
                <w:rFonts w:hint="eastAsia" w:cs="宋体"/>
                <w:bCs/>
                <w:caps w:val="0"/>
                <w:color w:val="auto"/>
                <w:spacing w:val="0"/>
                <w:sz w:val="24"/>
                <w:szCs w:val="24"/>
                <w:highlight w:val="none"/>
                <w:lang w:val="en-US" w:eastAsia="zh-CN"/>
              </w:rPr>
              <w:t>70.123</w:t>
            </w:r>
            <w:r>
              <w:rPr>
                <w:rFonts w:hint="eastAsia" w:ascii="宋体" w:hAnsi="宋体" w:cs="宋体"/>
                <w:bCs/>
                <w:caps w:val="0"/>
                <w:color w:val="auto"/>
                <w:spacing w:val="0"/>
                <w:sz w:val="24"/>
                <w:szCs w:val="24"/>
                <w:highlight w:val="none"/>
                <w:lang w:val="en-US" w:eastAsia="zh-CN"/>
              </w:rPr>
              <w:t>t/a</w:t>
            </w:r>
          </w:p>
        </w:tc>
        <w:tc>
          <w:tcPr>
            <w:tcW w:w="1589" w:type="dxa"/>
            <w:noWrap w:val="0"/>
            <w:vAlign w:val="center"/>
          </w:tcPr>
          <w:p w14:paraId="26C44302">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33.825t/a</w:t>
            </w:r>
          </w:p>
        </w:tc>
      </w:tr>
      <w:tr w14:paraId="56231D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5B44E1E9">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noWrap w:val="0"/>
            <w:vAlign w:val="center"/>
          </w:tcPr>
          <w:p w14:paraId="6D86BF92">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废机油</w:t>
            </w:r>
          </w:p>
        </w:tc>
        <w:tc>
          <w:tcPr>
            <w:tcW w:w="1524" w:type="dxa"/>
            <w:noWrap w:val="0"/>
            <w:vAlign w:val="center"/>
          </w:tcPr>
          <w:p w14:paraId="51B24B2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6EC6CAC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35377972">
            <w:pPr>
              <w:pStyle w:val="73"/>
              <w:spacing w:beforeLines="0" w:afterLines="0" w:line="240" w:lineRule="auto"/>
              <w:ind w:firstLine="0" w:firstLineChars="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595" w:type="dxa"/>
            <w:noWrap w:val="0"/>
            <w:vAlign w:val="center"/>
          </w:tcPr>
          <w:p w14:paraId="38DDC833">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0.01t/a</w:t>
            </w:r>
          </w:p>
        </w:tc>
        <w:tc>
          <w:tcPr>
            <w:tcW w:w="1416" w:type="dxa"/>
            <w:noWrap w:val="0"/>
            <w:vAlign w:val="center"/>
          </w:tcPr>
          <w:p w14:paraId="356F8849">
            <w:pPr>
              <w:spacing w:beforeLines="0" w:afterLines="0"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288DC9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1776C6D3">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633288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6E8336B0">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noWrap w:val="0"/>
            <w:vAlign w:val="center"/>
          </w:tcPr>
          <w:p w14:paraId="6AB6C02F">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废机油桶</w:t>
            </w:r>
          </w:p>
        </w:tc>
        <w:tc>
          <w:tcPr>
            <w:tcW w:w="1524" w:type="dxa"/>
            <w:noWrap w:val="0"/>
            <w:vAlign w:val="center"/>
          </w:tcPr>
          <w:p w14:paraId="7E6CE34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615AE479">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13FA6B14">
            <w:pPr>
              <w:pStyle w:val="73"/>
              <w:spacing w:beforeLines="0" w:afterLines="0" w:line="240" w:lineRule="auto"/>
              <w:ind w:firstLine="0" w:firstLineChars="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595" w:type="dxa"/>
            <w:noWrap w:val="0"/>
            <w:vAlign w:val="center"/>
          </w:tcPr>
          <w:p w14:paraId="71024CEF">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0.01t/a</w:t>
            </w:r>
          </w:p>
        </w:tc>
        <w:tc>
          <w:tcPr>
            <w:tcW w:w="1416" w:type="dxa"/>
            <w:noWrap w:val="0"/>
            <w:vAlign w:val="center"/>
          </w:tcPr>
          <w:p w14:paraId="46684DEB">
            <w:pPr>
              <w:spacing w:beforeLines="0" w:afterLines="0"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188B98C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597AA841">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151FD3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5EED6DC2">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noWrap w:val="0"/>
            <w:vAlign w:val="center"/>
          </w:tcPr>
          <w:p w14:paraId="1B623C6E">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含油棉纱</w:t>
            </w:r>
          </w:p>
        </w:tc>
        <w:tc>
          <w:tcPr>
            <w:tcW w:w="1524" w:type="dxa"/>
            <w:noWrap w:val="0"/>
            <w:vAlign w:val="center"/>
          </w:tcPr>
          <w:p w14:paraId="40B86AA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4C863AA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6419984D">
            <w:pPr>
              <w:pStyle w:val="73"/>
              <w:spacing w:beforeLines="0" w:afterLines="0" w:line="240" w:lineRule="auto"/>
              <w:ind w:firstLine="0" w:firstLineChars="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595" w:type="dxa"/>
            <w:noWrap w:val="0"/>
            <w:vAlign w:val="center"/>
          </w:tcPr>
          <w:p w14:paraId="18CF9AB9">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0.005t/a</w:t>
            </w:r>
          </w:p>
        </w:tc>
        <w:tc>
          <w:tcPr>
            <w:tcW w:w="1416" w:type="dxa"/>
            <w:noWrap w:val="0"/>
            <w:vAlign w:val="center"/>
          </w:tcPr>
          <w:p w14:paraId="1543383A">
            <w:pPr>
              <w:spacing w:beforeLines="0" w:afterLines="0" w:line="240" w:lineRule="auto"/>
              <w:ind w:firstLine="480" w:firstLineChars="20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662" w:type="dxa"/>
            <w:noWrap w:val="0"/>
            <w:vAlign w:val="center"/>
          </w:tcPr>
          <w:p w14:paraId="096B2E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267C6FD9">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2F35E4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554F1DB3">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noWrap w:val="0"/>
            <w:vAlign w:val="center"/>
          </w:tcPr>
          <w:p w14:paraId="27331D98">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蒸馏残渣</w:t>
            </w:r>
          </w:p>
        </w:tc>
        <w:tc>
          <w:tcPr>
            <w:tcW w:w="1524" w:type="dxa"/>
            <w:noWrap w:val="0"/>
            <w:vAlign w:val="center"/>
          </w:tcPr>
          <w:p w14:paraId="419F95F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1A50E18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7B7126BD">
            <w:pPr>
              <w:pStyle w:val="73"/>
              <w:spacing w:beforeLines="0" w:afterLines="0" w:line="240" w:lineRule="auto"/>
              <w:ind w:firstLine="0" w:firstLineChars="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149.096t/a</w:t>
            </w:r>
          </w:p>
        </w:tc>
        <w:tc>
          <w:tcPr>
            <w:tcW w:w="1595" w:type="dxa"/>
            <w:noWrap w:val="0"/>
            <w:vAlign w:val="center"/>
          </w:tcPr>
          <w:p w14:paraId="7BD39006">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416" w:type="dxa"/>
            <w:noWrap w:val="0"/>
            <w:vAlign w:val="center"/>
          </w:tcPr>
          <w:p w14:paraId="7A846B72">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5FEAD0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03492D33">
            <w:pPr>
              <w:pStyle w:val="70"/>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1C69E8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15DB8CAA">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noWrap w:val="0"/>
            <w:vAlign w:val="center"/>
          </w:tcPr>
          <w:p w14:paraId="55F05A76">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蒸馏残液</w:t>
            </w:r>
          </w:p>
        </w:tc>
        <w:tc>
          <w:tcPr>
            <w:tcW w:w="1524" w:type="dxa"/>
            <w:noWrap w:val="0"/>
            <w:vAlign w:val="center"/>
          </w:tcPr>
          <w:p w14:paraId="31B1DAB0">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13D9BB78">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0F3EA751">
            <w:pPr>
              <w:pStyle w:val="73"/>
              <w:spacing w:beforeLines="0" w:afterLines="0" w:line="240" w:lineRule="auto"/>
              <w:ind w:firstLine="0" w:firstLineChars="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219.235t/a</w:t>
            </w:r>
          </w:p>
        </w:tc>
        <w:tc>
          <w:tcPr>
            <w:tcW w:w="1595" w:type="dxa"/>
            <w:noWrap w:val="0"/>
            <w:vAlign w:val="center"/>
          </w:tcPr>
          <w:p w14:paraId="7BC87B11">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416" w:type="dxa"/>
            <w:noWrap w:val="0"/>
            <w:vAlign w:val="center"/>
          </w:tcPr>
          <w:p w14:paraId="7F420015">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21AA191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08E865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02D9D8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1D4C21D6">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noWrap w:val="0"/>
            <w:vAlign w:val="center"/>
          </w:tcPr>
          <w:p w14:paraId="3D81D63A">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废滤饼</w:t>
            </w:r>
          </w:p>
        </w:tc>
        <w:tc>
          <w:tcPr>
            <w:tcW w:w="1524" w:type="dxa"/>
            <w:noWrap w:val="0"/>
            <w:vAlign w:val="center"/>
          </w:tcPr>
          <w:p w14:paraId="786DBD1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7DDA39FC">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5990E81B">
            <w:pPr>
              <w:pStyle w:val="73"/>
              <w:spacing w:beforeLines="0" w:afterLines="0" w:line="240" w:lineRule="auto"/>
              <w:ind w:firstLine="0" w:firstLineChars="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4782.5434t/a</w:t>
            </w:r>
          </w:p>
        </w:tc>
        <w:tc>
          <w:tcPr>
            <w:tcW w:w="1595" w:type="dxa"/>
            <w:noWrap w:val="0"/>
            <w:vAlign w:val="center"/>
          </w:tcPr>
          <w:p w14:paraId="433D11EA">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416" w:type="dxa"/>
            <w:noWrap w:val="0"/>
            <w:vAlign w:val="center"/>
          </w:tcPr>
          <w:p w14:paraId="6D4D0E0F">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1FE312C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48B8CC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5154FB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7B806821">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noWrap w:val="0"/>
            <w:vAlign w:val="center"/>
          </w:tcPr>
          <w:p w14:paraId="66F951A3">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升华残渣</w:t>
            </w:r>
          </w:p>
        </w:tc>
        <w:tc>
          <w:tcPr>
            <w:tcW w:w="1524" w:type="dxa"/>
            <w:noWrap w:val="0"/>
            <w:vAlign w:val="center"/>
          </w:tcPr>
          <w:p w14:paraId="42ACD623">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0F69212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508F1A6A">
            <w:pPr>
              <w:pStyle w:val="73"/>
              <w:spacing w:beforeLines="0" w:afterLines="0" w:line="240" w:lineRule="auto"/>
              <w:ind w:firstLine="0" w:firstLineChars="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63.96t/a</w:t>
            </w:r>
          </w:p>
        </w:tc>
        <w:tc>
          <w:tcPr>
            <w:tcW w:w="1595" w:type="dxa"/>
            <w:noWrap w:val="0"/>
            <w:vAlign w:val="center"/>
          </w:tcPr>
          <w:p w14:paraId="1C07AB41">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416" w:type="dxa"/>
            <w:noWrap w:val="0"/>
            <w:vAlign w:val="center"/>
          </w:tcPr>
          <w:p w14:paraId="6138D069">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33A5E3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35190C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388E1B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4F325FBE">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noWrap w:val="0"/>
            <w:vAlign w:val="center"/>
          </w:tcPr>
          <w:p w14:paraId="533DDF7C">
            <w:pPr>
              <w:pStyle w:val="70"/>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废酸</w:t>
            </w:r>
          </w:p>
        </w:tc>
        <w:tc>
          <w:tcPr>
            <w:tcW w:w="1524" w:type="dxa"/>
            <w:noWrap w:val="0"/>
            <w:vAlign w:val="center"/>
          </w:tcPr>
          <w:p w14:paraId="5E4B8A9B">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682E4526">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0263F0E5">
            <w:pPr>
              <w:pStyle w:val="73"/>
              <w:spacing w:beforeLines="0" w:afterLines="0" w:line="240" w:lineRule="auto"/>
              <w:ind w:firstLine="0" w:firstLineChars="0"/>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11778.8t/a</w:t>
            </w:r>
          </w:p>
        </w:tc>
        <w:tc>
          <w:tcPr>
            <w:tcW w:w="1595" w:type="dxa"/>
            <w:noWrap w:val="0"/>
            <w:vAlign w:val="center"/>
          </w:tcPr>
          <w:p w14:paraId="579CF484">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416" w:type="dxa"/>
            <w:noWrap w:val="0"/>
            <w:vAlign w:val="center"/>
          </w:tcPr>
          <w:p w14:paraId="04914FF6">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7B4C85E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5A94C1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2F8046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4E216FFD">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shd w:val="clear" w:color="auto" w:fill="auto"/>
            <w:noWrap w:val="0"/>
            <w:vAlign w:val="center"/>
          </w:tcPr>
          <w:p w14:paraId="17F5EC9E">
            <w:pPr>
              <w:pStyle w:val="70"/>
              <w:rPr>
                <w:rFonts w:hint="eastAsia" w:ascii="宋体" w:hAnsi="宋体" w:eastAsia="宋体" w:cs="宋体"/>
                <w:color w:val="auto"/>
                <w:spacing w:val="0"/>
                <w:sz w:val="24"/>
                <w:szCs w:val="24"/>
                <w:highlight w:val="none"/>
                <w:lang w:val="en-US" w:eastAsia="zh-CN"/>
              </w:rPr>
            </w:pPr>
            <w:r>
              <w:rPr>
                <w:rFonts w:hint="default" w:ascii="宋体" w:hAnsi="宋体" w:eastAsia="宋体" w:cs="宋体"/>
                <w:color w:val="auto"/>
                <w:spacing w:val="0"/>
                <w:sz w:val="24"/>
                <w:szCs w:val="24"/>
                <w:highlight w:val="none"/>
                <w:lang w:val="en-US" w:eastAsia="zh-CN"/>
              </w:rPr>
              <w:t>废活性炭</w:t>
            </w:r>
          </w:p>
        </w:tc>
        <w:tc>
          <w:tcPr>
            <w:tcW w:w="1524" w:type="dxa"/>
            <w:noWrap w:val="0"/>
            <w:vAlign w:val="center"/>
          </w:tcPr>
          <w:p w14:paraId="089ABD6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0C3B67DF">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eastAsia="仿宋_GB2312" w:cs="宋体"/>
                <w:bCs w:val="0"/>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1F667CB7">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eastAsia="仿宋_GB2312" w:cs="宋体"/>
                <w:bCs w:val="0"/>
                <w:color w:val="auto"/>
                <w:spacing w:val="0"/>
                <w:kern w:val="2"/>
                <w:sz w:val="24"/>
                <w:szCs w:val="24"/>
                <w:highlight w:val="none"/>
                <w:lang w:val="en-US" w:eastAsia="zh-CN" w:bidi="ar-SA"/>
              </w:rPr>
              <w:t>60</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285B4CCD">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416" w:type="dxa"/>
            <w:noWrap w:val="0"/>
            <w:vAlign w:val="center"/>
          </w:tcPr>
          <w:p w14:paraId="5E0888FB">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55BF65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4714B1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109C53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24041AC1">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shd w:val="clear" w:color="auto" w:fill="auto"/>
            <w:noWrap w:val="0"/>
            <w:vAlign w:val="center"/>
          </w:tcPr>
          <w:p w14:paraId="1B96FA8F">
            <w:pPr>
              <w:pStyle w:val="70"/>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工艺粉尘</w:t>
            </w:r>
          </w:p>
        </w:tc>
        <w:tc>
          <w:tcPr>
            <w:tcW w:w="1524" w:type="dxa"/>
            <w:noWrap w:val="0"/>
            <w:vAlign w:val="center"/>
          </w:tcPr>
          <w:p w14:paraId="10028215">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0AFE4EAD">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eastAsia="仿宋_GB2312" w:cs="宋体"/>
                <w:bCs w:val="0"/>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34B25C9B">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eastAsia="仿宋_GB2312" w:cs="宋体"/>
                <w:bCs w:val="0"/>
                <w:color w:val="auto"/>
                <w:spacing w:val="0"/>
                <w:kern w:val="2"/>
                <w:sz w:val="24"/>
                <w:szCs w:val="24"/>
                <w:highlight w:val="none"/>
                <w:lang w:val="en-US" w:eastAsia="zh-CN" w:bidi="ar-SA"/>
              </w:rPr>
              <w:t>36.298</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2BF10332">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416" w:type="dxa"/>
            <w:noWrap w:val="0"/>
            <w:vAlign w:val="center"/>
          </w:tcPr>
          <w:p w14:paraId="11582FEC">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6531BB0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352CB9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7CC639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6CD6CC82">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shd w:val="clear" w:color="auto" w:fill="auto"/>
            <w:noWrap w:val="0"/>
            <w:vAlign w:val="center"/>
          </w:tcPr>
          <w:p w14:paraId="5AD0F663">
            <w:pPr>
              <w:pStyle w:val="70"/>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废布袋</w:t>
            </w:r>
          </w:p>
        </w:tc>
        <w:tc>
          <w:tcPr>
            <w:tcW w:w="1524" w:type="dxa"/>
            <w:noWrap w:val="0"/>
            <w:vAlign w:val="center"/>
          </w:tcPr>
          <w:p w14:paraId="3EEBD5F7">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0A351049">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eastAsia="仿宋_GB2312" w:cs="宋体"/>
                <w:bCs w:val="0"/>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00B72D74">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eastAsia="仿宋_GB2312" w:cs="宋体"/>
                <w:bCs w:val="0"/>
                <w:color w:val="auto"/>
                <w:spacing w:val="0"/>
                <w:kern w:val="2"/>
                <w:sz w:val="24"/>
                <w:szCs w:val="24"/>
                <w:highlight w:val="none"/>
                <w:lang w:val="en-US" w:eastAsia="zh-CN" w:bidi="ar-SA"/>
              </w:rPr>
              <w:t>0.9t/5a</w:t>
            </w:r>
          </w:p>
        </w:tc>
        <w:tc>
          <w:tcPr>
            <w:tcW w:w="1595" w:type="dxa"/>
            <w:noWrap w:val="0"/>
            <w:vAlign w:val="center"/>
          </w:tcPr>
          <w:p w14:paraId="1556A8EF">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0.1t/a</w:t>
            </w:r>
          </w:p>
        </w:tc>
        <w:tc>
          <w:tcPr>
            <w:tcW w:w="1416" w:type="dxa"/>
            <w:noWrap w:val="0"/>
            <w:vAlign w:val="center"/>
          </w:tcPr>
          <w:p w14:paraId="55C934ED">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79C7E8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0.28t/a</w:t>
            </w:r>
          </w:p>
        </w:tc>
        <w:tc>
          <w:tcPr>
            <w:tcW w:w="1589" w:type="dxa"/>
            <w:noWrap w:val="0"/>
            <w:vAlign w:val="center"/>
          </w:tcPr>
          <w:p w14:paraId="159EF2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0.1t/a</w:t>
            </w:r>
          </w:p>
        </w:tc>
      </w:tr>
      <w:tr w14:paraId="3B5111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144FEBF5">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shd w:val="clear" w:color="auto" w:fill="auto"/>
            <w:noWrap w:val="0"/>
            <w:vAlign w:val="center"/>
          </w:tcPr>
          <w:p w14:paraId="512F4A8E">
            <w:pPr>
              <w:pStyle w:val="70"/>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混杂盐</w:t>
            </w:r>
          </w:p>
        </w:tc>
        <w:tc>
          <w:tcPr>
            <w:tcW w:w="1524" w:type="dxa"/>
            <w:noWrap w:val="0"/>
            <w:vAlign w:val="center"/>
          </w:tcPr>
          <w:p w14:paraId="48C74A42">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79DBBFB3">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eastAsia="仿宋_GB2312" w:cs="宋体"/>
                <w:bCs w:val="0"/>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004EAC9E">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eastAsia="仿宋_GB2312" w:cs="宋体"/>
                <w:bCs w:val="0"/>
                <w:color w:val="auto"/>
                <w:spacing w:val="0"/>
                <w:kern w:val="2"/>
                <w:sz w:val="24"/>
                <w:szCs w:val="24"/>
                <w:highlight w:val="none"/>
                <w:lang w:val="en-US" w:eastAsia="zh-CN" w:bidi="ar-SA"/>
              </w:rPr>
              <w:t>1787.28</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471982B7">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416" w:type="dxa"/>
            <w:noWrap w:val="0"/>
            <w:vAlign w:val="center"/>
          </w:tcPr>
          <w:p w14:paraId="7DF94B41">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3CE167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56595A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60800F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1904D178">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shd w:val="clear" w:color="auto" w:fill="auto"/>
            <w:noWrap w:val="0"/>
            <w:vAlign w:val="center"/>
          </w:tcPr>
          <w:p w14:paraId="563744ED">
            <w:pPr>
              <w:pStyle w:val="70"/>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污泥</w:t>
            </w:r>
          </w:p>
        </w:tc>
        <w:tc>
          <w:tcPr>
            <w:tcW w:w="1524" w:type="dxa"/>
            <w:noWrap w:val="0"/>
            <w:vAlign w:val="center"/>
          </w:tcPr>
          <w:p w14:paraId="514F816F">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5C5ED659">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eastAsia="仿宋_GB2312" w:cs="宋体"/>
                <w:bCs w:val="0"/>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0CA95FA3">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eastAsia="仿宋_GB2312" w:cs="宋体"/>
                <w:bCs w:val="0"/>
                <w:color w:val="auto"/>
                <w:spacing w:val="0"/>
                <w:kern w:val="2"/>
                <w:sz w:val="24"/>
                <w:szCs w:val="24"/>
                <w:highlight w:val="none"/>
                <w:lang w:val="en-US" w:eastAsia="zh-CN" w:bidi="ar-SA"/>
              </w:rPr>
              <w:t>290.4</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2DB5BE80">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416" w:type="dxa"/>
            <w:noWrap w:val="0"/>
            <w:vAlign w:val="center"/>
          </w:tcPr>
          <w:p w14:paraId="4A5B7DDD">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0AFA42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5A4E62C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717365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2133D8FD">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shd w:val="clear" w:color="auto" w:fill="auto"/>
            <w:noWrap w:val="0"/>
            <w:vAlign w:val="center"/>
          </w:tcPr>
          <w:p w14:paraId="4D24BD23">
            <w:pPr>
              <w:pStyle w:val="70"/>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废包装桶袋</w:t>
            </w:r>
          </w:p>
        </w:tc>
        <w:tc>
          <w:tcPr>
            <w:tcW w:w="1524" w:type="dxa"/>
            <w:noWrap w:val="0"/>
            <w:vAlign w:val="center"/>
          </w:tcPr>
          <w:p w14:paraId="7952D28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6F963E62">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eastAsia="仿宋_GB2312" w:cs="宋体"/>
                <w:bCs w:val="0"/>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2DBCE5F1">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eastAsia="仿宋_GB2312" w:cs="宋体"/>
                <w:bCs w:val="0"/>
                <w:color w:val="auto"/>
                <w:spacing w:val="0"/>
                <w:kern w:val="2"/>
                <w:sz w:val="24"/>
                <w:szCs w:val="24"/>
                <w:highlight w:val="none"/>
                <w:lang w:val="en-US" w:eastAsia="zh-CN" w:bidi="ar-SA"/>
              </w:rPr>
              <w:t>10</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2EADA7EE">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416" w:type="dxa"/>
            <w:noWrap w:val="0"/>
            <w:vAlign w:val="center"/>
          </w:tcPr>
          <w:p w14:paraId="20ED5CA6">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45311D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4DF503F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6357CE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35EA98BA">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shd w:val="clear" w:color="auto" w:fill="auto"/>
            <w:noWrap w:val="0"/>
            <w:vAlign w:val="center"/>
          </w:tcPr>
          <w:p w14:paraId="5207518C">
            <w:pPr>
              <w:pStyle w:val="70"/>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实验废液</w:t>
            </w:r>
          </w:p>
        </w:tc>
        <w:tc>
          <w:tcPr>
            <w:tcW w:w="1524" w:type="dxa"/>
            <w:noWrap w:val="0"/>
            <w:vAlign w:val="center"/>
          </w:tcPr>
          <w:p w14:paraId="24D14C54">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46EB7945">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eastAsia="仿宋_GB2312" w:cs="宋体"/>
                <w:bCs w:val="0"/>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4E986D99">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eastAsia="仿宋_GB2312" w:cs="宋体"/>
                <w:bCs w:val="0"/>
                <w:color w:val="auto"/>
                <w:spacing w:val="0"/>
                <w:kern w:val="2"/>
                <w:sz w:val="24"/>
                <w:szCs w:val="24"/>
                <w:highlight w:val="none"/>
                <w:lang w:val="en-US" w:eastAsia="zh-CN" w:bidi="ar-SA"/>
              </w:rPr>
              <w:t>0.1</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02A91772">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416" w:type="dxa"/>
            <w:noWrap w:val="0"/>
            <w:vAlign w:val="center"/>
          </w:tcPr>
          <w:p w14:paraId="158CCD98">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2EF682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55EA8D3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307C5D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vMerge w:val="continue"/>
            <w:noWrap w:val="0"/>
            <w:vAlign w:val="center"/>
          </w:tcPr>
          <w:p w14:paraId="0B366C9F">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rPr>
            </w:pPr>
          </w:p>
        </w:tc>
        <w:tc>
          <w:tcPr>
            <w:tcW w:w="1443" w:type="dxa"/>
            <w:shd w:val="clear" w:color="auto" w:fill="auto"/>
            <w:noWrap w:val="0"/>
            <w:vAlign w:val="center"/>
          </w:tcPr>
          <w:p w14:paraId="02467513">
            <w:pPr>
              <w:pStyle w:val="70"/>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废导热油</w:t>
            </w:r>
          </w:p>
        </w:tc>
        <w:tc>
          <w:tcPr>
            <w:tcW w:w="1524" w:type="dxa"/>
            <w:noWrap w:val="0"/>
            <w:vAlign w:val="center"/>
          </w:tcPr>
          <w:p w14:paraId="01D9809D">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46DED36C">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eastAsia="仿宋_GB2312" w:cs="宋体"/>
                <w:bCs w:val="0"/>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312B533F">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eastAsia="仿宋_GB2312" w:cs="宋体"/>
                <w:bCs w:val="0"/>
                <w:color w:val="auto"/>
                <w:spacing w:val="0"/>
                <w:kern w:val="2"/>
                <w:sz w:val="24"/>
                <w:szCs w:val="24"/>
                <w:highlight w:val="none"/>
                <w:lang w:val="en-US" w:eastAsia="zh-CN" w:bidi="ar-SA"/>
              </w:rPr>
              <w:t>10t/2a</w:t>
            </w:r>
          </w:p>
        </w:tc>
        <w:tc>
          <w:tcPr>
            <w:tcW w:w="1595" w:type="dxa"/>
            <w:noWrap w:val="0"/>
            <w:vAlign w:val="center"/>
          </w:tcPr>
          <w:p w14:paraId="3C91E14A">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416" w:type="dxa"/>
            <w:noWrap w:val="0"/>
            <w:vAlign w:val="center"/>
          </w:tcPr>
          <w:p w14:paraId="21862489">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1EF578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024E64A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r w14:paraId="6102A3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32" w:type="dxa"/>
            <w:noWrap w:val="0"/>
            <w:vAlign w:val="center"/>
          </w:tcPr>
          <w:p w14:paraId="225B0F57">
            <w:pPr>
              <w:pStyle w:val="73"/>
              <w:spacing w:beforeLines="0" w:afterLines="0" w:line="240" w:lineRule="auto"/>
              <w:ind w:firstLine="0" w:firstLineChars="0"/>
              <w:rPr>
                <w:rFonts w:hint="eastAsia" w:ascii="宋体" w:hAnsi="宋体" w:eastAsia="宋体" w:cs="宋体"/>
                <w:bCs/>
                <w:snapToGrid w:val="0"/>
                <w:color w:val="auto"/>
                <w:spacing w:val="0"/>
                <w:kern w:val="21"/>
                <w:sz w:val="24"/>
                <w:szCs w:val="24"/>
                <w:highlight w:val="none"/>
                <w:lang w:val="en-US" w:eastAsia="zh-CN"/>
              </w:rPr>
            </w:pPr>
            <w:r>
              <w:rPr>
                <w:rFonts w:hint="eastAsia" w:ascii="宋体" w:hAnsi="宋体" w:eastAsia="宋体" w:cs="宋体"/>
                <w:bCs/>
                <w:snapToGrid w:val="0"/>
                <w:color w:val="auto"/>
                <w:spacing w:val="0"/>
                <w:kern w:val="21"/>
                <w:sz w:val="24"/>
                <w:szCs w:val="24"/>
                <w:highlight w:val="none"/>
                <w:lang w:val="en-US" w:eastAsia="zh-CN"/>
              </w:rPr>
              <w:t>生活垃圾</w:t>
            </w:r>
          </w:p>
        </w:tc>
        <w:tc>
          <w:tcPr>
            <w:tcW w:w="1443" w:type="dxa"/>
            <w:shd w:val="clear" w:color="auto" w:fill="auto"/>
            <w:noWrap w:val="0"/>
            <w:vAlign w:val="center"/>
          </w:tcPr>
          <w:p w14:paraId="362C4ECC">
            <w:pPr>
              <w:pStyle w:val="70"/>
              <w:rPr>
                <w:rFonts w:hint="eastAsia" w:ascii="宋体" w:hAnsi="宋体" w:eastAsia="宋体" w:cs="宋体"/>
                <w:color w:val="auto"/>
                <w:spacing w:val="0"/>
                <w:sz w:val="24"/>
                <w:szCs w:val="24"/>
                <w:highlight w:val="none"/>
                <w:lang w:val="en-US" w:eastAsia="zh-CN"/>
              </w:rPr>
            </w:pPr>
            <w:r>
              <w:rPr>
                <w:rFonts w:hint="eastAsia" w:ascii="宋体" w:hAnsi="宋体" w:eastAsia="宋体" w:cs="宋体"/>
                <w:color w:val="auto"/>
                <w:spacing w:val="0"/>
                <w:sz w:val="24"/>
                <w:szCs w:val="24"/>
                <w:highlight w:val="none"/>
                <w:lang w:val="en-US" w:eastAsia="zh-CN"/>
              </w:rPr>
              <w:t>生活垃圾</w:t>
            </w:r>
          </w:p>
        </w:tc>
        <w:tc>
          <w:tcPr>
            <w:tcW w:w="1524" w:type="dxa"/>
            <w:noWrap w:val="0"/>
            <w:vAlign w:val="center"/>
          </w:tcPr>
          <w:p w14:paraId="41B8441A">
            <w:pPr>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41" w:type="dxa"/>
            <w:noWrap w:val="0"/>
            <w:vAlign w:val="center"/>
          </w:tcPr>
          <w:p w14:paraId="2EBC46B3">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eastAsia="仿宋_GB2312" w:cs="宋体"/>
                <w:bCs w:val="0"/>
                <w:color w:val="auto"/>
                <w:spacing w:val="0"/>
                <w:kern w:val="2"/>
                <w:sz w:val="24"/>
                <w:szCs w:val="24"/>
                <w:highlight w:val="none"/>
                <w:lang w:val="en-US" w:eastAsia="zh-CN" w:bidi="ar-SA"/>
              </w:rPr>
            </w:pPr>
            <w:r>
              <w:rPr>
                <w:rFonts w:hint="eastAsia" w:ascii="宋体" w:hAnsi="宋体" w:cs="宋体"/>
                <w:color w:val="auto"/>
                <w:spacing w:val="0"/>
                <w:kern w:val="2"/>
                <w:sz w:val="24"/>
                <w:szCs w:val="24"/>
                <w:highlight w:val="none"/>
                <w:lang w:val="en-US" w:eastAsia="zh-CN" w:bidi="ar-SA"/>
              </w:rPr>
              <w:t>/</w:t>
            </w:r>
          </w:p>
        </w:tc>
        <w:tc>
          <w:tcPr>
            <w:tcW w:w="1390" w:type="dxa"/>
            <w:noWrap w:val="0"/>
            <w:vAlign w:val="center"/>
          </w:tcPr>
          <w:p w14:paraId="25E755BF">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eastAsia" w:ascii="宋体" w:hAnsi="宋体" w:cs="宋体"/>
                <w:color w:val="auto"/>
                <w:spacing w:val="0"/>
                <w:kern w:val="2"/>
                <w:sz w:val="24"/>
                <w:szCs w:val="24"/>
                <w:highlight w:val="none"/>
                <w:lang w:val="en-US" w:eastAsia="zh-CN" w:bidi="ar-SA"/>
              </w:rPr>
            </w:pPr>
            <w:r>
              <w:rPr>
                <w:rFonts w:hint="eastAsia" w:ascii="宋体" w:hAnsi="宋体" w:eastAsia="仿宋_GB2312" w:cs="宋体"/>
                <w:bCs w:val="0"/>
                <w:color w:val="auto"/>
                <w:spacing w:val="0"/>
                <w:kern w:val="2"/>
                <w:sz w:val="24"/>
                <w:szCs w:val="24"/>
                <w:highlight w:val="none"/>
                <w:lang w:val="en-US" w:eastAsia="zh-CN" w:bidi="ar-SA"/>
              </w:rPr>
              <w:t>74.25</w:t>
            </w:r>
            <w:r>
              <w:rPr>
                <w:rFonts w:hint="eastAsia" w:ascii="宋体" w:hAnsi="宋体" w:cs="宋体"/>
                <w:color w:val="auto"/>
                <w:spacing w:val="0"/>
                <w:kern w:val="2"/>
                <w:sz w:val="24"/>
                <w:szCs w:val="24"/>
                <w:highlight w:val="none"/>
                <w:lang w:val="en-US" w:eastAsia="zh-CN" w:bidi="ar-SA"/>
              </w:rPr>
              <w:t>t/a</w:t>
            </w:r>
          </w:p>
        </w:tc>
        <w:tc>
          <w:tcPr>
            <w:tcW w:w="1595" w:type="dxa"/>
            <w:noWrap w:val="0"/>
            <w:vAlign w:val="center"/>
          </w:tcPr>
          <w:p w14:paraId="75279690">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416" w:type="dxa"/>
            <w:noWrap w:val="0"/>
            <w:vAlign w:val="center"/>
          </w:tcPr>
          <w:p w14:paraId="1CF3B481">
            <w:pPr>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ascii="宋体" w:hAnsi="宋体" w:eastAsia="宋体" w:cs="宋体"/>
                <w:color w:val="auto"/>
                <w:spacing w:val="0"/>
                <w:kern w:val="2"/>
                <w:sz w:val="24"/>
                <w:szCs w:val="24"/>
                <w:highlight w:val="none"/>
                <w:lang w:val="en-US" w:eastAsia="zh-CN" w:bidi="ar-SA"/>
              </w:rPr>
            </w:pPr>
            <w:r>
              <w:rPr>
                <w:rFonts w:hint="eastAsia" w:ascii="宋体" w:hAnsi="宋体" w:eastAsia="宋体" w:cs="宋体"/>
                <w:color w:val="auto"/>
                <w:spacing w:val="0"/>
                <w:kern w:val="2"/>
                <w:sz w:val="24"/>
                <w:szCs w:val="24"/>
                <w:highlight w:val="none"/>
                <w:lang w:val="en-US" w:eastAsia="zh-CN" w:bidi="ar-SA"/>
              </w:rPr>
              <w:t>/</w:t>
            </w:r>
          </w:p>
        </w:tc>
        <w:tc>
          <w:tcPr>
            <w:tcW w:w="1662" w:type="dxa"/>
            <w:noWrap w:val="0"/>
            <w:vAlign w:val="center"/>
          </w:tcPr>
          <w:p w14:paraId="5D79FB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bCs/>
                <w:caps w:val="0"/>
                <w:color w:val="auto"/>
                <w:spacing w:val="0"/>
                <w:sz w:val="24"/>
                <w:szCs w:val="24"/>
                <w:highlight w:val="none"/>
                <w:lang w:val="en-US" w:eastAsia="zh-CN"/>
              </w:rPr>
              <w:t>/</w:t>
            </w:r>
          </w:p>
        </w:tc>
        <w:tc>
          <w:tcPr>
            <w:tcW w:w="1589" w:type="dxa"/>
            <w:noWrap w:val="0"/>
            <w:vAlign w:val="center"/>
          </w:tcPr>
          <w:p w14:paraId="076B62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cs="宋体"/>
                <w:color w:val="auto"/>
                <w:spacing w:val="0"/>
                <w:sz w:val="24"/>
                <w:szCs w:val="24"/>
                <w:highlight w:val="none"/>
                <w:lang w:val="en-US" w:eastAsia="zh-CN"/>
              </w:rPr>
            </w:pPr>
            <w:r>
              <w:rPr>
                <w:rFonts w:hint="eastAsia" w:ascii="宋体" w:hAnsi="宋体" w:cs="宋体"/>
                <w:color w:val="auto"/>
                <w:spacing w:val="0"/>
                <w:sz w:val="24"/>
                <w:szCs w:val="24"/>
                <w:highlight w:val="none"/>
                <w:lang w:val="en-US" w:eastAsia="zh-CN"/>
              </w:rPr>
              <w:t>0</w:t>
            </w:r>
          </w:p>
        </w:tc>
      </w:tr>
    </w:tbl>
    <w:p w14:paraId="2B7EE4C8">
      <w:pPr>
        <w:pStyle w:val="73"/>
        <w:spacing w:before="24" w:after="24"/>
        <w:ind w:firstLine="420"/>
        <w:rPr>
          <w:rFonts w:hint="eastAsia" w:ascii="宋体" w:hAnsi="宋体" w:eastAsia="宋体" w:cs="宋体"/>
          <w:color w:val="auto"/>
          <w:spacing w:val="0"/>
          <w:highlight w:val="none"/>
        </w:rPr>
      </w:pPr>
      <w:r>
        <w:rPr>
          <w:rFonts w:hint="eastAsia" w:ascii="宋体" w:hAnsi="宋体" w:eastAsia="宋体" w:cs="宋体"/>
          <w:snapToGrid w:val="0"/>
          <w:color w:val="auto"/>
          <w:spacing w:val="0"/>
          <w:kern w:val="21"/>
          <w:highlight w:val="none"/>
        </w:rPr>
        <w:t>注：</w:t>
      </w:r>
      <w:r>
        <w:rPr>
          <w:rFonts w:hint="eastAsia" w:ascii="宋体" w:hAnsi="宋体" w:eastAsia="宋体" w:cs="宋体"/>
          <w:snapToGrid w:val="0"/>
          <w:color w:val="auto"/>
          <w:spacing w:val="0"/>
          <w:kern w:val="21"/>
          <w:highlight w:val="none"/>
        </w:rPr>
        <w:fldChar w:fldCharType="begin"/>
      </w:r>
      <w:r>
        <w:rPr>
          <w:rFonts w:hint="eastAsia" w:ascii="宋体" w:hAnsi="宋体" w:eastAsia="宋体" w:cs="宋体"/>
          <w:snapToGrid w:val="0"/>
          <w:color w:val="auto"/>
          <w:spacing w:val="0"/>
          <w:kern w:val="21"/>
          <w:highlight w:val="none"/>
        </w:rPr>
        <w:instrText xml:space="preserve"> = 6 \* GB3 \* MERGEFORMAT </w:instrText>
      </w:r>
      <w:r>
        <w:rPr>
          <w:rFonts w:hint="eastAsia" w:ascii="宋体" w:hAnsi="宋体" w:eastAsia="宋体" w:cs="宋体"/>
          <w:snapToGrid w:val="0"/>
          <w:color w:val="auto"/>
          <w:spacing w:val="0"/>
          <w:kern w:val="21"/>
          <w:highlight w:val="none"/>
        </w:rPr>
        <w:fldChar w:fldCharType="separate"/>
      </w:r>
      <w:r>
        <w:rPr>
          <w:rFonts w:hint="eastAsia" w:ascii="宋体" w:hAnsi="宋体" w:eastAsia="宋体" w:cs="宋体"/>
          <w:color w:val="auto"/>
          <w:spacing w:val="0"/>
          <w:highlight w:val="none"/>
        </w:rPr>
        <w:t>⑥</w:t>
      </w:r>
      <w:r>
        <w:rPr>
          <w:rFonts w:hint="eastAsia" w:ascii="宋体" w:hAnsi="宋体" w:eastAsia="宋体" w:cs="宋体"/>
          <w:snapToGrid w:val="0"/>
          <w:color w:val="auto"/>
          <w:spacing w:val="0"/>
          <w:kern w:val="21"/>
          <w:highlight w:val="none"/>
        </w:rPr>
        <w:fldChar w:fldCharType="end"/>
      </w:r>
      <w:r>
        <w:rPr>
          <w:rFonts w:hint="eastAsia" w:ascii="宋体" w:hAnsi="宋体" w:eastAsia="宋体" w:cs="宋体"/>
          <w:snapToGrid w:val="0"/>
          <w:color w:val="auto"/>
          <w:spacing w:val="0"/>
          <w:kern w:val="21"/>
          <w:highlight w:val="none"/>
        </w:rPr>
        <w:t>=</w:t>
      </w:r>
      <w:r>
        <w:rPr>
          <w:rFonts w:hint="eastAsia" w:ascii="宋体" w:hAnsi="宋体" w:eastAsia="宋体" w:cs="宋体"/>
          <w:snapToGrid w:val="0"/>
          <w:color w:val="auto"/>
          <w:spacing w:val="0"/>
          <w:kern w:val="21"/>
          <w:highlight w:val="none"/>
        </w:rPr>
        <w:fldChar w:fldCharType="begin"/>
      </w:r>
      <w:r>
        <w:rPr>
          <w:rFonts w:hint="eastAsia" w:ascii="宋体" w:hAnsi="宋体" w:eastAsia="宋体" w:cs="宋体"/>
          <w:snapToGrid w:val="0"/>
          <w:color w:val="auto"/>
          <w:spacing w:val="0"/>
          <w:kern w:val="21"/>
          <w:highlight w:val="none"/>
        </w:rPr>
        <w:instrText xml:space="preserve"> = 1 \* GB3 \* MERGEFORMAT </w:instrText>
      </w:r>
      <w:r>
        <w:rPr>
          <w:rFonts w:hint="eastAsia" w:ascii="宋体" w:hAnsi="宋体" w:eastAsia="宋体" w:cs="宋体"/>
          <w:snapToGrid w:val="0"/>
          <w:color w:val="auto"/>
          <w:spacing w:val="0"/>
          <w:kern w:val="21"/>
          <w:highlight w:val="none"/>
        </w:rPr>
        <w:fldChar w:fldCharType="separate"/>
      </w:r>
      <w:r>
        <w:rPr>
          <w:rFonts w:hint="eastAsia" w:ascii="宋体" w:hAnsi="宋体" w:eastAsia="宋体" w:cs="宋体"/>
          <w:color w:val="auto"/>
          <w:spacing w:val="0"/>
          <w:highlight w:val="none"/>
        </w:rPr>
        <w:t>①</w:t>
      </w:r>
      <w:r>
        <w:rPr>
          <w:rFonts w:hint="eastAsia" w:ascii="宋体" w:hAnsi="宋体" w:eastAsia="宋体" w:cs="宋体"/>
          <w:snapToGrid w:val="0"/>
          <w:color w:val="auto"/>
          <w:spacing w:val="0"/>
          <w:kern w:val="21"/>
          <w:highlight w:val="none"/>
        </w:rPr>
        <w:fldChar w:fldCharType="end"/>
      </w:r>
      <w:r>
        <w:rPr>
          <w:rFonts w:hint="eastAsia" w:ascii="宋体" w:hAnsi="宋体" w:eastAsia="宋体" w:cs="宋体"/>
          <w:snapToGrid w:val="0"/>
          <w:color w:val="auto"/>
          <w:spacing w:val="0"/>
          <w:kern w:val="21"/>
          <w:highlight w:val="none"/>
        </w:rPr>
        <w:t>+</w:t>
      </w:r>
      <w:r>
        <w:rPr>
          <w:rFonts w:hint="eastAsia" w:ascii="宋体" w:hAnsi="宋体" w:eastAsia="宋体" w:cs="宋体"/>
          <w:snapToGrid w:val="0"/>
          <w:color w:val="auto"/>
          <w:spacing w:val="0"/>
          <w:kern w:val="21"/>
          <w:highlight w:val="none"/>
        </w:rPr>
        <w:fldChar w:fldCharType="begin"/>
      </w:r>
      <w:r>
        <w:rPr>
          <w:rFonts w:hint="eastAsia" w:ascii="宋体" w:hAnsi="宋体" w:eastAsia="宋体" w:cs="宋体"/>
          <w:snapToGrid w:val="0"/>
          <w:color w:val="auto"/>
          <w:spacing w:val="0"/>
          <w:kern w:val="21"/>
          <w:highlight w:val="none"/>
        </w:rPr>
        <w:instrText xml:space="preserve"> = 3 \* GB3 \* MERGEFORMAT </w:instrText>
      </w:r>
      <w:r>
        <w:rPr>
          <w:rFonts w:hint="eastAsia" w:ascii="宋体" w:hAnsi="宋体" w:eastAsia="宋体" w:cs="宋体"/>
          <w:snapToGrid w:val="0"/>
          <w:color w:val="auto"/>
          <w:spacing w:val="0"/>
          <w:kern w:val="21"/>
          <w:highlight w:val="none"/>
        </w:rPr>
        <w:fldChar w:fldCharType="separate"/>
      </w:r>
      <w:r>
        <w:rPr>
          <w:rFonts w:hint="eastAsia" w:ascii="宋体" w:hAnsi="宋体" w:eastAsia="宋体" w:cs="宋体"/>
          <w:color w:val="auto"/>
          <w:spacing w:val="0"/>
          <w:highlight w:val="none"/>
        </w:rPr>
        <w:t>③</w:t>
      </w:r>
      <w:r>
        <w:rPr>
          <w:rFonts w:hint="eastAsia" w:ascii="宋体" w:hAnsi="宋体" w:eastAsia="宋体" w:cs="宋体"/>
          <w:snapToGrid w:val="0"/>
          <w:color w:val="auto"/>
          <w:spacing w:val="0"/>
          <w:kern w:val="21"/>
          <w:highlight w:val="none"/>
        </w:rPr>
        <w:fldChar w:fldCharType="end"/>
      </w:r>
      <w:r>
        <w:rPr>
          <w:rFonts w:hint="eastAsia" w:ascii="宋体" w:hAnsi="宋体" w:eastAsia="宋体" w:cs="宋体"/>
          <w:snapToGrid w:val="0"/>
          <w:color w:val="auto"/>
          <w:spacing w:val="0"/>
          <w:kern w:val="21"/>
          <w:highlight w:val="none"/>
        </w:rPr>
        <w:t>+</w:t>
      </w:r>
      <w:r>
        <w:rPr>
          <w:rFonts w:hint="eastAsia" w:ascii="宋体" w:hAnsi="宋体" w:eastAsia="宋体" w:cs="宋体"/>
          <w:snapToGrid w:val="0"/>
          <w:color w:val="auto"/>
          <w:spacing w:val="0"/>
          <w:kern w:val="21"/>
          <w:highlight w:val="none"/>
        </w:rPr>
        <w:fldChar w:fldCharType="begin"/>
      </w:r>
      <w:r>
        <w:rPr>
          <w:rFonts w:hint="eastAsia" w:ascii="宋体" w:hAnsi="宋体" w:eastAsia="宋体" w:cs="宋体"/>
          <w:snapToGrid w:val="0"/>
          <w:color w:val="auto"/>
          <w:spacing w:val="0"/>
          <w:kern w:val="21"/>
          <w:highlight w:val="none"/>
        </w:rPr>
        <w:instrText xml:space="preserve"> = 4 \* GB3 \* MERGEFORMAT </w:instrText>
      </w:r>
      <w:r>
        <w:rPr>
          <w:rFonts w:hint="eastAsia" w:ascii="宋体" w:hAnsi="宋体" w:eastAsia="宋体" w:cs="宋体"/>
          <w:snapToGrid w:val="0"/>
          <w:color w:val="auto"/>
          <w:spacing w:val="0"/>
          <w:kern w:val="21"/>
          <w:highlight w:val="none"/>
        </w:rPr>
        <w:fldChar w:fldCharType="separate"/>
      </w:r>
      <w:r>
        <w:rPr>
          <w:rFonts w:hint="eastAsia" w:ascii="宋体" w:hAnsi="宋体" w:eastAsia="宋体" w:cs="宋体"/>
          <w:color w:val="auto"/>
          <w:spacing w:val="0"/>
          <w:highlight w:val="none"/>
        </w:rPr>
        <w:t>④</w:t>
      </w:r>
      <w:r>
        <w:rPr>
          <w:rFonts w:hint="eastAsia" w:ascii="宋体" w:hAnsi="宋体" w:eastAsia="宋体" w:cs="宋体"/>
          <w:snapToGrid w:val="0"/>
          <w:color w:val="auto"/>
          <w:spacing w:val="0"/>
          <w:kern w:val="21"/>
          <w:highlight w:val="none"/>
        </w:rPr>
        <w:fldChar w:fldCharType="end"/>
      </w:r>
      <w:r>
        <w:rPr>
          <w:rFonts w:hint="eastAsia" w:ascii="宋体" w:hAnsi="宋体" w:eastAsia="宋体" w:cs="宋体"/>
          <w:snapToGrid w:val="0"/>
          <w:color w:val="auto"/>
          <w:spacing w:val="0"/>
          <w:kern w:val="21"/>
          <w:highlight w:val="none"/>
        </w:rPr>
        <w:t>-</w:t>
      </w:r>
      <w:r>
        <w:rPr>
          <w:rFonts w:hint="eastAsia" w:ascii="宋体" w:hAnsi="宋体" w:eastAsia="宋体" w:cs="宋体"/>
          <w:snapToGrid w:val="0"/>
          <w:color w:val="auto"/>
          <w:spacing w:val="0"/>
          <w:kern w:val="21"/>
          <w:highlight w:val="none"/>
        </w:rPr>
        <w:fldChar w:fldCharType="begin"/>
      </w:r>
      <w:r>
        <w:rPr>
          <w:rFonts w:hint="eastAsia" w:ascii="宋体" w:hAnsi="宋体" w:eastAsia="宋体" w:cs="宋体"/>
          <w:snapToGrid w:val="0"/>
          <w:color w:val="auto"/>
          <w:spacing w:val="0"/>
          <w:kern w:val="21"/>
          <w:highlight w:val="none"/>
        </w:rPr>
        <w:instrText xml:space="preserve"> = 5 \* GB3 \* MERGEFORMAT </w:instrText>
      </w:r>
      <w:r>
        <w:rPr>
          <w:rFonts w:hint="eastAsia" w:ascii="宋体" w:hAnsi="宋体" w:eastAsia="宋体" w:cs="宋体"/>
          <w:snapToGrid w:val="0"/>
          <w:color w:val="auto"/>
          <w:spacing w:val="0"/>
          <w:kern w:val="21"/>
          <w:highlight w:val="none"/>
        </w:rPr>
        <w:fldChar w:fldCharType="separate"/>
      </w:r>
      <w:r>
        <w:rPr>
          <w:rFonts w:hint="eastAsia" w:ascii="宋体" w:hAnsi="宋体" w:eastAsia="宋体" w:cs="宋体"/>
          <w:color w:val="auto"/>
          <w:spacing w:val="0"/>
          <w:highlight w:val="none"/>
        </w:rPr>
        <w:t>⑤</w:t>
      </w:r>
      <w:r>
        <w:rPr>
          <w:rFonts w:hint="eastAsia" w:ascii="宋体" w:hAnsi="宋体" w:eastAsia="宋体" w:cs="宋体"/>
          <w:snapToGrid w:val="0"/>
          <w:color w:val="auto"/>
          <w:spacing w:val="0"/>
          <w:kern w:val="21"/>
          <w:highlight w:val="none"/>
        </w:rPr>
        <w:fldChar w:fldCharType="end"/>
      </w:r>
      <w:r>
        <w:rPr>
          <w:rFonts w:hint="eastAsia" w:ascii="宋体" w:hAnsi="宋体" w:eastAsia="宋体" w:cs="宋体"/>
          <w:snapToGrid w:val="0"/>
          <w:color w:val="auto"/>
          <w:spacing w:val="0"/>
          <w:kern w:val="21"/>
          <w:highlight w:val="none"/>
        </w:rPr>
        <w:t>；</w:t>
      </w:r>
      <w:r>
        <w:rPr>
          <w:rFonts w:hint="eastAsia" w:ascii="宋体" w:hAnsi="宋体" w:eastAsia="宋体" w:cs="宋体"/>
          <w:snapToGrid w:val="0"/>
          <w:color w:val="auto"/>
          <w:spacing w:val="0"/>
          <w:kern w:val="21"/>
          <w:highlight w:val="none"/>
        </w:rPr>
        <w:fldChar w:fldCharType="begin"/>
      </w:r>
      <w:r>
        <w:rPr>
          <w:rFonts w:hint="eastAsia" w:ascii="宋体" w:hAnsi="宋体" w:eastAsia="宋体" w:cs="宋体"/>
          <w:snapToGrid w:val="0"/>
          <w:color w:val="auto"/>
          <w:spacing w:val="0"/>
          <w:kern w:val="21"/>
          <w:highlight w:val="none"/>
        </w:rPr>
        <w:instrText xml:space="preserve"> = 7 \* GB3 \* MERGEFORMAT </w:instrText>
      </w:r>
      <w:r>
        <w:rPr>
          <w:rFonts w:hint="eastAsia" w:ascii="宋体" w:hAnsi="宋体" w:eastAsia="宋体" w:cs="宋体"/>
          <w:snapToGrid w:val="0"/>
          <w:color w:val="auto"/>
          <w:spacing w:val="0"/>
          <w:kern w:val="21"/>
          <w:highlight w:val="none"/>
        </w:rPr>
        <w:fldChar w:fldCharType="separate"/>
      </w:r>
      <w:r>
        <w:rPr>
          <w:rFonts w:hint="eastAsia" w:ascii="宋体" w:hAnsi="宋体" w:eastAsia="宋体" w:cs="宋体"/>
          <w:color w:val="auto"/>
          <w:spacing w:val="0"/>
          <w:highlight w:val="none"/>
        </w:rPr>
        <w:t>⑦</w:t>
      </w:r>
      <w:r>
        <w:rPr>
          <w:rFonts w:hint="eastAsia" w:ascii="宋体" w:hAnsi="宋体" w:eastAsia="宋体" w:cs="宋体"/>
          <w:snapToGrid w:val="0"/>
          <w:color w:val="auto"/>
          <w:spacing w:val="0"/>
          <w:kern w:val="21"/>
          <w:highlight w:val="none"/>
        </w:rPr>
        <w:fldChar w:fldCharType="end"/>
      </w:r>
      <w:r>
        <w:rPr>
          <w:rFonts w:hint="eastAsia" w:ascii="宋体" w:hAnsi="宋体" w:eastAsia="宋体" w:cs="宋体"/>
          <w:snapToGrid w:val="0"/>
          <w:color w:val="auto"/>
          <w:spacing w:val="0"/>
          <w:kern w:val="21"/>
          <w:highlight w:val="none"/>
        </w:rPr>
        <w:t>=</w:t>
      </w:r>
      <w:r>
        <w:rPr>
          <w:rFonts w:hint="eastAsia" w:ascii="宋体" w:hAnsi="宋体" w:eastAsia="宋体" w:cs="宋体"/>
          <w:snapToGrid w:val="0"/>
          <w:color w:val="auto"/>
          <w:spacing w:val="0"/>
          <w:kern w:val="21"/>
          <w:highlight w:val="none"/>
        </w:rPr>
        <w:fldChar w:fldCharType="begin"/>
      </w:r>
      <w:r>
        <w:rPr>
          <w:rFonts w:hint="eastAsia" w:ascii="宋体" w:hAnsi="宋体" w:eastAsia="宋体" w:cs="宋体"/>
          <w:snapToGrid w:val="0"/>
          <w:color w:val="auto"/>
          <w:spacing w:val="0"/>
          <w:kern w:val="21"/>
          <w:highlight w:val="none"/>
        </w:rPr>
        <w:instrText xml:space="preserve"> = 6 \* GB3 \* MERGEFORMAT </w:instrText>
      </w:r>
      <w:r>
        <w:rPr>
          <w:rFonts w:hint="eastAsia" w:ascii="宋体" w:hAnsi="宋体" w:eastAsia="宋体" w:cs="宋体"/>
          <w:snapToGrid w:val="0"/>
          <w:color w:val="auto"/>
          <w:spacing w:val="0"/>
          <w:kern w:val="21"/>
          <w:highlight w:val="none"/>
        </w:rPr>
        <w:fldChar w:fldCharType="separate"/>
      </w:r>
      <w:r>
        <w:rPr>
          <w:rFonts w:hint="eastAsia" w:ascii="宋体" w:hAnsi="宋体" w:eastAsia="宋体" w:cs="宋体"/>
          <w:color w:val="auto"/>
          <w:spacing w:val="0"/>
          <w:highlight w:val="none"/>
        </w:rPr>
        <w:t>⑥</w:t>
      </w:r>
      <w:r>
        <w:rPr>
          <w:rFonts w:hint="eastAsia" w:ascii="宋体" w:hAnsi="宋体" w:eastAsia="宋体" w:cs="宋体"/>
          <w:snapToGrid w:val="0"/>
          <w:color w:val="auto"/>
          <w:spacing w:val="0"/>
          <w:kern w:val="21"/>
          <w:highlight w:val="none"/>
        </w:rPr>
        <w:fldChar w:fldCharType="end"/>
      </w:r>
      <w:r>
        <w:rPr>
          <w:rFonts w:hint="eastAsia" w:ascii="宋体" w:hAnsi="宋体" w:eastAsia="宋体" w:cs="宋体"/>
          <w:snapToGrid w:val="0"/>
          <w:color w:val="auto"/>
          <w:spacing w:val="0"/>
          <w:kern w:val="21"/>
          <w:highlight w:val="none"/>
        </w:rPr>
        <w:t>-</w:t>
      </w:r>
      <w:r>
        <w:rPr>
          <w:rFonts w:hint="eastAsia" w:ascii="宋体" w:hAnsi="宋体" w:eastAsia="宋体" w:cs="宋体"/>
          <w:snapToGrid w:val="0"/>
          <w:color w:val="auto"/>
          <w:spacing w:val="0"/>
          <w:kern w:val="21"/>
          <w:highlight w:val="none"/>
        </w:rPr>
        <w:fldChar w:fldCharType="begin"/>
      </w:r>
      <w:r>
        <w:rPr>
          <w:rFonts w:hint="eastAsia" w:ascii="宋体" w:hAnsi="宋体" w:eastAsia="宋体" w:cs="宋体"/>
          <w:snapToGrid w:val="0"/>
          <w:color w:val="auto"/>
          <w:spacing w:val="0"/>
          <w:kern w:val="21"/>
          <w:highlight w:val="none"/>
        </w:rPr>
        <w:instrText xml:space="preserve"> = 1 \* GB3 \* MERGEFORMAT </w:instrText>
      </w:r>
      <w:r>
        <w:rPr>
          <w:rFonts w:hint="eastAsia" w:ascii="宋体" w:hAnsi="宋体" w:eastAsia="宋体" w:cs="宋体"/>
          <w:snapToGrid w:val="0"/>
          <w:color w:val="auto"/>
          <w:spacing w:val="0"/>
          <w:kern w:val="21"/>
          <w:highlight w:val="none"/>
        </w:rPr>
        <w:fldChar w:fldCharType="separate"/>
      </w:r>
      <w:r>
        <w:rPr>
          <w:rFonts w:hint="eastAsia" w:ascii="宋体" w:hAnsi="宋体" w:eastAsia="宋体" w:cs="宋体"/>
          <w:color w:val="auto"/>
          <w:spacing w:val="0"/>
          <w:highlight w:val="none"/>
        </w:rPr>
        <w:t>①</w:t>
      </w:r>
      <w:r>
        <w:rPr>
          <w:rFonts w:hint="eastAsia" w:ascii="宋体" w:hAnsi="宋体" w:eastAsia="宋体" w:cs="宋体"/>
          <w:snapToGrid w:val="0"/>
          <w:color w:val="auto"/>
          <w:spacing w:val="0"/>
          <w:kern w:val="21"/>
          <w:highlight w:val="none"/>
        </w:rPr>
        <w:fldChar w:fldCharType="end"/>
      </w:r>
    </w:p>
    <w:p w14:paraId="34131501">
      <w:pPr>
        <w:rPr>
          <w:rFonts w:hint="eastAsia" w:ascii="宋体" w:hAnsi="宋体" w:eastAsia="宋体" w:cs="宋体"/>
          <w:color w:val="auto"/>
          <w:spacing w:val="0"/>
          <w:highlight w:val="none"/>
        </w:rPr>
        <w:sectPr>
          <w:footerReference r:id="rId12" w:type="default"/>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4AFE1F43">
      <w:pPr>
        <w:ind w:left="0" w:leftChars="0" w:firstLine="0" w:firstLineChars="0"/>
        <w:outlineLvl w:val="0"/>
        <w:rPr>
          <w:rFonts w:hint="eastAsia" w:ascii="宋体" w:hAnsi="宋体" w:eastAsia="宋体" w:cs="宋体"/>
          <w:b/>
          <w:bCs w:val="0"/>
          <w:color w:val="auto"/>
          <w:spacing w:val="0"/>
          <w:highlight w:val="none"/>
          <w:lang w:val="en-US" w:eastAsia="zh-CN"/>
        </w:rPr>
      </w:pPr>
      <w:bookmarkStart w:id="23" w:name="_Toc19888"/>
      <w:r>
        <w:rPr>
          <w:rFonts w:hint="eastAsia" w:ascii="宋体" w:hAnsi="宋体" w:eastAsia="宋体" w:cs="宋体"/>
          <w:b/>
          <w:bCs w:val="0"/>
          <w:color w:val="auto"/>
          <w:spacing w:val="0"/>
          <w:highlight w:val="none"/>
          <w:lang w:val="en-US" w:eastAsia="zh-CN"/>
        </w:rPr>
        <w:drawing>
          <wp:anchor distT="0" distB="0" distL="114300" distR="114300" simplePos="0" relativeHeight="251660288" behindDoc="0" locked="0" layoutInCell="1" allowOverlap="1">
            <wp:simplePos x="0" y="0"/>
            <wp:positionH relativeFrom="column">
              <wp:posOffset>7466965</wp:posOffset>
            </wp:positionH>
            <wp:positionV relativeFrom="paragraph">
              <wp:posOffset>280035</wp:posOffset>
            </wp:positionV>
            <wp:extent cx="428625" cy="809625"/>
            <wp:effectExtent l="0" t="0" r="9525" b="9525"/>
            <wp:wrapNone/>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45"/>
                    <a:stretch>
                      <a:fillRect/>
                    </a:stretch>
                  </pic:blipFill>
                  <pic:spPr>
                    <a:xfrm>
                      <a:off x="0" y="0"/>
                      <a:ext cx="428625" cy="809625"/>
                    </a:xfrm>
                    <a:prstGeom prst="rect">
                      <a:avLst/>
                    </a:prstGeom>
                    <a:noFill/>
                    <a:ln>
                      <a:noFill/>
                    </a:ln>
                  </pic:spPr>
                </pic:pic>
              </a:graphicData>
            </a:graphic>
          </wp:anchor>
        </w:drawing>
      </w:r>
      <w:r>
        <w:rPr>
          <w:rFonts w:hint="eastAsia" w:ascii="宋体" w:hAnsi="宋体" w:eastAsia="宋体" w:cs="宋体"/>
          <w:b/>
          <w:bCs w:val="0"/>
          <w:color w:val="auto"/>
          <w:spacing w:val="0"/>
          <w:highlight w:val="none"/>
          <w:lang w:val="en-US" w:eastAsia="zh-CN"/>
        </w:rPr>
        <w:t>附图1 项目所在位置图</w:t>
      </w:r>
      <w:bookmarkEnd w:id="23"/>
    </w:p>
    <w:p w14:paraId="06C3497A">
      <w:pPr>
        <w:pStyle w:val="2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ascii="宋体" w:hAnsi="宋体" w:eastAsia="宋体" w:cs="宋体"/>
          <w:color w:val="auto"/>
          <w:spacing w:val="0"/>
          <w:highlight w:val="none"/>
        </w:rPr>
        <w:sectPr>
          <w:footerReference r:id="rId13" w:type="default"/>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ascii="宋体" w:hAnsi="宋体" w:eastAsia="宋体" w:cs="宋体"/>
          <w:color w:val="auto"/>
          <w:spacing w:val="0"/>
          <w:sz w:val="28"/>
          <w:highlight w:val="none"/>
        </w:rPr>
        <mc:AlternateContent>
          <mc:Choice Requires="wps">
            <w:drawing>
              <wp:anchor distT="0" distB="0" distL="114300" distR="114300" simplePos="0" relativeHeight="251661312" behindDoc="0" locked="0" layoutInCell="1" allowOverlap="1">
                <wp:simplePos x="0" y="0"/>
                <wp:positionH relativeFrom="column">
                  <wp:posOffset>4389120</wp:posOffset>
                </wp:positionH>
                <wp:positionV relativeFrom="paragraph">
                  <wp:posOffset>2372995</wp:posOffset>
                </wp:positionV>
                <wp:extent cx="787400" cy="338455"/>
                <wp:effectExtent l="245745" t="5080" r="14605" b="304165"/>
                <wp:wrapNone/>
                <wp:docPr id="7" name="自选图形 51"/>
                <wp:cNvGraphicFramePr/>
                <a:graphic xmlns:a="http://schemas.openxmlformats.org/drawingml/2006/main">
                  <a:graphicData uri="http://schemas.microsoft.com/office/word/2010/wordprocessingShape">
                    <wps:wsp>
                      <wps:cNvSpPr/>
                      <wps:spPr>
                        <a:xfrm>
                          <a:off x="0" y="0"/>
                          <a:ext cx="787400" cy="338455"/>
                        </a:xfrm>
                        <a:prstGeom prst="wedgeRectCallout">
                          <a:avLst>
                            <a:gd name="adj1" fmla="val -77009"/>
                            <a:gd name="adj2" fmla="val 128426"/>
                          </a:avLst>
                        </a:prstGeom>
                        <a:noFill/>
                        <a:ln w="9525" cap="flat" cmpd="sng">
                          <a:solidFill>
                            <a:srgbClr val="000000"/>
                          </a:solidFill>
                          <a:prstDash val="solid"/>
                          <a:miter/>
                          <a:headEnd type="none" w="med" len="med"/>
                          <a:tailEnd type="none" w="med" len="med"/>
                        </a:ln>
                      </wps:spPr>
                      <wps:txbx>
                        <w:txbxContent>
                          <w:p w14:paraId="4BFA989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eastAsia="宋体"/>
                                <w:b/>
                                <w:bCs w:val="0"/>
                                <w:color w:val="auto"/>
                                <w:highlight w:val="none"/>
                                <w:lang w:val="en-US" w:eastAsia="zh-CN"/>
                              </w:rPr>
                            </w:pPr>
                            <w:r>
                              <w:rPr>
                                <w:rFonts w:hint="eastAsia"/>
                                <w:b/>
                                <w:bCs w:val="0"/>
                                <w:color w:val="auto"/>
                                <w:highlight w:val="none"/>
                                <w:lang w:val="en-US" w:eastAsia="zh-CN"/>
                              </w:rPr>
                              <w:t>本项目</w:t>
                            </w:r>
                          </w:p>
                        </w:txbxContent>
                      </wps:txbx>
                      <wps:bodyPr wrap="square" upright="1"/>
                    </wps:wsp>
                  </a:graphicData>
                </a:graphic>
              </wp:anchor>
            </w:drawing>
          </mc:Choice>
          <mc:Fallback>
            <w:pict>
              <v:shape id="自选图形 51" o:spid="_x0000_s1026" o:spt="61" type="#_x0000_t61" style="position:absolute;left:0pt;margin-left:345.6pt;margin-top:186.85pt;height:26.65pt;width:62pt;z-index:251661312;mso-width-relative:page;mso-height-relative:page;" filled="f" stroked="t" coordsize="21600,21600" o:gfxdata="UEsDBAoAAAAAAIdO4kAAAAAAAAAAAAAAAAAEAAAAZHJzL1BLAwQUAAAACACHTuJAZd68c9sAAAAL&#10;AQAADwAAAGRycy9kb3ducmV2LnhtbE2PTU/DMAyG70j8h8hI3FjSjq1rqTshpHFAXDYqJG5eE9pq&#10;jVM12Qf8esIJjrYfvX7ecn2xgziZyfeOEZKZAmG4cbrnFqF+29ytQPhArGlwbBC+jId1dX1VUqHd&#10;mbfmtAutiCHsC0LoQhgLKX3TGUt+5kbD8fbpJkshjlMr9UTnGG4HmSq1lJZ6jh86Gs1TZ5rD7mgR&#10;7CaXzy8fWtX19vudXh/zw8IGxNubRD2ACOYS/mD41Y/qUEWnvTuy9mJAWOZJGlGEeTbPQERilSzi&#10;Zo9wn2YKZFXK/x2qH1BLAwQUAAAACACHTuJACRS2e0ECAABzBAAADgAAAGRycy9lMm9Eb2MueG1s&#10;rVRNctMwFN4zwx002jd23KRJM3G6aCgbBjoUDqBIsi1Gf0hK7OzYMZyBXZfcAW7TGbgFT7JJQ9lk&#10;QRbOk/X0ve/73pOXV52SaMedF0aXeDzKMeKaGiZ0XeL3727O5hj5QDQj0mhe4j33+Gr1/NmytQte&#10;mMZIxh0CEO0XrS1xE4JdZJmnDVfEj4zlGjYr4xQJsHR1xhxpAV3JrMjzi6w1jllnKPce3q77TTwg&#10;ulMATVUJyteGbhXXoUd1XJIAknwjrMerxLaqOA1vqsrzgGSJQWlITygC8SY+s9WSLGpHbCPoQIGc&#10;QuGJJkWEhqIHqDUJBG2d+AdKCeqMN1UYUaOyXkhyBFSM8yfe3DXE8qQFrPb2YLr/f7D09e7WIcFK&#10;PMNIEwUN//n5269PXx6+/nj4fo+m42hRa/0CMu/srRtWHsKot6uciv+gBHXJ1v3BVt4FROHlbD6b&#10;5GA4ha3z8/lkOo2Y2eNh63x4yY1CMShxy1nN30LrromUZhuSsWT3yofkMBt4EvZhjFGlJDRsRyQ6&#10;m83y/HLo6FFScZw0LuaT4mKoP2ACkz8MYgFtboSUaTCkRm2JL6fFFNgTGPYKhgxCZcEwr+vEzBsp&#10;WDwSD3tXb66lQ0AIfEi/odhfabHemvimz0tbPXElAnepdsMJe6EZCnsLTdFwF3EkozjDSHK4ujFK&#10;mYEIeUom6JQajI/d7PsXo9BtOoCJ4cawPUxDC9cB5H3cEgc1t9aJuoG2pElIh2EWU/+GexOH/Xid&#10;Sjx+K1a/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GXevHPbAAAACwEAAA8AAAAAAAAAAQAgAAAA&#10;IgAAAGRycy9kb3ducmV2LnhtbFBLAQIUABQAAAAIAIdO4kAJFLZ7QQIAAHMEAAAOAAAAAAAAAAEA&#10;IAAAACoBAABkcnMvZTJvRG9jLnhtbFBLBQYAAAAABgAGAFkBAADdBQAAAAA=&#10;" adj="-5834,38540">
                <v:fill on="f" focussize="0,0"/>
                <v:stroke color="#000000" joinstyle="miter"/>
                <v:imagedata o:title=""/>
                <o:lock v:ext="edit" aspectratio="f"/>
                <v:textbox>
                  <w:txbxContent>
                    <w:p w14:paraId="4BFA989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eastAsia="宋体"/>
                          <w:b/>
                          <w:bCs w:val="0"/>
                          <w:color w:val="auto"/>
                          <w:highlight w:val="none"/>
                          <w:lang w:val="en-US" w:eastAsia="zh-CN"/>
                        </w:rPr>
                      </w:pPr>
                      <w:r>
                        <w:rPr>
                          <w:rFonts w:hint="eastAsia"/>
                          <w:b/>
                          <w:bCs w:val="0"/>
                          <w:color w:val="auto"/>
                          <w:highlight w:val="none"/>
                          <w:lang w:val="en-US" w:eastAsia="zh-CN"/>
                        </w:rPr>
                        <w:t>本项目</w:t>
                      </w:r>
                    </w:p>
                  </w:txbxContent>
                </v:textbox>
              </v:shape>
            </w:pict>
          </mc:Fallback>
        </mc:AlternateContent>
      </w:r>
      <w:r>
        <w:rPr>
          <w:rFonts w:hint="eastAsia" w:ascii="宋体" w:hAnsi="宋体" w:eastAsia="宋体" w:cs="宋体"/>
          <w:color w:val="auto"/>
          <w:spacing w:val="0"/>
          <w:sz w:val="28"/>
          <w:highlight w:val="none"/>
        </w:rPr>
        <mc:AlternateContent>
          <mc:Choice Requires="wps">
            <w:drawing>
              <wp:anchor distT="0" distB="0" distL="114300" distR="114300" simplePos="0" relativeHeight="251662336" behindDoc="0" locked="0" layoutInCell="1" allowOverlap="1">
                <wp:simplePos x="0" y="0"/>
                <wp:positionH relativeFrom="column">
                  <wp:posOffset>4011295</wp:posOffset>
                </wp:positionH>
                <wp:positionV relativeFrom="paragraph">
                  <wp:posOffset>2838450</wp:posOffset>
                </wp:positionV>
                <wp:extent cx="242570" cy="250825"/>
                <wp:effectExtent l="13970" t="16510" r="29210" b="18415"/>
                <wp:wrapNone/>
                <wp:docPr id="6" name="自选图形 52"/>
                <wp:cNvGraphicFramePr/>
                <a:graphic xmlns:a="http://schemas.openxmlformats.org/drawingml/2006/main">
                  <a:graphicData uri="http://schemas.microsoft.com/office/word/2010/wordprocessingShape">
                    <wps:wsp>
                      <wps:cNvSpPr/>
                      <wps:spPr>
                        <a:xfrm>
                          <a:off x="0" y="0"/>
                          <a:ext cx="242570" cy="250825"/>
                        </a:xfrm>
                        <a:prstGeom prst="star5">
                          <a:avLst/>
                        </a:prstGeom>
                        <a:solidFill>
                          <a:srgbClr val="FF0000"/>
                        </a:solidFill>
                        <a:ln w="9525" cap="flat" cmpd="sng">
                          <a:solidFill>
                            <a:srgbClr val="FF0000"/>
                          </a:solidFill>
                          <a:prstDash val="solid"/>
                          <a:miter/>
                          <a:headEnd type="none" w="med" len="med"/>
                          <a:tailEnd type="none" w="med" len="med"/>
                        </a:ln>
                      </wps:spPr>
                      <wps:bodyPr wrap="square" upright="1"/>
                    </wps:wsp>
                  </a:graphicData>
                </a:graphic>
              </wp:anchor>
            </w:drawing>
          </mc:Choice>
          <mc:Fallback>
            <w:pict>
              <v:shape id="自选图形 52" o:spid="_x0000_s1026" style="position:absolute;left:0pt;margin-left:315.85pt;margin-top:223.5pt;height:19.75pt;width:19.1pt;z-index:251662336;mso-width-relative:page;mso-height-relative:page;" fillcolor="#FF0000" filled="t" stroked="t" coordsize="242570,250825" o:gfxdata="UEsDBAoAAAAAAIdO4kAAAAAAAAAAAAAAAAAEAAAAZHJzL1BLAwQUAAAACACHTuJAte2hC9oAAAAL&#10;AQAADwAAAGRycy9kb3ducmV2LnhtbE2Py07DMBBF90j8gzVIbBB1AsVtQ5xKrZQNCxAFIbFz7Wkc&#10;4UcUu234e4YVLOfO0X3U68k7dsIx9TFIKGcFMAw6mj50Et7f2tslsJRVMMrFgBK+McG6ubyoVWXi&#10;ObziaZc7RiYhVUqCzXmoOE/aoldpFgcM9DvE0atM59hxM6ozmXvH74pCcK/6QAlWDbi1qL92R08h&#10;w/PBfHj99Lm52by0zk5b3Vopr6/K4hFYxin/wfBbn6pDQ5328RhMYk6CuC8XhEqYzxc0igghVitg&#10;e1KW4gF4U/P/G5ofUEsDBBQAAAAIAIdO4kBcUTbTDQIAADMEAAAOAAAAZHJzL2Uyb0RvYy54bWyt&#10;U82O0zAQviPxDpbvNGlEliVqugdKuSBYaeEBpraTWPIfttu0N26IZ+DGkXeAt1kJ3oKxU7rscumB&#10;HJwZe/zNfN+MF1d7rchO+CCtael8VlIiDLNcmr6l79+tn1xSEiIYDsoa0dKDCPRq+fjRYnSNqOxg&#10;FReeIIgJzehaOsTomqIIbBAawsw6YfCws15DRNf3BfcwIrpWRVWWF8VoPXfeMhEC7q6mQ3pE9OcA&#10;2q6TTKws22ph4oTqhYKIlMIgXaDLXG3XCRbfdl0QkaiWItOYV0yC9iatxXIBTe/BDZIdS4BzSnjA&#10;SYM0mPQEtYIIZOvlP1BaMm+D7eKMWV1MRLIiyGJePtDmZgAnMheUOriT6OH/wbI3u2tPJG/pBSUG&#10;NDb856dvvz5+vv3y4/b7V1JXSaLRhQYjb9y1P3oBzcR333md/siE7LOsh5OsYh8Jw83qaVU/Q8EZ&#10;HlV1eVnVCbO4u+x8iK+E1SQZLcXp83VWE3avQ5xi/8SkZMEqyddSqez4fvNCebIDbPF6XeJ3hL8X&#10;pgwZW/q8xuSEAc5th/OCpnbIPZg+57t3I5wHnApbQRimAjJCyg+NllEkuaAZBPCXhpN4cKivwWdF&#10;UzFacEqUwFeYrBwZQapzIlE8ZVDD1JipFcnaWH7Abo44zsjpwxY8Jto6L/sBZZ1nWVIczlLW/zj3&#10;aVj/9jPu3Vtf/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17aEL2gAAAAsBAAAPAAAAAAAAAAEA&#10;IAAAACIAAABkcnMvZG93bnJldi54bWxQSwECFAAUAAAACACHTuJAXFE20w0CAAAzBAAADgAAAAAA&#10;AAABACAAAAApAQAAZHJzL2Uyb0RvYy54bWxQSwUGAAAAAAYABgBZAQAAqAUAAAAA&#10;" path="m0,95806l92654,95807,121285,0,149915,95807,242569,95806,167610,155017,196243,250824,121285,191611,46326,250824,74959,155017xe">
                <v:path o:connectlocs="121285,0;0,95806;46326,250824;196243,250824;242569,95806" o:connectangles="247,164,82,82,0"/>
                <v:fill on="t" focussize="0,0"/>
                <v:stroke color="#FF0000" joinstyle="miter"/>
                <v:imagedata o:title=""/>
                <o:lock v:ext="edit" aspectratio="f"/>
              </v:shape>
            </w:pict>
          </mc:Fallback>
        </mc:AlternateContent>
      </w:r>
      <w:r>
        <w:rPr>
          <w:rFonts w:hint="eastAsia" w:ascii="宋体" w:hAnsi="宋体" w:eastAsia="宋体" w:cs="宋体"/>
          <w:color w:val="auto"/>
          <w:spacing w:val="0"/>
          <w:highlight w:val="none"/>
        </w:rPr>
        <w:pict>
          <v:shape id="Object 53" o:spid="_x0000_s1077" o:spt="75" type="#_x0000_t75" style="position:absolute;left:0pt;margin-left:36.15pt;margin-top:373.9pt;height:47.25pt;width:111pt;z-index:251663360;mso-width-relative:page;mso-height-relative:page;" o:ole="t" filled="f" o:preferrelative="t" stroked="f" coordsize="21600,21600">
            <v:path/>
            <v:fill on="f" focussize="0,0"/>
            <v:stroke on="f"/>
            <v:imagedata r:id="rId47" o:title=""/>
            <o:lock v:ext="edit" aspectratio="f"/>
          </v:shape>
          <o:OLEObject Type="Embed" ProgID="Visio.Drawing.15" ShapeID="Object 53" DrawAspect="Content" ObjectID="_1468075734" r:id="rId46">
            <o:LockedField>false</o:LockedField>
          </o:OLEObject>
        </w:pict>
      </w:r>
      <w:r>
        <w:rPr>
          <w:color w:val="auto"/>
          <w:highlight w:val="none"/>
        </w:rPr>
        <w:drawing>
          <wp:inline distT="0" distB="0" distL="114300" distR="114300">
            <wp:extent cx="7405370" cy="5393055"/>
            <wp:effectExtent l="0" t="0" r="5080" b="17145"/>
            <wp:docPr id="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pic:cNvPicPr>
                      <a:picLocks noChangeAspect="1"/>
                    </pic:cNvPicPr>
                  </pic:nvPicPr>
                  <pic:blipFill>
                    <a:blip r:embed="rId48"/>
                    <a:stretch>
                      <a:fillRect/>
                    </a:stretch>
                  </pic:blipFill>
                  <pic:spPr>
                    <a:xfrm>
                      <a:off x="0" y="0"/>
                      <a:ext cx="7405370" cy="5393055"/>
                    </a:xfrm>
                    <a:prstGeom prst="rect">
                      <a:avLst/>
                    </a:prstGeom>
                    <a:noFill/>
                    <a:ln>
                      <a:noFill/>
                    </a:ln>
                  </pic:spPr>
                </pic:pic>
              </a:graphicData>
            </a:graphic>
          </wp:inline>
        </w:drawing>
      </w:r>
    </w:p>
    <w:p w14:paraId="2E2C75C5">
      <w:pPr>
        <w:pStyle w:val="4"/>
        <w:spacing w:line="360" w:lineRule="auto"/>
        <w:jc w:val="left"/>
        <w:rPr>
          <w:rFonts w:hint="eastAsia" w:ascii="宋体" w:hAnsi="宋体" w:eastAsia="宋体" w:cs="宋体"/>
          <w:b/>
          <w:bCs/>
          <w:color w:val="auto"/>
          <w:spacing w:val="0"/>
          <w:sz w:val="24"/>
          <w:szCs w:val="24"/>
          <w:highlight w:val="none"/>
          <w:lang w:eastAsia="zh-CN"/>
        </w:rPr>
      </w:pPr>
      <w:bookmarkStart w:id="24" w:name="_Toc25676"/>
      <w:r>
        <w:rPr>
          <w:rFonts w:hint="eastAsia" w:ascii="宋体" w:hAnsi="宋体" w:eastAsia="宋体" w:cs="宋体"/>
          <w:b/>
          <w:bCs/>
          <w:color w:val="auto"/>
          <w:spacing w:val="0"/>
          <w:sz w:val="24"/>
          <w:szCs w:val="24"/>
          <w:highlight w:val="none"/>
        </w:rPr>
        <w:t>附图</w:t>
      </w:r>
      <w:r>
        <w:rPr>
          <w:rFonts w:hint="eastAsia" w:ascii="宋体" w:hAnsi="宋体" w:eastAsia="宋体" w:cs="宋体"/>
          <w:b/>
          <w:bCs/>
          <w:color w:val="auto"/>
          <w:spacing w:val="0"/>
          <w:sz w:val="24"/>
          <w:szCs w:val="24"/>
          <w:highlight w:val="none"/>
          <w:lang w:val="en-US" w:eastAsia="zh-CN"/>
        </w:rPr>
        <w:t>2</w:t>
      </w:r>
      <w:r>
        <w:rPr>
          <w:rFonts w:hint="eastAsia" w:ascii="宋体" w:hAnsi="宋体" w:eastAsia="宋体" w:cs="宋体"/>
          <w:b/>
          <w:bCs/>
          <w:color w:val="auto"/>
          <w:spacing w:val="0"/>
          <w:sz w:val="24"/>
          <w:szCs w:val="24"/>
          <w:highlight w:val="none"/>
        </w:rPr>
        <w:t xml:space="preserve"> </w:t>
      </w:r>
      <w:r>
        <w:rPr>
          <w:rFonts w:hint="eastAsia" w:ascii="宋体" w:hAnsi="宋体" w:eastAsia="宋体" w:cs="宋体"/>
          <w:b/>
          <w:bCs/>
          <w:color w:val="auto"/>
          <w:spacing w:val="0"/>
          <w:sz w:val="24"/>
          <w:szCs w:val="24"/>
          <w:highlight w:val="none"/>
          <w:lang w:val="en-US" w:eastAsia="zh-CN"/>
        </w:rPr>
        <w:t>锅炉总</w:t>
      </w:r>
      <w:r>
        <w:rPr>
          <w:rFonts w:hint="eastAsia" w:ascii="宋体" w:hAnsi="宋体" w:eastAsia="宋体" w:cs="宋体"/>
          <w:b/>
          <w:bCs/>
          <w:color w:val="auto"/>
          <w:spacing w:val="0"/>
          <w:sz w:val="24"/>
          <w:szCs w:val="24"/>
          <w:highlight w:val="none"/>
        </w:rPr>
        <w:t>平面布置图</w:t>
      </w:r>
      <w:bookmarkEnd w:id="24"/>
    </w:p>
    <w:p w14:paraId="544DCD13">
      <w:pPr>
        <w:pStyle w:val="20"/>
        <w:ind w:left="0" w:leftChars="0" w:firstLine="0" w:firstLineChars="0"/>
        <w:jc w:val="center"/>
        <w:rPr>
          <w:color w:val="auto"/>
          <w:highlight w:val="none"/>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sz w:val="28"/>
          <w:highlight w:val="none"/>
        </w:rPr>
        <mc:AlternateContent>
          <mc:Choice Requires="wps">
            <w:drawing>
              <wp:anchor distT="0" distB="0" distL="114300" distR="114300" simplePos="0" relativeHeight="251679744" behindDoc="0" locked="0" layoutInCell="1" allowOverlap="1">
                <wp:simplePos x="0" y="0"/>
                <wp:positionH relativeFrom="column">
                  <wp:posOffset>5886450</wp:posOffset>
                </wp:positionH>
                <wp:positionV relativeFrom="paragraph">
                  <wp:posOffset>4890770</wp:posOffset>
                </wp:positionV>
                <wp:extent cx="549275" cy="6985"/>
                <wp:effectExtent l="0" t="0" r="0" b="0"/>
                <wp:wrapNone/>
                <wp:docPr id="43" name="直接连接符 43"/>
                <wp:cNvGraphicFramePr/>
                <a:graphic xmlns:a="http://schemas.openxmlformats.org/drawingml/2006/main">
                  <a:graphicData uri="http://schemas.microsoft.com/office/word/2010/wordprocessingShape">
                    <wps:wsp>
                      <wps:cNvCnPr/>
                      <wps:spPr>
                        <a:xfrm flipV="1">
                          <a:off x="7146290" y="6071870"/>
                          <a:ext cx="549275" cy="6985"/>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463.5pt;margin-top:385.1pt;height:0.55pt;width:43.25pt;z-index:251679744;mso-width-relative:page;mso-height-relative:page;" filled="f" stroked="t" coordsize="21600,21600" o:gfxdata="UEsDBAoAAAAAAIdO4kAAAAAAAAAAAAAAAAAEAAAAZHJzL1BLAwQUAAAACACHTuJADhmQ7dcAAAAM&#10;AQAADwAAAGRycy9kb3ducmV2LnhtbE2PwU7DMBBE70j8g7VI3KidhBKaxukBxIELUlO4u/E2jojX&#10;Uewk5e9xTnCcndHsm/JwtT2bcfSdIwnJRgBDapzuqJXweXp7eAbmgyKtekco4Qc9HKrbm1IV2i10&#10;xLkOLYsl5AslwYQwFJz7xqBVfuMGpOhd3GhViHJsuR7VEsttz1MhnrhVHcUPRg34YrD5ricr4Yuy&#10;yb1vXx/FXB8HlV0+lsWglPd3idgDC3gNf2FY8SM6VJHp7CbSnvUSdmketwQJeS5SYGtCJNkW2Hk9&#10;JRnwquT/R1S/UEsDBBQAAAAIAIdO4kDwzZI88wEAALUDAAAOAAAAZHJzL2Uyb0RvYy54bWytU0uO&#10;1DAQ3SNxB8t7OunQ36jTs5hWs0HQEp+927ETS/7J5el0X4ILILGDFUv2cxuGY1BOwgDDZhZkYdlV&#10;z6/qPVc2V2ejyUkEUM5WdDrJKRGWu1rZpqLv3u6frSiByGzNtLOiohcB9Gr79Mmm86UoXOt0LQJB&#10;Egtl5yvaxujLLAPeCsNg4rywmJQuGBbxGJqsDqxDdqOzIs8XWedC7YPjAgCjuyFJR8bwGEInpeJi&#10;5/iNETYOrEFoFlEStMoD3fbdSil4fC0liEh0RVFp7FcsgvtjWrPthpVNYL5VfGyBPaaFB5oMUxaL&#10;3lPtWGTkJqh/qIziwYGTccKdyQYhvSOoYpo/8OZNy7zotaDV4O9Nh/9Hy1+dDoGouqKz55RYZvDF&#10;7z5++/7h84/bT7jeff1CMIM2dR5KRF/bQxhP4A8haT7LYIjUyr/HeepdQF3kXNHldLYo1mj1paKL&#10;fDldLUfDxTkSjoD5bF0s55TwBFiv5qlONhAmYh8gvhDOkLSpqFY2ucFKdnoJcYD+gqSwdXulNcZZ&#10;qS3pKlrMZzlW5wzHVOJ44NZ4lAq2oYTpBuefx9BTgtOqTtfTbQjN8VoHcmI4Nft9jt/Y2V+wVHvH&#10;oB1wfWqEaYs6kmGDRWl3dPWld66P42v2SsfJS+Py57m//ftv2/4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DhmQ7dcAAAAMAQAADwAAAAAAAAABACAAAAAiAAAAZHJzL2Rvd25yZXYueG1sUEsBAhQA&#10;FAAAAAgAh07iQPDNkjzzAQAAtQMAAA4AAAAAAAAAAQAgAAAAJgEAAGRycy9lMm9Eb2MueG1sUEsF&#10;BgAAAAAGAAYAWQEAAIsFAAAAAA==&#10;">
                <v:fill on="f" focussize="0,0"/>
                <v:stroke weight="2pt" color="#FF0000 [3204]" joinstyle="round"/>
                <v:imagedata o:title=""/>
                <o:lock v:ext="edit" aspectratio="f"/>
              </v:line>
            </w:pict>
          </mc:Fallback>
        </mc:AlternateContent>
      </w:r>
      <w:r>
        <w:rPr>
          <w:color w:val="auto"/>
          <w:sz w:val="28"/>
          <w:highlight w:val="none"/>
        </w:rPr>
        <mc:AlternateContent>
          <mc:Choice Requires="wps">
            <w:drawing>
              <wp:anchor distT="0" distB="0" distL="114300" distR="114300" simplePos="0" relativeHeight="251677696" behindDoc="0" locked="0" layoutInCell="1" allowOverlap="1">
                <wp:simplePos x="0" y="0"/>
                <wp:positionH relativeFrom="column">
                  <wp:posOffset>5878830</wp:posOffset>
                </wp:positionH>
                <wp:positionV relativeFrom="paragraph">
                  <wp:posOffset>4697095</wp:posOffset>
                </wp:positionV>
                <wp:extent cx="549910" cy="0"/>
                <wp:effectExtent l="0" t="12700" r="0" b="15875"/>
                <wp:wrapNone/>
                <wp:docPr id="22" name="直接连接符 22"/>
                <wp:cNvGraphicFramePr/>
                <a:graphic xmlns:a="http://schemas.openxmlformats.org/drawingml/2006/main">
                  <a:graphicData uri="http://schemas.microsoft.com/office/word/2010/wordprocessingShape">
                    <wps:wsp>
                      <wps:cNvCnPr/>
                      <wps:spPr>
                        <a:xfrm>
                          <a:off x="7153910" y="5915025"/>
                          <a:ext cx="549910" cy="0"/>
                        </a:xfrm>
                        <a:prstGeom prst="line">
                          <a:avLst/>
                        </a:prstGeom>
                        <a:ln>
                          <a:solidFill>
                            <a:schemeClr val="tx1"/>
                          </a:solidFill>
                          <a:prstDash val="dashDot"/>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62.9pt;margin-top:369.85pt;height:0pt;width:43.3pt;z-index:251677696;mso-width-relative:page;mso-height-relative:page;" filled="f" stroked="t" coordsize="21600,21600" o:gfxdata="UEsDBAoAAAAAAIdO4kAAAAAAAAAAAAAAAAAEAAAAZHJzL1BLAwQUAAAACACHTuJAEEmNNdkAAAAM&#10;AQAADwAAAGRycy9kb3ducmV2LnhtbE2PwW7CMBBE75X4B2uRuFTFTmgaSONwQEJVq16gfICJlzhq&#10;vI5iA+nf10iVynFnRzNvyvVoO3bBwbeOJCRzAQypdrqlRsLha/u0BOaDIq06RyjhBz2sq8lDqQrt&#10;rrTDyz40LIaQL5QEE0JfcO5rg1b5ueuR4u/kBqtCPIeG60FdY7jteCrEC7eqpdhgVI8bg/X3/mwl&#10;9G/vTZ4JHXabjEbzuRCHxw8h5WyaiFdgAcfwb4YbfkSHKjId3Zm0Z52EVZpF9CAhX6xyYDeHSNJn&#10;YMc/iVclvx9R/QJQSwMEFAAAAAgAh07iQAjtsVzoAQAAqgMAAA4AAABkcnMvZTJvRG9jLnhtbK1T&#10;S47UMBDdI3EHy3s6HyYwHXV6FhMNGwQtwRzA7TiJJf/k8nS6L8EFkNjBiiV7bsNwDMpOmIFhMwuy&#10;cMqul1f1niubi6NW5CA8SGsaWqxySoThtpNmaOj1+6tn55RAYKZjyhrR0JMAerF9+mQzuVqUdrSq&#10;E54giYF6cg0dQ3B1lgEfhWawsk4YTPbWaxZw64es82xCdq2yMs9fZJP1nfOWCwA8beckXRj9Ywht&#10;30suWstvtDBhZvVCsYCSYJQO6DZ12/eCh7d9DyIQ1VBUGtKKRTDexzXbblg9eOZGyZcW2GNaeKBJ&#10;M2mw6B1VywIjN17+Q6Ul9xZsH1bc6mwWkhxBFUX+wJt3I3MiaUGrwd2ZDv+Plr857DyRXUPLkhLD&#10;NN747cdvPz58/vn9E663X78QzKBNk4Ma0Zdm55cduJ2Pmo+91/GNasixoS+L6vm6QINPDa3WRZWX&#10;1WyzOAbCEVCdrVOeIyDdQHbP4TyEV8JqEoOGKmmiAaxmh9cQsC5Cf0PisbFXUql0icqQCVVUZzmW&#10;5gwns8eJwFA7VAdmoISpAUeeB58owSrZxc8jEfhhf6k8ObA4KOmJTWO5v2CxdstgnHEdRq0NC1AZ&#10;xEeXZl9itLfdKdmVzvEKE+MybnFG/tynr+9/se0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EEmN&#10;NdkAAAAMAQAADwAAAAAAAAABACAAAAAiAAAAZHJzL2Rvd25yZXYueG1sUEsBAhQAFAAAAAgAh07i&#10;QAjtsVzoAQAAqgMAAA4AAAAAAAAAAQAgAAAAKAEAAGRycy9lMm9Eb2MueG1sUEsFBgAAAAAGAAYA&#10;WQEAAIIFAAAAAA==&#10;">
                <v:fill on="f" focussize="0,0"/>
                <v:stroke weight="2pt" color="#000000 [3213]" joinstyle="round" dashstyle="dashDot"/>
                <v:imagedata o:title=""/>
                <o:lock v:ext="edit" aspectratio="f"/>
              </v:line>
            </w:pict>
          </mc:Fallback>
        </mc:AlternateContent>
      </w:r>
      <w:r>
        <w:rPr>
          <w:color w:val="auto"/>
          <w:sz w:val="28"/>
          <w:highlight w:val="none"/>
        </w:rPr>
        <mc:AlternateContent>
          <mc:Choice Requires="wps">
            <w:drawing>
              <wp:anchor distT="0" distB="0" distL="114300" distR="114300" simplePos="0" relativeHeight="251676672" behindDoc="0" locked="0" layoutInCell="1" allowOverlap="1">
                <wp:simplePos x="0" y="0"/>
                <wp:positionH relativeFrom="column">
                  <wp:posOffset>5559425</wp:posOffset>
                </wp:positionH>
                <wp:positionV relativeFrom="paragraph">
                  <wp:posOffset>4356735</wp:posOffset>
                </wp:positionV>
                <wp:extent cx="2155190" cy="930275"/>
                <wp:effectExtent l="4445" t="5080" r="12065" b="17145"/>
                <wp:wrapNone/>
                <wp:docPr id="20" name="文本框 20"/>
                <wp:cNvGraphicFramePr/>
                <a:graphic xmlns:a="http://schemas.openxmlformats.org/drawingml/2006/main">
                  <a:graphicData uri="http://schemas.microsoft.com/office/word/2010/wordprocessingShape">
                    <wps:wsp>
                      <wps:cNvSpPr txBox="1"/>
                      <wps:spPr>
                        <a:xfrm>
                          <a:off x="6899910" y="5841365"/>
                          <a:ext cx="2155190" cy="930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810FEC6">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lang w:val="en-US" w:eastAsia="zh-CN"/>
                              </w:rPr>
                            </w:pPr>
                            <w:r>
                              <w:rPr>
                                <w:rFonts w:hint="eastAsia"/>
                                <w:lang w:val="en-US" w:eastAsia="zh-CN"/>
                              </w:rPr>
                              <w:t>图例</w:t>
                            </w:r>
                          </w:p>
                          <w:p w14:paraId="3B1E4329">
                            <w:pPr>
                              <w:keepNext w:val="0"/>
                              <w:keepLines w:val="0"/>
                              <w:pageBreakBefore w:val="0"/>
                              <w:widowControl w:val="0"/>
                              <w:kinsoku/>
                              <w:wordWrap/>
                              <w:overflowPunct/>
                              <w:topLinePunct w:val="0"/>
                              <w:bidi w:val="0"/>
                              <w:adjustRightInd w:val="0"/>
                              <w:snapToGrid w:val="0"/>
                              <w:spacing w:line="240" w:lineRule="auto"/>
                              <w:ind w:firstLine="960" w:firstLineChars="400"/>
                              <w:jc w:val="center"/>
                              <w:textAlignment w:val="auto"/>
                              <w:rPr>
                                <w:rFonts w:hint="eastAsia"/>
                                <w:lang w:val="en-US" w:eastAsia="zh-CN"/>
                              </w:rPr>
                            </w:pPr>
                            <w:r>
                              <w:rPr>
                                <w:rFonts w:hint="eastAsia"/>
                                <w:lang w:val="en-US" w:eastAsia="zh-CN"/>
                              </w:rPr>
                              <w:t>本项目厂界</w:t>
                            </w:r>
                          </w:p>
                          <w:p w14:paraId="69DD3C20">
                            <w:pPr>
                              <w:keepNext w:val="0"/>
                              <w:keepLines w:val="0"/>
                              <w:pageBreakBefore w:val="0"/>
                              <w:widowControl w:val="0"/>
                              <w:kinsoku/>
                              <w:wordWrap/>
                              <w:overflowPunct/>
                              <w:topLinePunct w:val="0"/>
                              <w:bidi w:val="0"/>
                              <w:adjustRightInd w:val="0"/>
                              <w:snapToGrid w:val="0"/>
                              <w:spacing w:line="240" w:lineRule="auto"/>
                              <w:ind w:firstLine="960" w:firstLineChars="400"/>
                              <w:jc w:val="center"/>
                              <w:textAlignment w:val="auto"/>
                              <w:rPr>
                                <w:rFonts w:hint="default"/>
                                <w:lang w:val="en-US" w:eastAsia="zh-CN"/>
                              </w:rPr>
                            </w:pPr>
                            <w:r>
                              <w:rPr>
                                <w:rFonts w:hint="eastAsia"/>
                                <w:lang w:val="en-US" w:eastAsia="zh-CN"/>
                              </w:rPr>
                              <w:t xml:space="preserve">   本项新建锅炉房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7.75pt;margin-top:343.05pt;height:73.25pt;width:169.7pt;z-index:251676672;mso-width-relative:page;mso-height-relative:page;" fillcolor="#FFFFFF [3201]" filled="t" stroked="t" coordsize="21600,21600" o:gfxdata="UEsDBAoAAAAAAIdO4kAAAAAAAAAAAAAAAAAEAAAAZHJzL1BLAwQUAAAACACHTuJAcD2S7dgAAAAM&#10;AQAADwAAAGRycy9kb3ducmV2LnhtbE2Py07DMBBF90j8gzVI7KjzoCakcSqBhITYUbJh58bTJKo9&#10;jmy3KX+Pu4Ll6B7de6bZXqxhZ/RhciQhX2XAkHqnJxokdF9vDxWwEBVpZRyhhB8MsG1vbxpVa7fQ&#10;J553cWCphEKtJIwxzjXnoR/RqrByM1LKDs5bFdPpB669WlK5NbzIMsGtmigtjGrG1xH74+5kJbyL&#10;l/iNnf7QZVG6peO9P5gg5f1dnm2ARbzEPxiu+kkd2uS0dyfSgRkJ1dN6nVAJohI5sCtR5I/PwPYp&#10;KwsBvG34/yfaX1BLAwQUAAAACACHTuJA0TUOXGYCAADFBAAADgAAAGRycy9lMm9Eb2MueG1srVTN&#10;bhMxEL4j8Q6W73SzadImUTdVaBWEVNFKBXF2vN6shdc2tpPd8gDwBpy4cOe5+hx89ib95dADOThj&#10;z5dvZr6Zyclp1yiyFc5LowuaHwwoEZqbUup1QT99XL6ZUOID0yVTRouC3ghPT+evX520diaGpjaq&#10;FI6ARPtZawtah2BnWeZ5LRrmD4wVGs7KuIYFXN06Kx1rwd6obDgYHGWtcaV1hgvv8XreO+mO0b2E&#10;0FSV5OLc8E0jdOhZnVAsoCRfS+vpPGVbVYKHy6ryIhBVUFQa0okgsFfxzOYnbLZ2zNaS71JgL0nh&#10;SU0NkxpB76jOWWBk4+QzqkZyZ7ypwgE3TdYXkhRBFfngiTbXNbMi1QKpvb0T3f8/Wv5he+WILAs6&#10;hCSaNej47c8ft7/+3P7+TvAGgVrrZ8BdWyBD99Z0GJv9u8djrLurXBO/URGB/2gynU5zMN4UdDwZ&#10;5YdH415q0QXCARjm43E+BYADMT0cDI8TILtnss6Hd8I0JBoFdWhlUphtL3xAVoDuITGwN0qWS6lU&#10;urj16kw5smVo+zJ9Ynj85BFMadIi18PxIDE/8kXuO4qVYvzLcwbwKQ3aKFAvRLRCt+p2qq1MeQPR&#10;nOnnzlu+lOC9YD5cMYdBgwBYxXCJo1IGyZidRUlt3Ld/vUc8+g8vJS0Gt6D+64Y5QYl6rzEZ03w0&#10;Am1Il9H4OPbVPfSsHnr0pjkzECnH0luezIgPam9WzjSfsbGLGBUupjliFzTszbPQrxM2novFIoEw&#10;25aFC31teaSOLdFmsQmmkql1UaZem516mO7Unt0mxvV5eE+o+3+f+V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wPZLt2AAAAAwBAAAPAAAAAAAAAAEAIAAAACIAAABkcnMvZG93bnJldi54bWxQSwEC&#10;FAAUAAAACACHTuJA0TUOXGYCAADFBAAADgAAAAAAAAABACAAAAAnAQAAZHJzL2Uyb0RvYy54bWxQ&#10;SwUGAAAAAAYABgBZAQAA/wUAAAAA&#10;">
                <v:fill on="t" focussize="0,0"/>
                <v:stroke weight="0.5pt" color="#000000 [3204]" joinstyle="round"/>
                <v:imagedata o:title=""/>
                <o:lock v:ext="edit" aspectratio="f"/>
                <v:textbox>
                  <w:txbxContent>
                    <w:p w14:paraId="1810FEC6">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lang w:val="en-US" w:eastAsia="zh-CN"/>
                        </w:rPr>
                      </w:pPr>
                      <w:r>
                        <w:rPr>
                          <w:rFonts w:hint="eastAsia"/>
                          <w:lang w:val="en-US" w:eastAsia="zh-CN"/>
                        </w:rPr>
                        <w:t>图例</w:t>
                      </w:r>
                    </w:p>
                    <w:p w14:paraId="3B1E4329">
                      <w:pPr>
                        <w:keepNext w:val="0"/>
                        <w:keepLines w:val="0"/>
                        <w:pageBreakBefore w:val="0"/>
                        <w:widowControl w:val="0"/>
                        <w:kinsoku/>
                        <w:wordWrap/>
                        <w:overflowPunct/>
                        <w:topLinePunct w:val="0"/>
                        <w:bidi w:val="0"/>
                        <w:adjustRightInd w:val="0"/>
                        <w:snapToGrid w:val="0"/>
                        <w:spacing w:line="240" w:lineRule="auto"/>
                        <w:ind w:firstLine="960" w:firstLineChars="400"/>
                        <w:jc w:val="center"/>
                        <w:textAlignment w:val="auto"/>
                        <w:rPr>
                          <w:rFonts w:hint="eastAsia"/>
                          <w:lang w:val="en-US" w:eastAsia="zh-CN"/>
                        </w:rPr>
                      </w:pPr>
                      <w:r>
                        <w:rPr>
                          <w:rFonts w:hint="eastAsia"/>
                          <w:lang w:val="en-US" w:eastAsia="zh-CN"/>
                        </w:rPr>
                        <w:t>本项目厂界</w:t>
                      </w:r>
                    </w:p>
                    <w:p w14:paraId="69DD3C20">
                      <w:pPr>
                        <w:keepNext w:val="0"/>
                        <w:keepLines w:val="0"/>
                        <w:pageBreakBefore w:val="0"/>
                        <w:widowControl w:val="0"/>
                        <w:kinsoku/>
                        <w:wordWrap/>
                        <w:overflowPunct/>
                        <w:topLinePunct w:val="0"/>
                        <w:bidi w:val="0"/>
                        <w:adjustRightInd w:val="0"/>
                        <w:snapToGrid w:val="0"/>
                        <w:spacing w:line="240" w:lineRule="auto"/>
                        <w:ind w:firstLine="960" w:firstLineChars="400"/>
                        <w:jc w:val="center"/>
                        <w:textAlignment w:val="auto"/>
                        <w:rPr>
                          <w:rFonts w:hint="default"/>
                          <w:lang w:val="en-US" w:eastAsia="zh-CN"/>
                        </w:rPr>
                      </w:pPr>
                      <w:r>
                        <w:rPr>
                          <w:rFonts w:hint="eastAsia"/>
                          <w:lang w:val="en-US" w:eastAsia="zh-CN"/>
                        </w:rPr>
                        <w:t xml:space="preserve">   本项新建锅炉房</w:t>
                      </w:r>
                    </w:p>
                  </w:txbxContent>
                </v:textbox>
              </v:shape>
            </w:pict>
          </mc:Fallback>
        </mc:AlternateContent>
      </w:r>
      <w:r>
        <w:rPr>
          <w:color w:val="auto"/>
          <w:sz w:val="28"/>
          <w:highlight w:val="none"/>
        </w:rPr>
        <mc:AlternateContent>
          <mc:Choice Requires="wps">
            <w:drawing>
              <wp:anchor distT="0" distB="0" distL="114300" distR="114300" simplePos="0" relativeHeight="251678720" behindDoc="0" locked="0" layoutInCell="1" allowOverlap="1">
                <wp:simplePos x="0" y="0"/>
                <wp:positionH relativeFrom="column">
                  <wp:posOffset>1891665</wp:posOffset>
                </wp:positionH>
                <wp:positionV relativeFrom="paragraph">
                  <wp:posOffset>4528185</wp:posOffset>
                </wp:positionV>
                <wp:extent cx="174625" cy="299085"/>
                <wp:effectExtent l="62230" t="34290" r="67945" b="47625"/>
                <wp:wrapNone/>
                <wp:docPr id="26" name="矩形 26"/>
                <wp:cNvGraphicFramePr/>
                <a:graphic xmlns:a="http://schemas.openxmlformats.org/drawingml/2006/main">
                  <a:graphicData uri="http://schemas.microsoft.com/office/word/2010/wordprocessingShape">
                    <wps:wsp>
                      <wps:cNvSpPr/>
                      <wps:spPr>
                        <a:xfrm rot="20280000">
                          <a:off x="2977515" y="5749290"/>
                          <a:ext cx="174625" cy="29908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8.95pt;margin-top:356.55pt;height:23.55pt;width:13.75pt;rotation:-1441792f;z-index:251678720;v-text-anchor:middle;mso-width-relative:page;mso-height-relative:page;" filled="f" stroked="t" coordsize="21600,21600" o:gfxdata="UEsDBAoAAAAAAIdO4kAAAAAAAAAAAAAAAAAEAAAAZHJzL1BLAwQUAAAACACHTuJAlzZ6Z9kAAAAL&#10;AQAADwAAAGRycy9kb3ducmV2LnhtbE2PsU7DMBCGdyTewTokNmo7hbQNcTqUMmRsQYLRTdw4EJ+j&#10;2EnK23NMdLy7T/99f769uI5NZgitRwVyIYAZrHzdYqPg/e31YQ0sRI217jwaBT8mwLa4vcl1VvsZ&#10;D2Y6xoZRCIZMK7Ax9hnnobLG6bDwvUG6nf3gdKRxaHg96JnCXccTIVLudIv0were7Kypvo+jU1Ci&#10;tOk89R+iHEt5qF72X5+7vVL3d1I8A4vmEv9h+NMndSjI6eRHrAPrFCSb1YZQBSu5lMCIWCZPj8BO&#10;tElFArzI+XWH4hdQSwMEFAAAAAgAh07iQCYiXrNzAgAA0AQAAA4AAABkcnMvZTJvRG9jLnhtbK1U&#10;S27bMBDdF+gdCO5ryYIdx0bkwLDhokDQBEiLrmmKsgTwV5K2nF6mQHc9RI9T9Bp9pJRP0y6yqBfC&#10;DGf4Zt7jjC8uT0qSo3C+Nbqk41FOidDcVK3el/Tjh+2bc0p8YLpi0mhR0jvh6eXy9auLzi5EYRoj&#10;K+EIQLRfdLakTQh2kWWeN0IxPzJWaARr4xQLcN0+qxzrgK5kVuT5WdYZV1lnuPAep5s+SAdE9xJA&#10;U9ctFxvDD0ro0KM6IVkAJd+01tNl6rauBQ/Xde1FILKkYBrSF0Vg7+I3W16wxd4x27R8aIG9pIVn&#10;nBRrNYo+QG1YYOTg2r+gVMud8aYOI25U1hNJioDFOH+mzW3DrEhcILW3D6L7/wfL3x9vHGmrkhZn&#10;lGim8OK/vn7/+eMbwQHU6axfIOnW3rjB8zAj1VPtFHEGkhZ5cZ7jlxQAJ3LC2Xw2m46nlNyVdDqb&#10;zIv5ILY4BcKRMJ5NzgrEORKK+Tw/n8ZyWY8b8a3z4a0wikSjpA5vmQqw45UPfep9SkzXZttKiXO2&#10;kJp0AJ1O0BLhDENaYzhgKguiXu8pYXKP6efBJUhvZFvF6/G2d/vdWjpyZJiZ7TYR68v9kRZrb5hv&#10;+rwUGghIDR5Rt16paO1MdQedk1royVu+bXH/ivlwwxwmDofYyXCNTy0NujeDRUlj3Jd/ncd8DAKi&#10;lHSYYDD7fGBOUCLfaYzIfDyZADYkZzKdFXDc08juaUQf1NqA8Dh1l8yYH+S9WTujPmF1V7EqQkxz&#10;1O41HJx16DcLy8/FapXSMOaWhSt9a3kE719qdQimbtMjPqoziIZBT2MwLGXcpKd+ynr8I1r+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Jc2emfZAAAACwEAAA8AAAAAAAAAAQAgAAAAIgAAAGRycy9k&#10;b3ducmV2LnhtbFBLAQIUABQAAAAIAIdO4kAmIl6zcwIAANAEAAAOAAAAAAAAAAEAIAAAACgBAABk&#10;cnMvZTJvRG9jLnhtbFBLBQYAAAAABgAGAFkBAAANBgAAAAA=&#10;">
                <v:fill on="f" focussize="0,0"/>
                <v:stroke weight="2pt" color="#FF0000 [2404]" joinstyle="round"/>
                <v:imagedata o:title=""/>
                <o:lock v:ext="edit" aspectratio="f"/>
              </v:rect>
            </w:pict>
          </mc:Fallback>
        </mc:AlternateContent>
      </w:r>
      <w:r>
        <w:rPr>
          <w:color w:val="auto"/>
          <w:highlight w:val="none"/>
        </w:rPr>
        <w:drawing>
          <wp:inline distT="0" distB="0" distL="114300" distR="114300">
            <wp:extent cx="7944485" cy="5221605"/>
            <wp:effectExtent l="0" t="0" r="18415" b="17145"/>
            <wp:docPr id="13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6"/>
                    <pic:cNvPicPr>
                      <a:picLocks noChangeAspect="1"/>
                    </pic:cNvPicPr>
                  </pic:nvPicPr>
                  <pic:blipFill>
                    <a:blip r:embed="rId49"/>
                    <a:stretch>
                      <a:fillRect/>
                    </a:stretch>
                  </pic:blipFill>
                  <pic:spPr>
                    <a:xfrm>
                      <a:off x="0" y="0"/>
                      <a:ext cx="7944485" cy="5221605"/>
                    </a:xfrm>
                    <a:prstGeom prst="rect">
                      <a:avLst/>
                    </a:prstGeom>
                    <a:noFill/>
                    <a:ln>
                      <a:noFill/>
                    </a:ln>
                  </pic:spPr>
                </pic:pic>
              </a:graphicData>
            </a:graphic>
          </wp:inline>
        </w:drawing>
      </w:r>
    </w:p>
    <w:p w14:paraId="086F2CE1">
      <w:pPr>
        <w:pStyle w:val="2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both"/>
        <w:textAlignment w:val="auto"/>
        <w:outlineLvl w:val="0"/>
        <w:rPr>
          <w:rFonts w:hint="eastAsia"/>
          <w:b/>
          <w:bCs w:val="0"/>
          <w:color w:val="auto"/>
          <w:highlight w:val="none"/>
          <w:lang w:val="en-US" w:eastAsia="zh-CN"/>
        </w:rPr>
      </w:pPr>
      <w:bookmarkStart w:id="25" w:name="_Toc27122"/>
      <w:r>
        <w:rPr>
          <w:rFonts w:hint="eastAsia"/>
          <w:b/>
          <w:bCs w:val="0"/>
          <w:color w:val="auto"/>
          <w:highlight w:val="none"/>
          <w:lang w:val="en-US" w:eastAsia="zh-CN"/>
        </w:rPr>
        <w:t>附件3 锅炉房平面布置图</w:t>
      </w:r>
      <w:bookmarkEnd w:id="25"/>
    </w:p>
    <w:p w14:paraId="11356303">
      <w:pPr>
        <w:pStyle w:val="20"/>
        <w:ind w:left="0" w:leftChars="0" w:firstLine="0" w:firstLineChars="0"/>
        <w:jc w:val="both"/>
        <w:rPr>
          <w:rFonts w:hint="default" w:eastAsia="宋体"/>
          <w:color w:val="auto"/>
          <w:highlight w:val="none"/>
          <w:lang w:val="en-US" w:eastAsia="zh-CN"/>
        </w:rPr>
        <w:sectPr>
          <w:pgSz w:w="11906" w:h="16838"/>
          <w:pgMar w:top="1800" w:right="1440" w:bottom="1800"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ascii="宋体" w:hAnsi="宋体" w:eastAsia="宋体" w:cs="宋体"/>
          <w:color w:val="auto"/>
          <w:spacing w:val="0"/>
          <w:highlight w:val="none"/>
        </w:rPr>
        <w:pict>
          <v:shape id="_x0000_s1080" o:spid="_x0000_s1080" o:spt="75" type="#_x0000_t75" style="position:absolute;left:0pt;margin-left:13.4pt;margin-top:560.35pt;height:47.25pt;width:111pt;z-index:251680768;mso-width-relative:page;mso-height-relative:page;" o:ole="t" filled="f" o:preferrelative="t" stroked="f" coordsize="21600,21600">
            <v:path/>
            <v:fill on="f" focussize="0,0"/>
            <v:stroke on="f"/>
            <v:imagedata r:id="rId51" o:title=""/>
            <o:lock v:ext="edit" aspectratio="f"/>
          </v:shape>
          <o:OLEObject Type="Embed" ProgID="Visio.Drawing.15" ShapeID="_x0000_s1080" DrawAspect="Content" ObjectID="_1468075735" r:id="rId50">
            <o:LockedField>false</o:LockedField>
          </o:OLEObject>
        </w:pict>
      </w:r>
      <w:r>
        <w:rPr>
          <w:rFonts w:hint="eastAsia" w:ascii="宋体" w:hAnsi="宋体" w:eastAsia="宋体" w:cs="宋体"/>
          <w:b/>
          <w:bCs w:val="0"/>
          <w:color w:val="auto"/>
          <w:spacing w:val="0"/>
          <w:highlight w:val="none"/>
          <w:lang w:val="en-US" w:eastAsia="zh-CN"/>
        </w:rPr>
        <w:drawing>
          <wp:anchor distT="0" distB="0" distL="114300" distR="114300" simplePos="0" relativeHeight="251675648" behindDoc="0" locked="0" layoutInCell="1" allowOverlap="1">
            <wp:simplePos x="0" y="0"/>
            <wp:positionH relativeFrom="column">
              <wp:posOffset>360680</wp:posOffset>
            </wp:positionH>
            <wp:positionV relativeFrom="paragraph">
              <wp:posOffset>222885</wp:posOffset>
            </wp:positionV>
            <wp:extent cx="428625" cy="809625"/>
            <wp:effectExtent l="125730" t="48895" r="131445" b="55880"/>
            <wp:wrapNone/>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45"/>
                    <a:stretch>
                      <a:fillRect/>
                    </a:stretch>
                  </pic:blipFill>
                  <pic:spPr>
                    <a:xfrm rot="1200000">
                      <a:off x="0" y="0"/>
                      <a:ext cx="428625" cy="809625"/>
                    </a:xfrm>
                    <a:prstGeom prst="rect">
                      <a:avLst/>
                    </a:prstGeom>
                    <a:noFill/>
                    <a:ln>
                      <a:noFill/>
                    </a:ln>
                  </pic:spPr>
                </pic:pic>
              </a:graphicData>
            </a:graphic>
          </wp:anchor>
        </w:drawing>
      </w:r>
      <w:r>
        <w:rPr>
          <w:rFonts w:hint="default" w:eastAsia="宋体"/>
          <w:color w:val="auto"/>
          <w:highlight w:val="none"/>
          <w:lang w:val="en-US" w:eastAsia="zh-CN"/>
        </w:rPr>
        <w:object>
          <v:shape id="_x0000_i1034" o:spt="75" type="#_x0000_t75" style="height:608.7pt;width:441.7pt;" o:ole="t" filled="f" o:preferrelative="t" stroked="f" coordsize="21600,21600">
            <v:path/>
            <v:fill on="f" focussize="0,0"/>
            <v:stroke on="f"/>
            <v:imagedata r:id="rId53" o:title=""/>
            <o:lock v:ext="edit" aspectratio="f"/>
            <w10:wrap type="none"/>
            <w10:anchorlock/>
          </v:shape>
          <o:OLEObject Type="Embed" ProgID="Visio.Drawing.15" ShapeID="_x0000_i1034" DrawAspect="Content" ObjectID="_1468075736" r:id="rId52">
            <o:LockedField>false</o:LockedField>
          </o:OLEObject>
        </w:object>
      </w:r>
    </w:p>
    <w:p w14:paraId="4285B49F">
      <w:pPr>
        <w:ind w:left="0" w:leftChars="0" w:firstLine="0" w:firstLineChars="0"/>
        <w:outlineLvl w:val="0"/>
        <w:rPr>
          <w:rFonts w:hint="default" w:ascii="宋体" w:hAnsi="宋体" w:eastAsia="宋体" w:cs="宋体"/>
          <w:b/>
          <w:bCs w:val="0"/>
          <w:color w:val="auto"/>
          <w:spacing w:val="0"/>
          <w:highlight w:val="none"/>
          <w:lang w:val="en-US" w:eastAsia="zh-CN"/>
        </w:rPr>
      </w:pPr>
      <w:bookmarkStart w:id="26" w:name="_Toc26432"/>
      <w:r>
        <w:rPr>
          <w:rFonts w:hint="eastAsia" w:ascii="宋体" w:hAnsi="宋体" w:eastAsia="宋体" w:cs="宋体"/>
          <w:b/>
          <w:bCs w:val="0"/>
          <w:color w:val="auto"/>
          <w:spacing w:val="0"/>
          <w:highlight w:val="none"/>
          <w:lang w:val="en-US" w:eastAsia="zh-CN"/>
        </w:rPr>
        <w:t>附图</w:t>
      </w:r>
      <w:r>
        <w:rPr>
          <w:rFonts w:hint="eastAsia" w:cs="宋体"/>
          <w:b/>
          <w:bCs w:val="0"/>
          <w:color w:val="auto"/>
          <w:spacing w:val="0"/>
          <w:highlight w:val="none"/>
          <w:lang w:val="en-US" w:eastAsia="zh-CN"/>
        </w:rPr>
        <w:t>4</w:t>
      </w:r>
      <w:r>
        <w:rPr>
          <w:rFonts w:hint="eastAsia" w:ascii="宋体" w:hAnsi="宋体" w:eastAsia="宋体" w:cs="宋体"/>
          <w:b/>
          <w:bCs w:val="0"/>
          <w:color w:val="auto"/>
          <w:spacing w:val="0"/>
          <w:highlight w:val="none"/>
          <w:lang w:val="en-US" w:eastAsia="zh-CN"/>
        </w:rPr>
        <w:t xml:space="preserve"> 本项目</w:t>
      </w:r>
      <w:r>
        <w:rPr>
          <w:rFonts w:hint="eastAsia" w:cs="宋体"/>
          <w:b/>
          <w:bCs w:val="0"/>
          <w:color w:val="auto"/>
          <w:spacing w:val="0"/>
          <w:highlight w:val="none"/>
          <w:lang w:val="en-US" w:eastAsia="zh-CN"/>
        </w:rPr>
        <w:t>评价范围图</w:t>
      </w:r>
      <w:bookmarkEnd w:id="26"/>
    </w:p>
    <w:p w14:paraId="7B59DBF8">
      <w:pPr>
        <w:spacing w:line="240" w:lineRule="auto"/>
        <w:jc w:val="left"/>
        <w:outlineLvl w:val="9"/>
        <w:rPr>
          <w:rFonts w:hint="eastAsia" w:ascii="宋体" w:hAnsi="宋体" w:eastAsia="宋体" w:cs="宋体"/>
          <w:color w:val="auto"/>
          <w:spacing w:val="0"/>
          <w:highlight w:val="none"/>
          <w:lang w:val="en-US" w:eastAsia="zh-CN"/>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sz w:val="24"/>
          <w:highlight w:val="none"/>
        </w:rPr>
        <mc:AlternateContent>
          <mc:Choice Requires="wps">
            <w:drawing>
              <wp:anchor distT="0" distB="0" distL="114300" distR="114300" simplePos="0" relativeHeight="251674624" behindDoc="0" locked="0" layoutInCell="1" allowOverlap="1">
                <wp:simplePos x="0" y="0"/>
                <wp:positionH relativeFrom="column">
                  <wp:posOffset>2874010</wp:posOffset>
                </wp:positionH>
                <wp:positionV relativeFrom="paragraph">
                  <wp:posOffset>3517265</wp:posOffset>
                </wp:positionV>
                <wp:extent cx="1082040" cy="476250"/>
                <wp:effectExtent l="12700" t="368300" r="29210" b="12700"/>
                <wp:wrapNone/>
                <wp:docPr id="31" name="矩形标注 31"/>
                <wp:cNvGraphicFramePr/>
                <a:graphic xmlns:a="http://schemas.openxmlformats.org/drawingml/2006/main">
                  <a:graphicData uri="http://schemas.microsoft.com/office/word/2010/wordprocessingShape">
                    <wps:wsp>
                      <wps:cNvSpPr/>
                      <wps:spPr>
                        <a:xfrm>
                          <a:off x="4034790" y="4424680"/>
                          <a:ext cx="1082040" cy="476250"/>
                        </a:xfrm>
                        <a:prstGeom prst="wedgeRectCallout">
                          <a:avLst>
                            <a:gd name="adj1" fmla="val -16842"/>
                            <a:gd name="adj2" fmla="val -124666"/>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F8EE9F7">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新建锅炉房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6.3pt;margin-top:276.95pt;height:37.5pt;width:85.2pt;z-index:251674624;v-text-anchor:middle;mso-width-relative:page;mso-height-relative:page;" fillcolor="#FFFFFF [3212]" filled="t" stroked="t" coordsize="21600,21600" o:gfxdata="UEsDBAoAAAAAAIdO4kAAAAAAAAAAAAAAAAAEAAAAZHJzL1BLAwQUAAAACACHTuJAgivU7toAAAAL&#10;AQAADwAAAGRycy9kb3ducmV2LnhtbE2PPU/DMBCGdyT+g3VILIjaTUiUhjgd+BgQLC2VurrxEUfE&#10;dhQ7Tfj3XCfY7nSP3nvearvYnp1xDJ13EtYrAQxd43XnWgmHz9f7AliIymnVe4cSfjDAtr6+qlSp&#10;/ex2eN7HllGIC6WSYGIcSs5DY9CqsPIDOrp9+dGqSOvYcj2qmcJtzxMhcm5V5+iDUQM+GWy+95OV&#10;MA/pywfis7C2OL5Pb8UO78wi5e3NWjwCi7jEPxgu+qQONTmd/OR0YL2EhyzJCZWQZekGGBF5klK7&#10;02UoNsDriv/vUP8CUEsDBBQAAAAIAIdO4kBbnmrJrAIAAFwFAAAOAAAAZHJzL2Uyb0RvYy54bWyt&#10;VM1uEzEQviPxDpbv7W622zSNuqmiREFIFa0oiLPjtbOL/IftZFNegMco4gRnzjwO5TUYe902LT30&#10;wB68M+tvZ+b7xuOT060UaMOsa7Wq8GA/x4gpqutWrSr8/t1ib4SR80TVRGjFKnzFHD6dvHxx0pkx&#10;K3SjRc0sgiDKjTtT4cZ7M84yRxsmidvXhinY5NpK4sG1q6y2pIPoUmRFng+zTtvaWE2Zc/B13m/i&#10;FNE+J6DmvKVsrulaMuX7qJYJ4oGSa1rj8CRWyzmj/pxzxzwSFQamPq6QBOxlWLPJCRmvLDFNS1MJ&#10;5DklPOIkSasg6V2oOfEErW37TyjZUqud5n6fapn1RKIiwGKQP9LmsiGGRS4gtTN3orv/F5a+2VxY&#10;1NYVPhhgpIiEjv+5/vH717ebr19ufn5H8Bk06owbA/TSXNjkOTAD4S23MryBCtpWuMwPyqNjUPcK&#10;7LIoh6OkMdt6RAEwyEdFXgKABsTRsDiMgOw+krHOv2JaomBUuGP1ir2FRs6IEHrto8xkc+Z81LtO&#10;RZP6IxDgUkD7NkSgvcFwVBapvzug4iEIKhwOAwoKSEHBui0hZHBatPWiFSI6drWcCYsgQ4UX8Uk/&#10;P4AJhboKF4dlHogSmBIOpxNMaUBpp1YYEbGC8aPeRj4P/na7SfL4PJUkFDknrumLiRESTCjgE1rW&#10;NylYfrvcps4tdX0FPbe6HwZn6KKFUGfE+QtiQT6oGe4Hfw4LFxqI6GRh1Gj7+anvAQ+HEnYx6mCa&#10;gOSnNbEMI/FawXE9HpSh5z465eFRAY7d3Vnu7qi1nGkQGBoK1UUz4L24NbnV8gNcI9OQFbaIopC7&#10;lzM5M99POVxElE2nEQYjZ4g/U5eGhuChoUpP117z1ocjEITq1UkODF08GemCCFO960fU/aU4+Q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CK9Tu2gAAAAsBAAAPAAAAAAAAAAEAIAAAACIAAABkcnMv&#10;ZG93bnJldi54bWxQSwECFAAUAAAACACHTuJAW55qyawCAABcBQAADgAAAAAAAAABACAAAAApAQAA&#10;ZHJzL2Uyb0RvYy54bWxQSwUGAAAAAAYABgBZAQAARwYAAAAA&#10;" adj="7162,-16128">
                <v:fill on="t" focussize="0,0"/>
                <v:stroke weight="2pt" color="#000000 [3213]" joinstyle="round"/>
                <v:imagedata o:title=""/>
                <o:lock v:ext="edit" aspectratio="f"/>
                <v:textbox>
                  <w:txbxContent>
                    <w:p w14:paraId="5F8EE9F7">
                      <w:pPr>
                        <w:keepNext w:val="0"/>
                        <w:keepLines w:val="0"/>
                        <w:pageBreakBefore w:val="0"/>
                        <w:widowControl w:val="0"/>
                        <w:kinsoku/>
                        <w:wordWrap/>
                        <w:overflowPunct/>
                        <w:topLinePunct w:val="0"/>
                        <w:bidi w:val="0"/>
                        <w:adjustRightInd w:val="0"/>
                        <w:snapToGrid w:val="0"/>
                        <w:spacing w:line="240" w:lineRule="auto"/>
                        <w:ind w:left="0" w:leftChars="0" w:firstLine="0" w:firstLineChars="0"/>
                        <w:jc w:val="center"/>
                        <w:textAlignment w:val="auto"/>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新建锅炉房</w:t>
                      </w:r>
                    </w:p>
                  </w:txbxContent>
                </v:textbox>
              </v:shape>
            </w:pict>
          </mc:Fallback>
        </mc:AlternateContent>
      </w:r>
      <w:r>
        <w:rPr>
          <w:rFonts w:hint="eastAsia" w:ascii="宋体" w:hAnsi="宋体" w:eastAsia="宋体" w:cs="宋体"/>
          <w:color w:val="auto"/>
          <w:spacing w:val="0"/>
          <w:highlight w:val="none"/>
        </w:rPr>
        <w:pict>
          <v:shape id="_x0000_s1079" o:spid="_x0000_s1079" o:spt="75" type="#_x0000_t75" style="position:absolute;left:0pt;margin-left:510.45pt;margin-top:381.55pt;height:47.25pt;width:111pt;z-index:251668480;mso-width-relative:page;mso-height-relative:page;" o:ole="t" filled="f" o:preferrelative="t" stroked="f" coordsize="21600,21600">
            <v:path/>
            <v:fill on="f" focussize="0,0"/>
            <v:stroke on="f"/>
            <v:imagedata r:id="rId55" o:title=""/>
            <o:lock v:ext="edit" aspectratio="f"/>
          </v:shape>
          <o:OLEObject Type="Embed" ProgID="Visio.Drawing.15" ShapeID="_x0000_s1079" DrawAspect="Content" ObjectID="_1468075737" r:id="rId54">
            <o:LockedField>false</o:LockedField>
          </o:OLEObject>
        </w:pict>
      </w:r>
      <w:r>
        <w:rPr>
          <w:color w:val="auto"/>
          <w:sz w:val="28"/>
          <w:highlight w:val="none"/>
        </w:rPr>
        <mc:AlternateContent>
          <mc:Choice Requires="wpg">
            <w:drawing>
              <wp:anchor distT="0" distB="0" distL="114300" distR="114300" simplePos="0" relativeHeight="251670528" behindDoc="0" locked="0" layoutInCell="1" allowOverlap="1">
                <wp:simplePos x="0" y="0"/>
                <wp:positionH relativeFrom="column">
                  <wp:posOffset>6527800</wp:posOffset>
                </wp:positionH>
                <wp:positionV relativeFrom="paragraph">
                  <wp:posOffset>4163695</wp:posOffset>
                </wp:positionV>
                <wp:extent cx="294005" cy="488315"/>
                <wp:effectExtent l="9525" t="9525" r="20320" b="16510"/>
                <wp:wrapNone/>
                <wp:docPr id="136" name="组合 136"/>
                <wp:cNvGraphicFramePr/>
                <a:graphic xmlns:a="http://schemas.openxmlformats.org/drawingml/2006/main">
                  <a:graphicData uri="http://schemas.microsoft.com/office/word/2010/wordprocessingGroup">
                    <wpg:wgp>
                      <wpg:cNvGrpSpPr/>
                      <wpg:grpSpPr>
                        <a:xfrm>
                          <a:off x="0" y="0"/>
                          <a:ext cx="294005" cy="488315"/>
                          <a:chOff x="11899" y="1150605"/>
                          <a:chExt cx="463" cy="769"/>
                        </a:xfrm>
                      </wpg:grpSpPr>
                      <wps:wsp>
                        <wps:cNvPr id="9" name="矩形 62"/>
                        <wps:cNvSpPr/>
                        <wps:spPr>
                          <a:xfrm>
                            <a:off x="11908" y="1150605"/>
                            <a:ext cx="450" cy="197"/>
                          </a:xfrm>
                          <a:prstGeom prst="rect">
                            <a:avLst/>
                          </a:prstGeom>
                          <a:solidFill>
                            <a:srgbClr val="FFFFFF"/>
                          </a:solidFill>
                          <a:ln w="19050" cap="flat" cmpd="sng">
                            <a:solidFill>
                              <a:srgbClr val="FF0000"/>
                            </a:solidFill>
                            <a:prstDash val="solid"/>
                            <a:miter/>
                            <a:headEnd type="none" w="med" len="med"/>
                            <a:tailEnd type="none" w="med" len="med"/>
                          </a:ln>
                        </wps:spPr>
                        <wps:bodyPr vert="horz" wrap="square" anchor="t" anchorCtr="0" upright="1"/>
                      </wps:wsp>
                      <wps:wsp>
                        <wps:cNvPr id="10" name="矩形 61"/>
                        <wps:cNvSpPr/>
                        <wps:spPr>
                          <a:xfrm>
                            <a:off x="11899" y="1151202"/>
                            <a:ext cx="450" cy="172"/>
                          </a:xfrm>
                          <a:prstGeom prst="rect">
                            <a:avLst/>
                          </a:prstGeom>
                          <a:solidFill>
                            <a:srgbClr val="FFFFFF"/>
                          </a:solidFill>
                          <a:ln w="19050" cap="flat" cmpd="sng">
                            <a:solidFill>
                              <a:srgbClr val="FFFF00"/>
                            </a:solidFill>
                            <a:prstDash val="solid"/>
                            <a:miter/>
                            <a:headEnd type="none" w="med" len="med"/>
                            <a:tailEnd type="none" w="med" len="med"/>
                          </a:ln>
                        </wps:spPr>
                        <wps:bodyPr vert="horz" wrap="square" anchor="t" anchorCtr="0" upright="1"/>
                      </wps:wsp>
                      <wps:wsp>
                        <wps:cNvPr id="11" name="矩形 60"/>
                        <wps:cNvSpPr/>
                        <wps:spPr>
                          <a:xfrm>
                            <a:off x="11912" y="1150892"/>
                            <a:ext cx="450" cy="166"/>
                          </a:xfrm>
                          <a:prstGeom prst="rect">
                            <a:avLst/>
                          </a:prstGeom>
                          <a:solidFill>
                            <a:srgbClr val="FFFFFF"/>
                          </a:solidFill>
                          <a:ln w="19050" cap="flat" cmpd="sng">
                            <a:solidFill>
                              <a:srgbClr val="00F700"/>
                            </a:solidFill>
                            <a:prstDash val="solid"/>
                            <a:miter/>
                            <a:headEnd type="none" w="med" len="med"/>
                            <a:tailEnd type="none" w="med" len="med"/>
                          </a:ln>
                        </wps:spPr>
                        <wps:bodyPr vert="horz" wrap="square" anchor="t" anchorCtr="0" upright="1"/>
                      </wps:wsp>
                    </wpg:wgp>
                  </a:graphicData>
                </a:graphic>
              </wp:anchor>
            </w:drawing>
          </mc:Choice>
          <mc:Fallback>
            <w:pict>
              <v:group id="_x0000_s1026" o:spid="_x0000_s1026" o:spt="203" style="position:absolute;left:0pt;margin-left:514pt;margin-top:327.85pt;height:38.45pt;width:23.15pt;z-index:251670528;mso-width-relative:page;mso-height-relative:page;" coordorigin="11899,1150605" coordsize="463,769" o:gfxdata="UEsDBAoAAAAAAIdO4kAAAAAAAAAAAAAAAAAEAAAAZHJzL1BLAwQUAAAACACHTuJA+lABndwAAAAN&#10;AQAADwAAAGRycy9kb3ducmV2LnhtbE2PQUvDQBSE74L/YXmCN7ubxCQlZlOkqKci2AribZt9TUKz&#10;b0N2m7T/3u3JHocZZr4pV2fTswlH11mSEC0EMKTa6o4aCd+796clMOcVadVbQgkXdLCq7u9KVWg7&#10;0xdOW9+wUEKuUBJa74eCc1e3aJRb2AEpeAc7GuWDHBuuRzWHctPzWIiMG9VRWGjVgOsW6+P2ZCR8&#10;zGp+TaK3aXM8rC+/u/TzZxOhlI8PkXgB5vHs/8NwxQ/oUAWmvT2RdqwPWsTLcMZLyNI0B3aNiPw5&#10;AbaXkCdxBrwq+e2L6g9QSwMEFAAAAAgAh07iQBxroB7nAgAAfQoAAA4AAABkcnMvZTJvRG9jLnht&#10;bO1WTW7UMBTeI3EHy3uaeDqTmUTNdNHpdIMAqXAA13F+pMQ2tmcyw5oFS26AxI4zII5TcQ2enTTt&#10;TIvUgrqoIIvEP8/v53vfe/HR8aap0ZprU0mRYnIQYsQFk1klihS/e7t8McPIWCoyWkvBU7zlBh/P&#10;nz87alXCR7KUdcY1AiXCJK1KcWmtSoLAsJI31BxIxQVs5lI31MJUF0GmaQvamzoYhWEUtFJnSkvG&#10;jYHVRbeJe436PgplnleMLyRbNVzYTqvmNbUQkikrZfDce5vnnNnXeW64RXWKIVLr32AExhfuHcyP&#10;aFJoqsqK9S7Q+7iwF1NDKwFGB1ULaila6eqWqqZiWhqZ2wMmm6ALxCMCUZBwD5szLVfKx1IkbaEG&#10;0CFRe6j/sVr2av1GoyoDJhxGGAnaQMp/fv94+fkTciuAT6uKBMTOtDpXb3S/UHQzF/Im1437QjBo&#10;45HdDsjyjUUMFkfxOAwnGDHYGs9mh2TSIc9KSI87RcgsjjGCbUImYQSyPjOsPO01jKPD7vg0it1e&#10;cGU4cP4N7rQKWGmuoTJ/B9V5SRX3GTAOgx4qcLQH6su3yx9fUTRyHjnTIDOAZBIDeN2BECFxCEW2&#10;H+sVVuMJkNMBReLpTqQ0UdrYMy4b5AYp1kBvzzq6fmlsB8qViLNrZF1ly6qu/UQXFye1RmsKpbD0&#10;T699R6wWqHWmQ+8FhQLPobDAoUYBSYwovMGdI2ZXcwjPXZqdZwtqys4Dr8GJ0aSpLNd+VHKanYoM&#10;2a0CGgroP9h50/AMo5pDu3IjL2lpVd9HEmhSC2CLS06XDje6kNkWcgldEFAspf4AZqAHQHzvV1SD&#10;USoYLKcYAu+GJ7ZrGiulq6KEU8SH2NOtS/6j844AMXaJ5714APFuFBkZhZ62NLlNvKnfGUrsiRBv&#10;ufxPPPUoDY+QfeL5Cn8A8WIyGjreLP4t8SL/x3laxAvD5fQfJJ7/78KtxP+K+xuUu/bcnPvGe31r&#10;nP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XAUAAFtDb250ZW50X1R5cGVzXS54bWxQSwECFAAKAAAAAACHTuJAAAAAAAAAAAAAAAAABgAAAAAA&#10;AAAAABAAAAA+BAAAX3JlbHMvUEsBAhQAFAAAAAgAh07iQIoUZjzRAAAAlAEAAAsAAAAAAAAAAQAg&#10;AAAAYgQAAF9yZWxzLy5yZWxzUEsBAhQACgAAAAAAh07iQAAAAAAAAAAAAAAAAAQAAAAAAAAAAAAQ&#10;AAAAAAAAAGRycy9QSwECFAAUAAAACACHTuJA+lABndwAAAANAQAADwAAAAAAAAABACAAAAAiAAAA&#10;ZHJzL2Rvd25yZXYueG1sUEsBAhQAFAAAAAgAh07iQBxroB7nAgAAfQoAAA4AAAAAAAAAAQAgAAAA&#10;KwEAAGRycy9lMm9Eb2MueG1sUEsFBgAAAAAGAAYAWQEAAIQGAAAAAA==&#10;">
                <o:lock v:ext="edit" aspectratio="f"/>
                <v:rect id="矩形 62" o:spid="_x0000_s1026" o:spt="1" style="position:absolute;left:11908;top:1150605;height:197;width:450;" fillcolor="#FFFFFF" filled="t" stroked="t" coordsize="21600,21600" o:gfxdata="UEsDBAoAAAAAAIdO4kAAAAAAAAAAAAAAAAAEAAAAZHJzL1BLAwQUAAAACACHTuJA9l2Gi7oAAADa&#10;AAAADwAAAGRycy9kb3ducmV2LnhtbEWPzYoCMRCE74LvEFrwphkFRUejB0FcPCz4A3psJu3MYNIZ&#10;kqyOb28WBI9FVX1FLdetNeJBPtSOFYyGGQjiwumaSwXn03YwAxEiskbjmBS8KMB61e0sMdfuyQd6&#10;HGMpEoRDjgqqGJtcylBUZDEMXUOcvJvzFmOSvpTa4zPBrZHjLJtKizWnhQob2lRU3I9/VsF+1251&#10;mI39hU/G/O7PE8fXRql+b5QtQERq4zf8af9oBXP4v5JugFy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2XYaLugAAANoA&#10;AAAPAAAAAAAAAAEAIAAAACIAAABkcnMvZG93bnJldi54bWxQSwECFAAUAAAACACHTuJAMy8FnjsA&#10;AAA5AAAAEAAAAAAAAAABACAAAAAJAQAAZHJzL3NoYXBleG1sLnhtbFBLBQYAAAAABgAGAFsBAACz&#10;AwAAAAA=&#10;">
                  <v:fill on="t" focussize="0,0"/>
                  <v:stroke weight="1.5pt" color="#FF0000" joinstyle="miter"/>
                  <v:imagedata o:title=""/>
                  <o:lock v:ext="edit" aspectratio="f"/>
                </v:rect>
                <v:rect id="矩形 61" o:spid="_x0000_s1026" o:spt="1" style="position:absolute;left:11899;top:1151202;height:172;width:450;" fillcolor="#FFFFFF" filled="t" stroked="t" coordsize="21600,21600" o:gfxdata="UEsDBAoAAAAAAIdO4kAAAAAAAAAAAAAAAAAEAAAAZHJzL1BLAwQUAAAACACHTuJA8PxX574AAADb&#10;AAAADwAAAGRycy9kb3ducmV2LnhtbEWPT2sCMRDF74V+hzCF3mqyFktZjR4KFelFtCI9Dptxd3Uz&#10;WZP4p9/eOQjeZnhv3vvNZHb1nTpTTG1gC8XAgCKugmu5trD5/X77BJUyssMuMFn4pwSz6fPTBEsX&#10;Lryi8zrXSkI4lWihybkvtU5VQx7TIPTEou1C9JhljbV2ES8S7js9NOZDe2xZGhrs6auh6rA+eQvL&#10;4XwUt+1mcVy6kSl+/rb1/n1u7etLYcagMl3zw3y/XjjBF3r5RQbQ0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PxX574A&#10;AADbAAAADwAAAAAAAAABACAAAAAiAAAAZHJzL2Rvd25yZXYueG1sUEsBAhQAFAAAAAgAh07iQDMv&#10;BZ47AAAAOQAAABAAAAAAAAAAAQAgAAAADQEAAGRycy9zaGFwZXhtbC54bWxQSwUGAAAAAAYABgBb&#10;AQAAtwMAAAAA&#10;">
                  <v:fill on="t" focussize="0,0"/>
                  <v:stroke weight="1.5pt" color="#FFFF00" joinstyle="miter"/>
                  <v:imagedata o:title=""/>
                  <o:lock v:ext="edit" aspectratio="f"/>
                </v:rect>
                <v:rect id="矩形 60" o:spid="_x0000_s1026" o:spt="1" style="position:absolute;left:11912;top:1150892;height:166;width:450;" fillcolor="#FFFFFF" filled="t" stroked="t" coordsize="21600,21600" o:gfxdata="UEsDBAoAAAAAAIdO4kAAAAAAAAAAAAAAAAAEAAAAZHJzL1BLAwQUAAAACACHTuJAt/TMZ7wAAADb&#10;AAAADwAAAGRycy9kb3ducmV2LnhtbEVPzWrCQBC+C77DMkIvUjdpbZXUVYhSaPGU2AcYs2M2NDsb&#10;sqtJ375bKHibj+93NrvRtuJGvW8cK0gXCQjiyumGawVfp/fHNQgfkDW2jknBD3nYbaeTDWbaDVzQ&#10;rQy1iCHsM1RgQugyKX1lyKJfuI44chfXWwwR9rXUPQ4x3LbyKUlepcWGY4PBjvaGqu/yahUc9TMf&#10;XorleDrM83x+/jxialZKPczS5A1EoDHcxf/uDx3np/D3SzxAb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0zGe8AAAA&#10;2wAAAA8AAAAAAAAAAQAgAAAAIgAAAGRycy9kb3ducmV2LnhtbFBLAQIUABQAAAAIAIdO4kAzLwWe&#10;OwAAADkAAAAQAAAAAAAAAAEAIAAAAAsBAABkcnMvc2hhcGV4bWwueG1sUEsFBgAAAAAGAAYAWwEA&#10;ALUDAAAAAA==&#10;">
                  <v:fill on="t" focussize="0,0"/>
                  <v:stroke weight="1.5pt" color="#00F700" joinstyle="miter"/>
                  <v:imagedata o:title=""/>
                  <o:lock v:ext="edit" aspectratio="f"/>
                </v:rect>
              </v:group>
            </w:pict>
          </mc:Fallback>
        </mc:AlternateContent>
      </w:r>
      <w:r>
        <w:rPr>
          <w:rFonts w:hint="eastAsia" w:ascii="宋体" w:hAnsi="宋体" w:eastAsia="宋体" w:cs="宋体"/>
          <w:color w:val="auto"/>
          <w:spacing w:val="0"/>
          <w:sz w:val="28"/>
          <w:highlight w:val="none"/>
        </w:rPr>
        <mc:AlternateContent>
          <mc:Choice Requires="wps">
            <w:drawing>
              <wp:anchor distT="0" distB="0" distL="114300" distR="114300" simplePos="0" relativeHeight="251664384" behindDoc="0" locked="0" layoutInCell="1" allowOverlap="1">
                <wp:simplePos x="0" y="0"/>
                <wp:positionH relativeFrom="column">
                  <wp:posOffset>6341110</wp:posOffset>
                </wp:positionH>
                <wp:positionV relativeFrom="paragraph">
                  <wp:posOffset>3869055</wp:posOffset>
                </wp:positionV>
                <wp:extent cx="1653540" cy="1514475"/>
                <wp:effectExtent l="4445" t="5080" r="18415" b="4445"/>
                <wp:wrapNone/>
                <wp:docPr id="8" name="文本框 63"/>
                <wp:cNvGraphicFramePr/>
                <a:graphic xmlns:a="http://schemas.openxmlformats.org/drawingml/2006/main">
                  <a:graphicData uri="http://schemas.microsoft.com/office/word/2010/wordprocessingShape">
                    <wps:wsp>
                      <wps:cNvSpPr txBox="1"/>
                      <wps:spPr>
                        <a:xfrm>
                          <a:off x="0" y="0"/>
                          <a:ext cx="1653540" cy="151447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7B253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lang w:val="en-US" w:eastAsia="zh-CN"/>
                              </w:rPr>
                            </w:pPr>
                            <w:r>
                              <w:rPr>
                                <w:rFonts w:hint="eastAsia"/>
                                <w:lang w:val="en-US" w:eastAsia="zh-CN"/>
                              </w:rPr>
                              <w:t>图例</w:t>
                            </w:r>
                          </w:p>
                          <w:p w14:paraId="428EB2F3">
                            <w:pPr>
                              <w:pStyle w:val="125"/>
                              <w:ind w:firstLine="720" w:firstLineChars="300"/>
                              <w:rPr>
                                <w:rFonts w:hint="eastAsia" w:ascii="宋体" w:hAnsi="宋体" w:eastAsia="宋体" w:cs="宋体"/>
                                <w:lang w:val="en-US" w:eastAsia="zh-CN"/>
                              </w:rPr>
                            </w:pPr>
                            <w:r>
                              <w:rPr>
                                <w:rFonts w:hint="eastAsia" w:ascii="宋体" w:hAnsi="宋体" w:eastAsia="宋体" w:cs="宋体"/>
                                <w:lang w:val="en-US" w:eastAsia="zh-CN"/>
                              </w:rPr>
                              <w:t>本项目</w:t>
                            </w:r>
                          </w:p>
                          <w:p w14:paraId="592799DC">
                            <w:pPr>
                              <w:pStyle w:val="125"/>
                              <w:ind w:firstLine="720" w:firstLineChars="300"/>
                              <w:rPr>
                                <w:rFonts w:hint="eastAsia" w:ascii="宋体" w:hAnsi="宋体" w:eastAsia="宋体" w:cs="宋体"/>
                                <w:lang w:val="en-US" w:eastAsia="zh-CN"/>
                              </w:rPr>
                            </w:pPr>
                            <w:r>
                              <w:rPr>
                                <w:rFonts w:hint="eastAsia" w:ascii="宋体" w:hAnsi="宋体" w:eastAsia="宋体" w:cs="宋体"/>
                                <w:lang w:val="en-US" w:eastAsia="zh-CN"/>
                              </w:rPr>
                              <w:t>噪声50m范围</w:t>
                            </w:r>
                          </w:p>
                          <w:p w14:paraId="19F25B5E">
                            <w:pPr>
                              <w:pStyle w:val="125"/>
                              <w:ind w:firstLine="720" w:firstLineChars="300"/>
                              <w:rPr>
                                <w:rFonts w:hint="default" w:ascii="宋体" w:hAnsi="宋体" w:eastAsia="宋体" w:cs="宋体"/>
                                <w:lang w:val="en-US" w:eastAsia="zh-CN"/>
                              </w:rPr>
                            </w:pPr>
                            <w:r>
                              <w:rPr>
                                <w:rFonts w:hint="eastAsia" w:ascii="宋体" w:hAnsi="宋体" w:eastAsia="宋体" w:cs="宋体"/>
                                <w:lang w:val="en-US" w:eastAsia="zh-CN"/>
                              </w:rPr>
                              <w:t>大气500m范围</w:t>
                            </w:r>
                          </w:p>
                        </w:txbxContent>
                      </wps:txbx>
                      <wps:bodyPr wrap="square" upright="1"/>
                    </wps:wsp>
                  </a:graphicData>
                </a:graphic>
              </wp:anchor>
            </w:drawing>
          </mc:Choice>
          <mc:Fallback>
            <w:pict>
              <v:shape id="文本框 63" o:spid="_x0000_s1026" o:spt="202" type="#_x0000_t202" style="position:absolute;left:0pt;margin-left:499.3pt;margin-top:304.65pt;height:119.25pt;width:130.2pt;z-index:251664384;mso-width-relative:page;mso-height-relative:page;" fillcolor="#FFFFFF" filled="t" stroked="t" coordsize="21600,21600" o:gfxdata="UEsDBAoAAAAAAIdO4kAAAAAAAAAAAAAAAAAEAAAAZHJzL1BLAwQUAAAACACHTuJAHgFSJ9oAAAAM&#10;AQAADwAAAGRycy9kb3ducmV2LnhtbE2PwU7DMBBE70j8g7VIXBC120Iahzg9IIHgBgW1VzfeJhHx&#10;OthuWv4e5wTH1T69mSnXZ9uzEX3oHCmYzwQwpNqZjhoFnx9PtzmwEDUZ3TtCBT8YYF1dXpS6MO5E&#10;7zhuYsOShEKhFbQxDgXnoW7R6jBzA1L6HZy3OqbTN9x4fUpy2/OFEBm3uqOU0OoBH1usvzZHqyC/&#10;exl34XX5tq2zQy/jzWp8/vZKXV/NxQOwiOf4B8NUP1WHKnXauyOZwHoFUuZZQhVkQi6BTcTiXqZ5&#10;+8m/yoFXJf8/ovoFUEsDBBQAAAAIAIdO4kD+sIRqFgIAAEYEAAAOAAAAZHJzL2Uyb0RvYy54bWyt&#10;U0uS0zAQ3VPFHVTaEzuZOIArzlRBCBsKqBo4QEeWbVXph6TEzgXgBqzYsJ9z5Ry05EzmA4ss8EJu&#10;qVuvu99rLa8HJcmeOy+Mruh0klPCNTO10G1Fv37ZvHhFiQ+ga5BG84oeuKfXq+fPlr0t+cx0Rtbc&#10;EQTRvuxtRbsQbJllnnVcgZ8YyzU6G+MUBNy6Nqsd9IiuZDbL80XWG1dbZxj3Hk/Xo5OeEN0lgKZp&#10;BONrw3aK6zCiOi4hYEu+E9bTVaq2aTgLn5rG80BkRbHTkFZMgvY2rtlqCWXrwHaCnUqAS0p40pMC&#10;oTHpGWoNAcjOib+glGDOeNOECTMqGxtJjGAX0/wJNzcdWJ56Qaq9PZPu/x8s+7j/7IioK4qya1Ao&#10;+PHnj+Ov2+Pv72RxFfnprS8x7MZiYBjemAGn5u7c42Fse2icin9siKAf2T2c2eVDICxeWhRXxRxd&#10;DH3TYjqfvywiTnZ/3Tof3nOjSDQq6lC+xCrsP/gwht6FxGzeSFFvhJRp49rtW+nIHlDqTfpO6I/C&#10;pCZ9RV8XswILAZzfBucGTWWRA6/blO/RDf8QOE/fv4BjYWvw3VhAQohhUCoRuEtWx6F+p2sSDhZ5&#10;1vi8aCxG8ZoSyfE1RitFBhDykkjkTmqkMGo0ahGtMGwHhInm1tQH1K3HCcf2vu3AYc6ddaLtkOCk&#10;Y7qM45WUOD2FOL8P9ynF/fNf/Q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eAVIn2gAAAAwBAAAP&#10;AAAAAAAAAAEAIAAAACIAAABkcnMvZG93bnJldi54bWxQSwECFAAUAAAACACHTuJA/rCEahYCAABG&#10;BAAADgAAAAAAAAABACAAAAApAQAAZHJzL2Uyb0RvYy54bWxQSwUGAAAAAAYABgBZAQAAsQUAAAAA&#10;">
                <v:fill on="t" focussize="0,0"/>
                <v:stroke color="#000000" joinstyle="miter"/>
                <v:imagedata o:title=""/>
                <o:lock v:ext="edit" aspectratio="f"/>
                <v:textbox>
                  <w:txbxContent>
                    <w:p w14:paraId="07B253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lang w:val="en-US" w:eastAsia="zh-CN"/>
                        </w:rPr>
                      </w:pPr>
                      <w:r>
                        <w:rPr>
                          <w:rFonts w:hint="eastAsia"/>
                          <w:lang w:val="en-US" w:eastAsia="zh-CN"/>
                        </w:rPr>
                        <w:t>图例</w:t>
                      </w:r>
                    </w:p>
                    <w:p w14:paraId="428EB2F3">
                      <w:pPr>
                        <w:pStyle w:val="125"/>
                        <w:ind w:firstLine="720" w:firstLineChars="300"/>
                        <w:rPr>
                          <w:rFonts w:hint="eastAsia" w:ascii="宋体" w:hAnsi="宋体" w:eastAsia="宋体" w:cs="宋体"/>
                          <w:lang w:val="en-US" w:eastAsia="zh-CN"/>
                        </w:rPr>
                      </w:pPr>
                      <w:r>
                        <w:rPr>
                          <w:rFonts w:hint="eastAsia" w:ascii="宋体" w:hAnsi="宋体" w:eastAsia="宋体" w:cs="宋体"/>
                          <w:lang w:val="en-US" w:eastAsia="zh-CN"/>
                        </w:rPr>
                        <w:t>本项目</w:t>
                      </w:r>
                    </w:p>
                    <w:p w14:paraId="592799DC">
                      <w:pPr>
                        <w:pStyle w:val="125"/>
                        <w:ind w:firstLine="720" w:firstLineChars="300"/>
                        <w:rPr>
                          <w:rFonts w:hint="eastAsia" w:ascii="宋体" w:hAnsi="宋体" w:eastAsia="宋体" w:cs="宋体"/>
                          <w:lang w:val="en-US" w:eastAsia="zh-CN"/>
                        </w:rPr>
                      </w:pPr>
                      <w:r>
                        <w:rPr>
                          <w:rFonts w:hint="eastAsia" w:ascii="宋体" w:hAnsi="宋体" w:eastAsia="宋体" w:cs="宋体"/>
                          <w:lang w:val="en-US" w:eastAsia="zh-CN"/>
                        </w:rPr>
                        <w:t>噪声50m范围</w:t>
                      </w:r>
                    </w:p>
                    <w:p w14:paraId="19F25B5E">
                      <w:pPr>
                        <w:pStyle w:val="125"/>
                        <w:ind w:firstLine="720" w:firstLineChars="300"/>
                        <w:rPr>
                          <w:rFonts w:hint="default" w:ascii="宋体" w:hAnsi="宋体" w:eastAsia="宋体" w:cs="宋体"/>
                          <w:lang w:val="en-US" w:eastAsia="zh-CN"/>
                        </w:rPr>
                      </w:pPr>
                      <w:r>
                        <w:rPr>
                          <w:rFonts w:hint="eastAsia" w:ascii="宋体" w:hAnsi="宋体" w:eastAsia="宋体" w:cs="宋体"/>
                          <w:lang w:val="en-US" w:eastAsia="zh-CN"/>
                        </w:rPr>
                        <w:t>大气500m范围</w:t>
                      </w:r>
                    </w:p>
                  </w:txbxContent>
                </v:textbox>
              </v:shape>
            </w:pict>
          </mc:Fallback>
        </mc:AlternateContent>
      </w:r>
      <w:r>
        <w:rPr>
          <w:rFonts w:hint="eastAsia" w:ascii="宋体" w:hAnsi="宋体" w:eastAsia="宋体" w:cs="宋体"/>
          <w:color w:val="auto"/>
          <w:spacing w:val="0"/>
          <w:highlight w:val="none"/>
        </w:rPr>
        <w:drawing>
          <wp:anchor distT="0" distB="0" distL="114300" distR="114300" simplePos="0" relativeHeight="251665408" behindDoc="0" locked="0" layoutInCell="1" allowOverlap="1">
            <wp:simplePos x="0" y="0"/>
            <wp:positionH relativeFrom="column">
              <wp:posOffset>7539990</wp:posOffset>
            </wp:positionH>
            <wp:positionV relativeFrom="paragraph">
              <wp:posOffset>3175</wp:posOffset>
            </wp:positionV>
            <wp:extent cx="428625" cy="809625"/>
            <wp:effectExtent l="0" t="0" r="9525" b="9525"/>
            <wp:wrapNone/>
            <wp:docPr id="1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6"/>
                    <pic:cNvPicPr>
                      <a:picLocks noChangeAspect="1"/>
                    </pic:cNvPicPr>
                  </pic:nvPicPr>
                  <pic:blipFill>
                    <a:blip r:embed="rId45"/>
                    <a:stretch>
                      <a:fillRect/>
                    </a:stretch>
                  </pic:blipFill>
                  <pic:spPr>
                    <a:xfrm>
                      <a:off x="0" y="0"/>
                      <a:ext cx="428625" cy="809625"/>
                    </a:xfrm>
                    <a:prstGeom prst="rect">
                      <a:avLst/>
                    </a:prstGeom>
                    <a:noFill/>
                    <a:ln>
                      <a:noFill/>
                    </a:ln>
                  </pic:spPr>
                </pic:pic>
              </a:graphicData>
            </a:graphic>
          </wp:anchor>
        </w:drawing>
      </w:r>
      <w:r>
        <w:rPr>
          <w:color w:val="auto"/>
          <w:highlight w:val="none"/>
        </w:rPr>
        <w:drawing>
          <wp:inline distT="0" distB="0" distL="114300" distR="114300">
            <wp:extent cx="7705090" cy="5395595"/>
            <wp:effectExtent l="0" t="0" r="10160" b="14605"/>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56"/>
                    <a:stretch>
                      <a:fillRect/>
                    </a:stretch>
                  </pic:blipFill>
                  <pic:spPr>
                    <a:xfrm>
                      <a:off x="0" y="0"/>
                      <a:ext cx="7705090" cy="5395595"/>
                    </a:xfrm>
                    <a:prstGeom prst="rect">
                      <a:avLst/>
                    </a:prstGeom>
                    <a:noFill/>
                    <a:ln>
                      <a:noFill/>
                    </a:ln>
                  </pic:spPr>
                </pic:pic>
              </a:graphicData>
            </a:graphic>
          </wp:inline>
        </w:drawing>
      </w:r>
      <w:r>
        <w:rPr>
          <w:rFonts w:hint="eastAsia" w:ascii="宋体" w:hAnsi="宋体" w:eastAsia="宋体" w:cs="宋体"/>
          <w:color w:val="auto"/>
          <w:spacing w:val="0"/>
          <w:highlight w:val="none"/>
          <w:lang w:val="en-US" w:eastAsia="zh-CN"/>
        </w:rPr>
        <w:t xml:space="preserve"> </w:t>
      </w:r>
    </w:p>
    <w:p w14:paraId="17155719">
      <w:pPr>
        <w:pStyle w:val="20"/>
        <w:spacing w:line="240" w:lineRule="auto"/>
        <w:ind w:left="0" w:leftChars="0" w:firstLine="0" w:firstLineChars="0"/>
        <w:outlineLvl w:val="0"/>
        <w:rPr>
          <w:rFonts w:hint="default"/>
          <w:b/>
          <w:bCs w:val="0"/>
          <w:color w:val="auto"/>
          <w:sz w:val="24"/>
          <w:szCs w:val="18"/>
          <w:highlight w:val="none"/>
          <w:lang w:val="en-US" w:eastAsia="zh-CN"/>
        </w:rPr>
      </w:pPr>
      <w:bookmarkStart w:id="27" w:name="_Toc17544"/>
      <w:r>
        <w:rPr>
          <w:rFonts w:hint="eastAsia"/>
          <w:b/>
          <w:bCs w:val="0"/>
          <w:color w:val="auto"/>
          <w:sz w:val="24"/>
          <w:szCs w:val="18"/>
          <w:highlight w:val="none"/>
          <w:lang w:val="en-US" w:eastAsia="zh-CN"/>
        </w:rPr>
        <w:t>附图5 环境管控单元分布图</w:t>
      </w:r>
      <w:bookmarkEnd w:id="27"/>
      <w:r>
        <w:rPr>
          <w:rFonts w:hint="eastAsia"/>
          <w:b/>
          <w:bCs w:val="0"/>
          <w:color w:val="auto"/>
          <w:sz w:val="24"/>
          <w:szCs w:val="18"/>
          <w:highlight w:val="none"/>
          <w:lang w:val="en-US" w:eastAsia="zh-CN"/>
        </w:rPr>
        <w:t xml:space="preserve"> </w:t>
      </w:r>
    </w:p>
    <w:p w14:paraId="058F4B71">
      <w:pPr>
        <w:pStyle w:val="20"/>
        <w:rPr>
          <w:rFonts w:hint="eastAsia"/>
          <w:color w:val="auto"/>
          <w:highlight w:val="none"/>
          <w:lang w:val="en-US" w:eastAsia="zh-CN"/>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sz w:val="28"/>
          <w:highlight w:val="none"/>
        </w:rPr>
        <mc:AlternateContent>
          <mc:Choice Requires="wps">
            <w:drawing>
              <wp:anchor distT="0" distB="0" distL="114300" distR="114300" simplePos="0" relativeHeight="251673600" behindDoc="0" locked="0" layoutInCell="1" allowOverlap="1">
                <wp:simplePos x="0" y="0"/>
                <wp:positionH relativeFrom="column">
                  <wp:posOffset>1268095</wp:posOffset>
                </wp:positionH>
                <wp:positionV relativeFrom="paragraph">
                  <wp:posOffset>3402965</wp:posOffset>
                </wp:positionV>
                <wp:extent cx="654685" cy="262255"/>
                <wp:effectExtent l="4445" t="4445" r="7620" b="133350"/>
                <wp:wrapNone/>
                <wp:docPr id="24" name="矩形标注 24"/>
                <wp:cNvGraphicFramePr/>
                <a:graphic xmlns:a="http://schemas.openxmlformats.org/drawingml/2006/main">
                  <a:graphicData uri="http://schemas.microsoft.com/office/word/2010/wordprocessingShape">
                    <wps:wsp>
                      <wps:cNvSpPr/>
                      <wps:spPr>
                        <a:xfrm>
                          <a:off x="2525395" y="4551045"/>
                          <a:ext cx="654685" cy="262255"/>
                        </a:xfrm>
                        <a:prstGeom prst="wedgeRectCallout">
                          <a:avLst>
                            <a:gd name="adj1" fmla="val -45091"/>
                            <a:gd name="adj2" fmla="val 92649"/>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EDB2970">
                            <w:pPr>
                              <w:spacing w:line="240" w:lineRule="auto"/>
                              <w:ind w:left="0" w:leftChars="0" w:firstLine="0" w:firstLineChars="0"/>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9.85pt;margin-top:267.95pt;height:20.65pt;width:51.55pt;z-index:251673600;v-text-anchor:middle;mso-width-relative:page;mso-height-relative:page;" fillcolor="#FFFFFF [3212]" filled="t" stroked="t" coordsize="21600,21600" o:gfxdata="UEsDBAoAAAAAAIdO4kAAAAAAAAAAAAAAAAAEAAAAZHJzL1BLAwQUAAAACACHTuJAuEcm0NkAAAAL&#10;AQAADwAAAGRycy9kb3ducmV2LnhtbE2PS0/DMBCE70j8B2srcaN2E0KaEKcSSBw59CU4uvE2iepH&#10;FLtp4deznOhxZj/NzlSrqzVswjH03klYzAUwdI3XvWsl7Lbvj0tgISqnlfEOJXxjgFV9f1epUvuL&#10;W+O0iS2jEBdKJaGLcSg5D02HVoW5H9DR7ehHqyLJseV6VBcKt4YnQjxzq3pHHzo14FuHzWlzthLW&#10;P3r7pIPZHz922Rf2y3Q/vX5K+TBbiBdgEa/xH4a/+lQdaup08GenAzOkiyInVEKWZgUwIlKR0JgD&#10;OXmeAK8rfruh/gVQSwMEFAAAAAgAh07iQJjETQWtAgAAWAUAAA4AAABkcnMvZTJvRG9jLnhtbK1U&#10;zW7TQBC+I/EOq723dlw7NFGdKkoUhFTRioI4b9a7ttH+sbuJU16AxwBxgjNnHofyGsyu3TYtPfRA&#10;Ds6MZ/zNfN/s7MnpTgq0Zda1WpV4dJhixBTVVavqEr97uzo4xsh5oioitGIlvmIOn86ePzvpzJRl&#10;utGiYhYBiHLTzpS48d5Mk8TRhkniDrVhCoJcW0k8uLZOKks6QJciydJ0nHTaVsZqypyDt8s+iAdE&#10;+xRAzXlL2VLTjWTK96iWCeKBkmta4/Asdss5o/6cc8c8EiUGpj4+oQjY6/BMZidkWltimpYOLZCn&#10;tPCAkyStgqK3UEviCdrY9h8o2VKrneb+kGqZ9ESiIsBilD7Q5rIhhkUuILUzt6K7/wdLX28vLGqr&#10;Emc5RopImPifLz9+//p2/fXz9c/vCF6DRp1xU0i9NBd28ByYgfCOWxn+gQraAUqRFUeTAqOrEudF&#10;MUrzoteY7TyikDAu8vExxCkkZOMsK2I8uQMy1vmXTEsUjBJ3rKrZG5jjggihNz6qTLZnzke5q6Fn&#10;Un0YYcSlgOltiUAHeZFORsN495Ky/aRJNs4nIQfKD5Bg3TQQ8J0WbbVqhYiOrdcLYRHgl3gVf8PH&#10;99KEQh3wPCrgjFECG8LhZIIpDajsVI0RETWsHvU2krn3sduvkcbfYzVCj0vimr6XiDCkCQV0wrj6&#10;AQXL79a7YWprXV3BvK3uF8EZumoB6ow4f0EsaAc9w93gz+HBhQYeerAwarT99Nj7kA8HEqIYdbBJ&#10;QPLjhliGkXil4KhORnkeVi86efEiA8fuR9b7EbWRCw36wjShu2iGfC9uTG61fA9XyDxUhRBRFGr3&#10;cg7OwvcbDpcQZfN5TIN1M8SfqUtDA3iYp9Lzjde89eEEBKF6dQYHFi4ejOFyCBu978esuwtx9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4RybQ2QAAAAsBAAAPAAAAAAAAAAEAIAAAACIAAABkcnMv&#10;ZG93bnJldi54bWxQSwECFAAUAAAACACHTuJAmMRNBa0CAABYBQAADgAAAAAAAAABACAAAAAoAQAA&#10;ZHJzL2Uyb0RvYy54bWxQSwUGAAAAAAYABgBZAQAARwYAAAAA&#10;" adj="1060,30812">
                <v:fill on="t" focussize="0,0"/>
                <v:stroke weight="0.5pt" color="#000000 [3213]" joinstyle="round"/>
                <v:imagedata o:title=""/>
                <o:lock v:ext="edit" aspectratio="f"/>
                <v:textbox>
                  <w:txbxContent>
                    <w:p w14:paraId="0EDB2970">
                      <w:pPr>
                        <w:spacing w:line="240" w:lineRule="auto"/>
                        <w:ind w:left="0" w:leftChars="0" w:firstLine="0" w:firstLineChars="0"/>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v:textbox>
              </v:shape>
            </w:pict>
          </mc:Fallback>
        </mc:AlternateContent>
      </w:r>
      <w:r>
        <w:rPr>
          <w:rFonts w:hint="eastAsia"/>
          <w:color w:val="auto"/>
          <w:highlight w:val="none"/>
          <w:lang w:val="en-US" w:eastAsia="zh-CN"/>
        </w:rPr>
        <w:drawing>
          <wp:inline distT="0" distB="0" distL="114300" distR="114300">
            <wp:extent cx="6713855" cy="4749165"/>
            <wp:effectExtent l="0" t="0" r="10795" b="13335"/>
            <wp:docPr id="146" name="图片 98" descr="971785f5e851cc10cc77fa6b452f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98" descr="971785f5e851cc10cc77fa6b452fc50"/>
                    <pic:cNvPicPr>
                      <a:picLocks noChangeAspect="1"/>
                    </pic:cNvPicPr>
                  </pic:nvPicPr>
                  <pic:blipFill>
                    <a:blip r:embed="rId57"/>
                    <a:stretch>
                      <a:fillRect/>
                    </a:stretch>
                  </pic:blipFill>
                  <pic:spPr>
                    <a:xfrm>
                      <a:off x="0" y="0"/>
                      <a:ext cx="6713855" cy="4749165"/>
                    </a:xfrm>
                    <a:prstGeom prst="rect">
                      <a:avLst/>
                    </a:prstGeom>
                    <a:noFill/>
                    <a:ln>
                      <a:noFill/>
                    </a:ln>
                  </pic:spPr>
                </pic:pic>
              </a:graphicData>
            </a:graphic>
          </wp:inline>
        </w:drawing>
      </w:r>
    </w:p>
    <w:p w14:paraId="767073D1">
      <w:pPr>
        <w:ind w:left="0" w:leftChars="0" w:firstLine="0" w:firstLineChars="0"/>
        <w:outlineLvl w:val="0"/>
        <w:rPr>
          <w:rFonts w:hint="default" w:ascii="宋体" w:hAnsi="宋体" w:eastAsia="宋体" w:cs="宋体"/>
          <w:b/>
          <w:bCs w:val="0"/>
          <w:color w:val="auto"/>
          <w:spacing w:val="0"/>
          <w:highlight w:val="none"/>
          <w:lang w:val="en-US" w:eastAsia="zh-CN"/>
        </w:rPr>
      </w:pPr>
      <w:bookmarkStart w:id="28" w:name="_Toc27978"/>
      <w:r>
        <w:rPr>
          <w:rFonts w:hint="eastAsia" w:ascii="宋体" w:hAnsi="宋体" w:eastAsia="宋体" w:cs="宋体"/>
          <w:b/>
          <w:bCs w:val="0"/>
          <w:color w:val="auto"/>
          <w:spacing w:val="0"/>
          <w:highlight w:val="none"/>
          <w:lang w:val="en-US" w:eastAsia="zh-CN"/>
        </w:rPr>
        <w:t>附图</w:t>
      </w:r>
      <w:r>
        <w:rPr>
          <w:rFonts w:hint="eastAsia" w:cs="宋体"/>
          <w:b/>
          <w:bCs w:val="0"/>
          <w:color w:val="auto"/>
          <w:spacing w:val="0"/>
          <w:highlight w:val="none"/>
          <w:lang w:val="en-US" w:eastAsia="zh-CN"/>
        </w:rPr>
        <w:t>6</w:t>
      </w:r>
      <w:r>
        <w:rPr>
          <w:rFonts w:hint="eastAsia" w:ascii="宋体" w:hAnsi="宋体" w:eastAsia="宋体" w:cs="宋体"/>
          <w:b/>
          <w:bCs w:val="0"/>
          <w:color w:val="auto"/>
          <w:spacing w:val="0"/>
          <w:highlight w:val="none"/>
          <w:lang w:val="en-US" w:eastAsia="zh-CN"/>
        </w:rPr>
        <w:t xml:space="preserve"> 公示截图</w:t>
      </w:r>
      <w:bookmarkEnd w:id="28"/>
    </w:p>
    <w:p w14:paraId="162616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color w:val="auto"/>
          <w:highlight w:val="none"/>
        </w:rPr>
        <w:sectPr>
          <w:pgSz w:w="11906" w:h="16838"/>
          <w:pgMar w:top="1800" w:right="1440" w:bottom="1800"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highlight w:val="none"/>
        </w:rPr>
        <w:drawing>
          <wp:inline distT="0" distB="0" distL="114300" distR="114300">
            <wp:extent cx="5730875" cy="4284345"/>
            <wp:effectExtent l="0" t="0" r="3175" b="1905"/>
            <wp:docPr id="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pic:cNvPicPr>
                      <a:picLocks noChangeAspect="1"/>
                    </pic:cNvPicPr>
                  </pic:nvPicPr>
                  <pic:blipFill>
                    <a:blip r:embed="rId58"/>
                    <a:stretch>
                      <a:fillRect/>
                    </a:stretch>
                  </pic:blipFill>
                  <pic:spPr>
                    <a:xfrm>
                      <a:off x="0" y="0"/>
                      <a:ext cx="5730875" cy="4284345"/>
                    </a:xfrm>
                    <a:prstGeom prst="rect">
                      <a:avLst/>
                    </a:prstGeom>
                    <a:noFill/>
                    <a:ln>
                      <a:noFill/>
                    </a:ln>
                  </pic:spPr>
                </pic:pic>
              </a:graphicData>
            </a:graphic>
          </wp:inline>
        </w:drawing>
      </w:r>
    </w:p>
    <w:p w14:paraId="15F9FE1A">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left"/>
        <w:textAlignment w:val="auto"/>
        <w:outlineLvl w:val="0"/>
        <w:rPr>
          <w:rFonts w:hint="default"/>
          <w:b/>
          <w:bCs/>
          <w:highlight w:val="none"/>
          <w:lang w:val="en-US" w:eastAsia="zh-CN"/>
        </w:rPr>
      </w:pPr>
      <w:r>
        <w:rPr>
          <w:rFonts w:hint="eastAsia"/>
          <w:b/>
          <w:bCs/>
          <w:highlight w:val="none"/>
          <w:lang w:val="en-US" w:eastAsia="zh-CN"/>
        </w:rPr>
        <w:t>附件7 本项目分区防渗图</w:t>
      </w:r>
    </w:p>
    <w:p w14:paraId="3C726809">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eastAsia"/>
          <w:highlight w:val="none"/>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highlight w:val="none"/>
        </w:rPr>
        <w:drawing>
          <wp:inline distT="0" distB="0" distL="114300" distR="114300">
            <wp:extent cx="7614285" cy="5293360"/>
            <wp:effectExtent l="0" t="0" r="5715" b="2540"/>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44"/>
                    <a:stretch>
                      <a:fillRect/>
                    </a:stretch>
                  </pic:blipFill>
                  <pic:spPr>
                    <a:xfrm>
                      <a:off x="0" y="0"/>
                      <a:ext cx="7614285" cy="5293360"/>
                    </a:xfrm>
                    <a:prstGeom prst="rect">
                      <a:avLst/>
                    </a:prstGeom>
                    <a:noFill/>
                    <a:ln>
                      <a:noFill/>
                    </a:ln>
                  </pic:spPr>
                </pic:pic>
              </a:graphicData>
            </a:graphic>
          </wp:inline>
        </w:drawing>
      </w:r>
    </w:p>
    <w:p w14:paraId="1A2DF16C">
      <w:pPr>
        <w:ind w:left="0" w:leftChars="0" w:firstLine="0" w:firstLineChars="0"/>
        <w:outlineLvl w:val="0"/>
        <w:rPr>
          <w:rFonts w:hint="eastAsia" w:ascii="宋体" w:hAnsi="宋体" w:eastAsia="宋体" w:cs="宋体"/>
          <w:b/>
          <w:bCs w:val="0"/>
          <w:color w:val="auto"/>
          <w:spacing w:val="0"/>
          <w:highlight w:val="none"/>
          <w:lang w:val="en-US" w:eastAsia="zh-CN"/>
        </w:rPr>
      </w:pPr>
      <w:bookmarkStart w:id="29" w:name="_Toc12457"/>
      <w:r>
        <w:rPr>
          <w:rFonts w:hint="eastAsia" w:ascii="宋体" w:hAnsi="宋体" w:eastAsia="宋体" w:cs="宋体"/>
          <w:b/>
          <w:bCs w:val="0"/>
          <w:color w:val="auto"/>
          <w:spacing w:val="0"/>
          <w:highlight w:val="none"/>
          <w:lang w:val="en-US" w:eastAsia="zh-CN"/>
        </w:rPr>
        <w:t>附件1 营业执照</w:t>
      </w:r>
      <w:bookmarkEnd w:id="29"/>
    </w:p>
    <w:p w14:paraId="1A1415C7">
      <w:pPr>
        <w:pStyle w:val="20"/>
        <w:ind w:left="0" w:leftChars="0" w:firstLine="0" w:firstLineChars="0"/>
        <w:jc w:val="center"/>
        <w:rPr>
          <w:rFonts w:hint="eastAsia" w:ascii="宋体" w:hAnsi="宋体" w:eastAsia="宋体" w:cs="宋体"/>
          <w:color w:val="auto"/>
          <w:spacing w:val="0"/>
          <w:szCs w:val="32"/>
          <w:highlight w:val="none"/>
          <w:lang w:eastAsia="zh-CN"/>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color w:val="auto"/>
          <w:highlight w:val="none"/>
        </w:rPr>
        <w:drawing>
          <wp:inline distT="0" distB="0" distL="114300" distR="114300">
            <wp:extent cx="5268595" cy="7518400"/>
            <wp:effectExtent l="0" t="0" r="6350" b="8255"/>
            <wp:docPr id="13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9"/>
                    <pic:cNvPicPr>
                      <a:picLocks noChangeAspect="1"/>
                    </pic:cNvPicPr>
                  </pic:nvPicPr>
                  <pic:blipFill>
                    <a:blip r:embed="rId59"/>
                    <a:stretch>
                      <a:fillRect/>
                    </a:stretch>
                  </pic:blipFill>
                  <pic:spPr>
                    <a:xfrm rot="16200000">
                      <a:off x="0" y="0"/>
                      <a:ext cx="5268595" cy="7518400"/>
                    </a:xfrm>
                    <a:prstGeom prst="rect">
                      <a:avLst/>
                    </a:prstGeom>
                    <a:noFill/>
                    <a:ln>
                      <a:noFill/>
                    </a:ln>
                  </pic:spPr>
                </pic:pic>
              </a:graphicData>
            </a:graphic>
          </wp:inline>
        </w:drawing>
      </w:r>
    </w:p>
    <w:p w14:paraId="52D4319E">
      <w:pPr>
        <w:spacing w:line="360" w:lineRule="auto"/>
        <w:ind w:left="0" w:leftChars="0" w:firstLine="0" w:firstLineChars="0"/>
        <w:outlineLvl w:val="0"/>
        <w:rPr>
          <w:rFonts w:hint="eastAsia" w:cs="宋体"/>
          <w:b/>
          <w:bCs w:val="0"/>
          <w:color w:val="auto"/>
          <w:spacing w:val="0"/>
          <w:highlight w:val="none"/>
          <w:lang w:val="en-US" w:eastAsia="zh-CN"/>
        </w:rPr>
      </w:pPr>
      <w:bookmarkStart w:id="30" w:name="_Toc28494"/>
      <w:r>
        <w:rPr>
          <w:rFonts w:hint="eastAsia" w:cs="宋体"/>
          <w:b/>
          <w:bCs w:val="0"/>
          <w:color w:val="auto"/>
          <w:spacing w:val="0"/>
          <w:highlight w:val="none"/>
          <w:lang w:val="en-US" w:eastAsia="zh-CN"/>
        </w:rPr>
        <w:t>附件2 投资备案文件</w:t>
      </w:r>
      <w:bookmarkEnd w:id="30"/>
    </w:p>
    <w:p w14:paraId="01499AD6">
      <w:pPr>
        <w:spacing w:line="360" w:lineRule="auto"/>
        <w:ind w:left="0" w:leftChars="0" w:firstLine="0" w:firstLineChars="0"/>
        <w:outlineLvl w:val="9"/>
        <w:rPr>
          <w:rFonts w:hint="default" w:ascii="宋体" w:hAnsi="宋体" w:eastAsia="宋体" w:cs="宋体"/>
          <w:b/>
          <w:bCs w:val="0"/>
          <w:color w:val="auto"/>
          <w:spacing w:val="0"/>
          <w:highlight w:val="none"/>
          <w:lang w:val="en-US"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default" w:ascii="宋体" w:hAnsi="宋体" w:eastAsia="宋体" w:cs="宋体"/>
          <w:b/>
          <w:bCs w:val="0"/>
          <w:color w:val="auto"/>
          <w:spacing w:val="0"/>
          <w:highlight w:val="none"/>
          <w:lang w:val="en-US" w:eastAsia="zh-CN"/>
        </w:rPr>
        <w:drawing>
          <wp:inline distT="0" distB="0" distL="114300" distR="114300">
            <wp:extent cx="5267960" cy="7453630"/>
            <wp:effectExtent l="0" t="0" r="8890" b="13970"/>
            <wp:docPr id="2" name="图片 2" descr="燎泰投资备案文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燎泰投资备案文件_01"/>
                    <pic:cNvPicPr>
                      <a:picLocks noChangeAspect="1"/>
                    </pic:cNvPicPr>
                  </pic:nvPicPr>
                  <pic:blipFill>
                    <a:blip r:embed="rId60"/>
                    <a:stretch>
                      <a:fillRect/>
                    </a:stretch>
                  </pic:blipFill>
                  <pic:spPr>
                    <a:xfrm>
                      <a:off x="0" y="0"/>
                      <a:ext cx="5267960" cy="7453630"/>
                    </a:xfrm>
                    <a:prstGeom prst="rect">
                      <a:avLst/>
                    </a:prstGeom>
                  </pic:spPr>
                </pic:pic>
              </a:graphicData>
            </a:graphic>
          </wp:inline>
        </w:drawing>
      </w:r>
    </w:p>
    <w:p w14:paraId="1296C562">
      <w:pPr>
        <w:spacing w:line="360" w:lineRule="auto"/>
        <w:ind w:left="0" w:leftChars="0" w:firstLine="0" w:firstLineChars="0"/>
        <w:outlineLvl w:val="0"/>
        <w:rPr>
          <w:rFonts w:hint="eastAsia" w:ascii="宋体" w:hAnsi="宋体" w:eastAsia="宋体" w:cs="宋体"/>
          <w:b/>
          <w:bCs w:val="0"/>
          <w:color w:val="auto"/>
          <w:spacing w:val="0"/>
          <w:highlight w:val="none"/>
          <w:lang w:val="en-US" w:eastAsia="zh-CN"/>
        </w:rPr>
      </w:pPr>
      <w:bookmarkStart w:id="31" w:name="_Toc5128"/>
      <w:r>
        <w:rPr>
          <w:rFonts w:hint="eastAsia" w:ascii="宋体" w:hAnsi="宋体" w:eastAsia="宋体" w:cs="宋体"/>
          <w:b/>
          <w:bCs w:val="0"/>
          <w:color w:val="auto"/>
          <w:spacing w:val="0"/>
          <w:highlight w:val="none"/>
          <w:lang w:val="en-US" w:eastAsia="zh-CN"/>
        </w:rPr>
        <w:t>附件</w:t>
      </w:r>
      <w:r>
        <w:rPr>
          <w:rFonts w:hint="eastAsia" w:cs="宋体"/>
          <w:b/>
          <w:bCs w:val="0"/>
          <w:color w:val="auto"/>
          <w:spacing w:val="0"/>
          <w:highlight w:val="none"/>
          <w:lang w:val="en-US" w:eastAsia="zh-CN"/>
        </w:rPr>
        <w:t xml:space="preserve">3 </w:t>
      </w:r>
      <w:r>
        <w:rPr>
          <w:rFonts w:hint="eastAsia" w:ascii="宋体" w:hAnsi="宋体" w:eastAsia="宋体" w:cs="宋体"/>
          <w:b/>
          <w:bCs w:val="0"/>
          <w:color w:val="auto"/>
          <w:spacing w:val="0"/>
          <w:highlight w:val="none"/>
          <w:lang w:val="en-US" w:eastAsia="zh-CN"/>
        </w:rPr>
        <w:t>原项目环评批复</w:t>
      </w:r>
      <w:bookmarkEnd w:id="31"/>
    </w:p>
    <w:p w14:paraId="67208F1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highlight w:val="none"/>
        </w:rPr>
      </w:pPr>
      <w:r>
        <w:rPr>
          <w:color w:val="auto"/>
          <w:highlight w:val="none"/>
        </w:rPr>
        <w:drawing>
          <wp:inline distT="0" distB="0" distL="114300" distR="114300">
            <wp:extent cx="5253355" cy="7672705"/>
            <wp:effectExtent l="0" t="0" r="4445" b="4445"/>
            <wp:docPr id="5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4"/>
                    <pic:cNvPicPr>
                      <a:picLocks noChangeAspect="1"/>
                    </pic:cNvPicPr>
                  </pic:nvPicPr>
                  <pic:blipFill>
                    <a:blip r:embed="rId61"/>
                    <a:stretch>
                      <a:fillRect/>
                    </a:stretch>
                  </pic:blipFill>
                  <pic:spPr>
                    <a:xfrm>
                      <a:off x="0" y="0"/>
                      <a:ext cx="5253355" cy="7672705"/>
                    </a:xfrm>
                    <a:prstGeom prst="rect">
                      <a:avLst/>
                    </a:prstGeom>
                    <a:noFill/>
                    <a:ln>
                      <a:noFill/>
                    </a:ln>
                  </pic:spPr>
                </pic:pic>
              </a:graphicData>
            </a:graphic>
          </wp:inline>
        </w:drawing>
      </w:r>
      <w:r>
        <w:rPr>
          <w:color w:val="auto"/>
          <w:highlight w:val="none"/>
        </w:rPr>
        <w:drawing>
          <wp:inline distT="0" distB="0" distL="114300" distR="114300">
            <wp:extent cx="5270500" cy="7806055"/>
            <wp:effectExtent l="0" t="0" r="6350" b="4445"/>
            <wp:docPr id="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pic:cNvPicPr>
                      <a:picLocks noChangeAspect="1"/>
                    </pic:cNvPicPr>
                  </pic:nvPicPr>
                  <pic:blipFill>
                    <a:blip r:embed="rId62"/>
                    <a:stretch>
                      <a:fillRect/>
                    </a:stretch>
                  </pic:blipFill>
                  <pic:spPr>
                    <a:xfrm>
                      <a:off x="0" y="0"/>
                      <a:ext cx="5270500" cy="7806055"/>
                    </a:xfrm>
                    <a:prstGeom prst="rect">
                      <a:avLst/>
                    </a:prstGeom>
                    <a:noFill/>
                    <a:ln>
                      <a:noFill/>
                    </a:ln>
                  </pic:spPr>
                </pic:pic>
              </a:graphicData>
            </a:graphic>
          </wp:inline>
        </w:drawing>
      </w:r>
      <w:r>
        <w:rPr>
          <w:color w:val="auto"/>
          <w:highlight w:val="none"/>
        </w:rPr>
        <w:drawing>
          <wp:inline distT="0" distB="0" distL="114300" distR="114300">
            <wp:extent cx="5254625" cy="7799705"/>
            <wp:effectExtent l="0" t="0" r="3175" b="10795"/>
            <wp:docPr id="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6"/>
                    <pic:cNvPicPr>
                      <a:picLocks noChangeAspect="1"/>
                    </pic:cNvPicPr>
                  </pic:nvPicPr>
                  <pic:blipFill>
                    <a:blip r:embed="rId63"/>
                    <a:stretch>
                      <a:fillRect/>
                    </a:stretch>
                  </pic:blipFill>
                  <pic:spPr>
                    <a:xfrm>
                      <a:off x="0" y="0"/>
                      <a:ext cx="5254625" cy="7799705"/>
                    </a:xfrm>
                    <a:prstGeom prst="rect">
                      <a:avLst/>
                    </a:prstGeom>
                    <a:noFill/>
                    <a:ln>
                      <a:noFill/>
                    </a:ln>
                  </pic:spPr>
                </pic:pic>
              </a:graphicData>
            </a:graphic>
          </wp:inline>
        </w:drawing>
      </w:r>
      <w:r>
        <w:rPr>
          <w:color w:val="auto"/>
          <w:highlight w:val="none"/>
        </w:rPr>
        <w:drawing>
          <wp:inline distT="0" distB="0" distL="114300" distR="114300">
            <wp:extent cx="5253355" cy="7984490"/>
            <wp:effectExtent l="0" t="0" r="4445" b="16510"/>
            <wp:docPr id="6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7"/>
                    <pic:cNvPicPr>
                      <a:picLocks noChangeAspect="1"/>
                    </pic:cNvPicPr>
                  </pic:nvPicPr>
                  <pic:blipFill>
                    <a:blip r:embed="rId64"/>
                    <a:stretch>
                      <a:fillRect/>
                    </a:stretch>
                  </pic:blipFill>
                  <pic:spPr>
                    <a:xfrm>
                      <a:off x="0" y="0"/>
                      <a:ext cx="5253355" cy="7984490"/>
                    </a:xfrm>
                    <a:prstGeom prst="rect">
                      <a:avLst/>
                    </a:prstGeom>
                    <a:noFill/>
                    <a:ln>
                      <a:noFill/>
                    </a:ln>
                  </pic:spPr>
                </pic:pic>
              </a:graphicData>
            </a:graphic>
          </wp:inline>
        </w:drawing>
      </w:r>
      <w:r>
        <w:rPr>
          <w:color w:val="auto"/>
          <w:highlight w:val="none"/>
        </w:rPr>
        <w:drawing>
          <wp:inline distT="0" distB="0" distL="114300" distR="114300">
            <wp:extent cx="5270500" cy="7766050"/>
            <wp:effectExtent l="0" t="0" r="6350" b="6350"/>
            <wp:docPr id="6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8"/>
                    <pic:cNvPicPr>
                      <a:picLocks noChangeAspect="1"/>
                    </pic:cNvPicPr>
                  </pic:nvPicPr>
                  <pic:blipFill>
                    <a:blip r:embed="rId65"/>
                    <a:stretch>
                      <a:fillRect/>
                    </a:stretch>
                  </pic:blipFill>
                  <pic:spPr>
                    <a:xfrm>
                      <a:off x="0" y="0"/>
                      <a:ext cx="5270500" cy="7766050"/>
                    </a:xfrm>
                    <a:prstGeom prst="rect">
                      <a:avLst/>
                    </a:prstGeom>
                    <a:noFill/>
                    <a:ln>
                      <a:noFill/>
                    </a:ln>
                  </pic:spPr>
                </pic:pic>
              </a:graphicData>
            </a:graphic>
          </wp:inline>
        </w:drawing>
      </w:r>
      <w:r>
        <w:rPr>
          <w:color w:val="auto"/>
          <w:highlight w:val="none"/>
        </w:rPr>
        <w:br w:type="page"/>
      </w:r>
    </w:p>
    <w:p w14:paraId="2FBF0B51">
      <w:pPr>
        <w:pStyle w:val="36"/>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textAlignment w:val="auto"/>
        <w:outlineLvl w:val="0"/>
        <w:rPr>
          <w:rFonts w:hint="eastAsia" w:cs="宋体"/>
          <w:b/>
          <w:bCs w:val="0"/>
          <w:color w:val="auto"/>
          <w:spacing w:val="0"/>
          <w:highlight w:val="none"/>
          <w:lang w:val="en-US" w:eastAsia="zh-CN"/>
        </w:rPr>
      </w:pPr>
      <w:bookmarkStart w:id="32" w:name="_Toc21258"/>
      <w:r>
        <w:rPr>
          <w:rFonts w:hint="eastAsia" w:cs="宋体"/>
          <w:b/>
          <w:bCs w:val="0"/>
          <w:color w:val="auto"/>
          <w:spacing w:val="0"/>
          <w:highlight w:val="none"/>
          <w:lang w:val="en-US" w:eastAsia="zh-CN"/>
        </w:rPr>
        <w:t>附件4 园区规划批复</w:t>
      </w:r>
      <w:bookmarkEnd w:id="32"/>
    </w:p>
    <w:p w14:paraId="696146CF">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rPr>
          <w:rFonts w:hint="eastAsia" w:ascii="宋体" w:hAnsi="宋体" w:eastAsia="宋体" w:cs="宋体"/>
          <w:color w:val="auto"/>
          <w:spacing w:val="0"/>
          <w:highlight w:val="none"/>
          <w:lang w:val="en-US"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eastAsia="宋体"/>
          <w:color w:val="auto"/>
          <w:highlight w:val="none"/>
          <w:vertAlign w:val="baseline"/>
          <w:lang w:eastAsia="zh-CN"/>
        </w:rPr>
        <w:drawing>
          <wp:inline distT="0" distB="0" distL="114300" distR="114300">
            <wp:extent cx="5271135" cy="7453630"/>
            <wp:effectExtent l="0" t="0" r="5715" b="13970"/>
            <wp:docPr id="66" name="图片 19" descr="关于《黑龙江鸡西经济开发区（梨树工业谷）总体规划（2018-2030）环境影响报告书》的审查意见正文（可编辑）(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9" descr="关于《黑龙江鸡西经济开发区（梨树工业谷）总体规划（2018-2030）环境影响报告书》的审查意见正文（可编辑）(2)_00"/>
                    <pic:cNvPicPr>
                      <a:picLocks noChangeAspect="1"/>
                    </pic:cNvPicPr>
                  </pic:nvPicPr>
                  <pic:blipFill>
                    <a:blip r:embed="rId66"/>
                    <a:stretch>
                      <a:fillRect/>
                    </a:stretch>
                  </pic:blipFill>
                  <pic:spPr>
                    <a:xfrm>
                      <a:off x="0" y="0"/>
                      <a:ext cx="5271135" cy="7453630"/>
                    </a:xfrm>
                    <a:prstGeom prst="rect">
                      <a:avLst/>
                    </a:prstGeom>
                    <a:noFill/>
                    <a:ln>
                      <a:noFill/>
                    </a:ln>
                  </pic:spPr>
                </pic:pic>
              </a:graphicData>
            </a:graphic>
          </wp:inline>
        </w:drawing>
      </w:r>
      <w:r>
        <w:rPr>
          <w:rFonts w:hint="eastAsia" w:eastAsia="宋体"/>
          <w:color w:val="auto"/>
          <w:highlight w:val="none"/>
          <w:vertAlign w:val="baseline"/>
          <w:lang w:eastAsia="zh-CN"/>
        </w:rPr>
        <w:drawing>
          <wp:inline distT="0" distB="0" distL="114300" distR="114300">
            <wp:extent cx="5271135" cy="7453630"/>
            <wp:effectExtent l="0" t="0" r="5715" b="13970"/>
            <wp:docPr id="67" name="图片 20" descr="关于《黑龙江鸡西经济开发区（梨树工业谷）总体规划（2018-2030）环境影响报告书》的审查意见正文（可编辑）(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0" descr="关于《黑龙江鸡西经济开发区（梨树工业谷）总体规划（2018-2030）环境影响报告书》的审查意见正文（可编辑）(2)_01"/>
                    <pic:cNvPicPr>
                      <a:picLocks noChangeAspect="1"/>
                    </pic:cNvPicPr>
                  </pic:nvPicPr>
                  <pic:blipFill>
                    <a:blip r:embed="rId67"/>
                    <a:stretch>
                      <a:fillRect/>
                    </a:stretch>
                  </pic:blipFill>
                  <pic:spPr>
                    <a:xfrm>
                      <a:off x="0" y="0"/>
                      <a:ext cx="5271135" cy="7453630"/>
                    </a:xfrm>
                    <a:prstGeom prst="rect">
                      <a:avLst/>
                    </a:prstGeom>
                    <a:noFill/>
                    <a:ln>
                      <a:noFill/>
                    </a:ln>
                  </pic:spPr>
                </pic:pic>
              </a:graphicData>
            </a:graphic>
          </wp:inline>
        </w:drawing>
      </w:r>
      <w:r>
        <w:rPr>
          <w:rFonts w:hint="eastAsia" w:eastAsia="宋体"/>
          <w:color w:val="auto"/>
          <w:highlight w:val="none"/>
          <w:vertAlign w:val="baseline"/>
          <w:lang w:eastAsia="zh-CN"/>
        </w:rPr>
        <w:drawing>
          <wp:inline distT="0" distB="0" distL="114300" distR="114300">
            <wp:extent cx="5271135" cy="7453630"/>
            <wp:effectExtent l="0" t="0" r="5715" b="13970"/>
            <wp:docPr id="72" name="图片 21" descr="关于《黑龙江鸡西经济开发区（梨树工业谷）总体规划（2018-2030）环境影响报告书》的审查意见正文（可编辑）(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1" descr="关于《黑龙江鸡西经济开发区（梨树工业谷）总体规划（2018-2030）环境影响报告书》的审查意见正文（可编辑）(2)_02"/>
                    <pic:cNvPicPr>
                      <a:picLocks noChangeAspect="1"/>
                    </pic:cNvPicPr>
                  </pic:nvPicPr>
                  <pic:blipFill>
                    <a:blip r:embed="rId68"/>
                    <a:stretch>
                      <a:fillRect/>
                    </a:stretch>
                  </pic:blipFill>
                  <pic:spPr>
                    <a:xfrm>
                      <a:off x="0" y="0"/>
                      <a:ext cx="5271135" cy="7453630"/>
                    </a:xfrm>
                    <a:prstGeom prst="rect">
                      <a:avLst/>
                    </a:prstGeom>
                    <a:noFill/>
                    <a:ln>
                      <a:noFill/>
                    </a:ln>
                  </pic:spPr>
                </pic:pic>
              </a:graphicData>
            </a:graphic>
          </wp:inline>
        </w:drawing>
      </w:r>
      <w:r>
        <w:rPr>
          <w:rFonts w:hint="eastAsia" w:eastAsia="宋体"/>
          <w:color w:val="auto"/>
          <w:highlight w:val="none"/>
          <w:vertAlign w:val="baseline"/>
          <w:lang w:eastAsia="zh-CN"/>
        </w:rPr>
        <w:drawing>
          <wp:inline distT="0" distB="0" distL="114300" distR="114300">
            <wp:extent cx="5271135" cy="7453630"/>
            <wp:effectExtent l="0" t="0" r="5715" b="13970"/>
            <wp:docPr id="73" name="图片 22" descr="关于《黑龙江鸡西经济开发区（梨树工业谷）总体规划（2018-2030）环境影响报告书》的审查意见正文（可编辑）(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2" descr="关于《黑龙江鸡西经济开发区（梨树工业谷）总体规划（2018-2030）环境影响报告书》的审查意见正文（可编辑）(2)_03"/>
                    <pic:cNvPicPr>
                      <a:picLocks noChangeAspect="1"/>
                    </pic:cNvPicPr>
                  </pic:nvPicPr>
                  <pic:blipFill>
                    <a:blip r:embed="rId69"/>
                    <a:stretch>
                      <a:fillRect/>
                    </a:stretch>
                  </pic:blipFill>
                  <pic:spPr>
                    <a:xfrm>
                      <a:off x="0" y="0"/>
                      <a:ext cx="5271135" cy="7453630"/>
                    </a:xfrm>
                    <a:prstGeom prst="rect">
                      <a:avLst/>
                    </a:prstGeom>
                    <a:noFill/>
                    <a:ln>
                      <a:noFill/>
                    </a:ln>
                  </pic:spPr>
                </pic:pic>
              </a:graphicData>
            </a:graphic>
          </wp:inline>
        </w:drawing>
      </w:r>
      <w:r>
        <w:rPr>
          <w:rFonts w:hint="eastAsia" w:eastAsia="宋体"/>
          <w:color w:val="auto"/>
          <w:highlight w:val="none"/>
          <w:vertAlign w:val="baseline"/>
          <w:lang w:eastAsia="zh-CN"/>
        </w:rPr>
        <w:drawing>
          <wp:inline distT="0" distB="0" distL="114300" distR="114300">
            <wp:extent cx="5271135" cy="7453630"/>
            <wp:effectExtent l="0" t="0" r="5715" b="13970"/>
            <wp:docPr id="74" name="图片 23" descr="关于《黑龙江鸡西经济开发区（梨树工业谷）总体规划（2018-2030）环境影响报告书》的审查意见正文（可编辑）(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3" descr="关于《黑龙江鸡西经济开发区（梨树工业谷）总体规划（2018-2030）环境影响报告书》的审查意见正文（可编辑）(2)_04"/>
                    <pic:cNvPicPr>
                      <a:picLocks noChangeAspect="1"/>
                    </pic:cNvPicPr>
                  </pic:nvPicPr>
                  <pic:blipFill>
                    <a:blip r:embed="rId70"/>
                    <a:stretch>
                      <a:fillRect/>
                    </a:stretch>
                  </pic:blipFill>
                  <pic:spPr>
                    <a:xfrm>
                      <a:off x="0" y="0"/>
                      <a:ext cx="5271135" cy="7453630"/>
                    </a:xfrm>
                    <a:prstGeom prst="rect">
                      <a:avLst/>
                    </a:prstGeom>
                    <a:noFill/>
                    <a:ln>
                      <a:noFill/>
                    </a:ln>
                  </pic:spPr>
                </pic:pic>
              </a:graphicData>
            </a:graphic>
          </wp:inline>
        </w:drawing>
      </w:r>
      <w:r>
        <w:rPr>
          <w:rFonts w:hint="eastAsia" w:eastAsia="宋体"/>
          <w:color w:val="auto"/>
          <w:highlight w:val="none"/>
          <w:vertAlign w:val="baseline"/>
          <w:lang w:eastAsia="zh-CN"/>
        </w:rPr>
        <w:drawing>
          <wp:inline distT="0" distB="0" distL="114300" distR="114300">
            <wp:extent cx="5271135" cy="7453630"/>
            <wp:effectExtent l="0" t="0" r="5715" b="13970"/>
            <wp:docPr id="75" name="图片 24" descr="关于《黑龙江鸡西经济开发区（梨树工业谷）总体规划（2018-2030）环境影响报告书》的审查意见正文（可编辑）(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4" descr="关于《黑龙江鸡西经济开发区（梨树工业谷）总体规划（2018-2030）环境影响报告书》的审查意见正文（可编辑）(2)_05"/>
                    <pic:cNvPicPr>
                      <a:picLocks noChangeAspect="1"/>
                    </pic:cNvPicPr>
                  </pic:nvPicPr>
                  <pic:blipFill>
                    <a:blip r:embed="rId71"/>
                    <a:stretch>
                      <a:fillRect/>
                    </a:stretch>
                  </pic:blipFill>
                  <pic:spPr>
                    <a:xfrm>
                      <a:off x="0" y="0"/>
                      <a:ext cx="5271135" cy="7453630"/>
                    </a:xfrm>
                    <a:prstGeom prst="rect">
                      <a:avLst/>
                    </a:prstGeom>
                    <a:noFill/>
                    <a:ln>
                      <a:noFill/>
                    </a:ln>
                  </pic:spPr>
                </pic:pic>
              </a:graphicData>
            </a:graphic>
          </wp:inline>
        </w:drawing>
      </w:r>
      <w:r>
        <w:rPr>
          <w:rFonts w:hint="eastAsia" w:ascii="宋体" w:hAnsi="宋体" w:eastAsia="宋体" w:cs="宋体"/>
          <w:color w:val="auto"/>
          <w:spacing w:val="0"/>
          <w:highlight w:val="none"/>
        </w:rPr>
        <w:br w:type="page"/>
      </w:r>
    </w:p>
    <w:p w14:paraId="28AC27CD">
      <w:pPr>
        <w:pStyle w:val="46"/>
        <w:spacing w:line="360" w:lineRule="auto"/>
        <w:jc w:val="both"/>
        <w:outlineLvl w:val="0"/>
        <w:rPr>
          <w:rFonts w:hint="default" w:ascii="宋体" w:hAnsi="宋体" w:eastAsia="宋体" w:cs="宋体"/>
          <w:b/>
          <w:bCs/>
          <w:snapToGrid w:val="0"/>
          <w:color w:val="auto"/>
          <w:spacing w:val="0"/>
          <w:kern w:val="0"/>
          <w:sz w:val="24"/>
          <w:szCs w:val="24"/>
          <w:highlight w:val="none"/>
          <w:lang w:val="en-US" w:eastAsia="zh-CN" w:bidi="ar-SA"/>
        </w:rPr>
      </w:pPr>
      <w:bookmarkStart w:id="33" w:name="_Toc24798"/>
      <w:r>
        <w:rPr>
          <w:rFonts w:hint="eastAsia" w:ascii="宋体" w:hAnsi="宋体" w:eastAsia="宋体" w:cs="宋体"/>
          <w:b/>
          <w:bCs/>
          <w:snapToGrid w:val="0"/>
          <w:color w:val="auto"/>
          <w:spacing w:val="0"/>
          <w:kern w:val="0"/>
          <w:sz w:val="24"/>
          <w:szCs w:val="24"/>
          <w:highlight w:val="none"/>
          <w:lang w:val="en-US" w:eastAsia="zh-CN" w:bidi="ar-SA"/>
        </w:rPr>
        <w:t>附件</w:t>
      </w:r>
      <w:r>
        <w:rPr>
          <w:rFonts w:hint="eastAsia" w:ascii="宋体" w:hAnsi="宋体" w:cs="宋体"/>
          <w:b/>
          <w:bCs/>
          <w:snapToGrid w:val="0"/>
          <w:color w:val="auto"/>
          <w:spacing w:val="0"/>
          <w:kern w:val="0"/>
          <w:sz w:val="24"/>
          <w:szCs w:val="24"/>
          <w:highlight w:val="none"/>
          <w:lang w:val="en-US" w:eastAsia="zh-CN" w:bidi="ar-SA"/>
        </w:rPr>
        <w:t>5</w:t>
      </w:r>
      <w:r>
        <w:rPr>
          <w:rFonts w:hint="eastAsia" w:ascii="宋体" w:hAnsi="宋体" w:eastAsia="宋体" w:cs="宋体"/>
          <w:b/>
          <w:bCs/>
          <w:snapToGrid w:val="0"/>
          <w:color w:val="auto"/>
          <w:spacing w:val="0"/>
          <w:kern w:val="0"/>
          <w:sz w:val="24"/>
          <w:szCs w:val="24"/>
          <w:highlight w:val="none"/>
          <w:lang w:val="en-US" w:eastAsia="zh-CN" w:bidi="ar-SA"/>
        </w:rPr>
        <w:t xml:space="preserve"> </w:t>
      </w:r>
      <w:r>
        <w:rPr>
          <w:rFonts w:hint="eastAsia" w:ascii="宋体" w:hAnsi="宋体" w:cs="宋体"/>
          <w:b/>
          <w:bCs/>
          <w:snapToGrid w:val="0"/>
          <w:color w:val="auto"/>
          <w:spacing w:val="0"/>
          <w:kern w:val="0"/>
          <w:sz w:val="24"/>
          <w:szCs w:val="24"/>
          <w:highlight w:val="none"/>
          <w:lang w:val="en-US" w:eastAsia="zh-CN" w:bidi="ar-SA"/>
        </w:rPr>
        <w:t>燃料分析</w:t>
      </w:r>
      <w:r>
        <w:rPr>
          <w:rFonts w:hint="eastAsia" w:ascii="宋体" w:hAnsi="宋体" w:eastAsia="宋体" w:cs="宋体"/>
          <w:b/>
          <w:bCs/>
          <w:snapToGrid w:val="0"/>
          <w:color w:val="auto"/>
          <w:spacing w:val="0"/>
          <w:kern w:val="0"/>
          <w:sz w:val="24"/>
          <w:szCs w:val="24"/>
          <w:highlight w:val="none"/>
          <w:lang w:val="en-US" w:eastAsia="zh-CN" w:bidi="ar-SA"/>
        </w:rPr>
        <w:t>报告</w:t>
      </w:r>
      <w:bookmarkEnd w:id="33"/>
    </w:p>
    <w:p w14:paraId="3C8AE47A">
      <w:pPr>
        <w:pStyle w:val="46"/>
        <w:jc w:val="center"/>
        <w:rPr>
          <w:rFonts w:hint="eastAsia" w:eastAsia="宋体"/>
          <w:color w:val="auto"/>
          <w:highlight w:val="none"/>
          <w:lang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eastAsia="宋体"/>
          <w:color w:val="auto"/>
          <w:highlight w:val="none"/>
          <w:lang w:eastAsia="zh-CN"/>
        </w:rPr>
        <w:drawing>
          <wp:inline distT="0" distB="0" distL="114300" distR="114300">
            <wp:extent cx="4486275" cy="6372225"/>
            <wp:effectExtent l="0" t="0" r="9525" b="9525"/>
            <wp:docPr id="14" name="图片 14" descr="生物质检验报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生物质检验报告"/>
                    <pic:cNvPicPr>
                      <a:picLocks noChangeAspect="1"/>
                    </pic:cNvPicPr>
                  </pic:nvPicPr>
                  <pic:blipFill>
                    <a:blip r:embed="rId72"/>
                    <a:stretch>
                      <a:fillRect/>
                    </a:stretch>
                  </pic:blipFill>
                  <pic:spPr>
                    <a:xfrm>
                      <a:off x="0" y="0"/>
                      <a:ext cx="4486275" cy="6372225"/>
                    </a:xfrm>
                    <a:prstGeom prst="rect">
                      <a:avLst/>
                    </a:prstGeom>
                  </pic:spPr>
                </pic:pic>
              </a:graphicData>
            </a:graphic>
          </wp:inline>
        </w:drawing>
      </w:r>
    </w:p>
    <w:p w14:paraId="615DD2D7">
      <w:pPr>
        <w:outlineLvl w:val="0"/>
        <w:rPr>
          <w:rFonts w:hint="eastAsia"/>
          <w:b/>
          <w:bCs w:val="0"/>
          <w:color w:val="auto"/>
          <w:highlight w:val="none"/>
          <w:lang w:val="en-US" w:eastAsia="zh-CN"/>
        </w:rPr>
      </w:pPr>
      <w:bookmarkStart w:id="34" w:name="_Toc8068"/>
      <w:r>
        <w:rPr>
          <w:rFonts w:hint="eastAsia"/>
          <w:b/>
          <w:bCs w:val="0"/>
          <w:color w:val="auto"/>
          <w:highlight w:val="none"/>
          <w:lang w:val="en-US" w:eastAsia="zh-CN"/>
        </w:rPr>
        <w:t>附件6 引用环境空气监测报告</w:t>
      </w:r>
      <w:bookmarkEnd w:id="34"/>
    </w:p>
    <w:p w14:paraId="16F6946A">
      <w:pPr>
        <w:pStyle w:val="20"/>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color w:val="auto"/>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eastAsia" w:eastAsia="宋体"/>
          <w:color w:val="auto"/>
          <w:highlight w:val="none"/>
          <w:vertAlign w:val="baseline"/>
          <w:lang w:eastAsia="zh-CN"/>
        </w:rPr>
        <w:drawing>
          <wp:inline distT="0" distB="0" distL="114300" distR="114300">
            <wp:extent cx="5271135" cy="7453630"/>
            <wp:effectExtent l="0" t="0" r="5715" b="13970"/>
            <wp:docPr id="138" name="图片 30" descr="盖章版-971号 HTH20240720 黑龙江立科新材料有限公司二期医药中间体项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0" descr="盖章版-971号 HTH20240720 黑龙江立科新材料有限公司二期医药中间体项目_00"/>
                    <pic:cNvPicPr>
                      <a:picLocks noChangeAspect="1"/>
                    </pic:cNvPicPr>
                  </pic:nvPicPr>
                  <pic:blipFill>
                    <a:blip r:embed="rId73"/>
                    <a:stretch>
                      <a:fillRect/>
                    </a:stretch>
                  </pic:blipFill>
                  <pic:spPr>
                    <a:xfrm>
                      <a:off x="0" y="0"/>
                      <a:ext cx="5271135" cy="7453630"/>
                    </a:xfrm>
                    <a:prstGeom prst="rect">
                      <a:avLst/>
                    </a:prstGeom>
                    <a:noFill/>
                    <a:ln>
                      <a:noFill/>
                    </a:ln>
                  </pic:spPr>
                </pic:pic>
              </a:graphicData>
            </a:graphic>
          </wp:inline>
        </w:drawing>
      </w:r>
      <w:r>
        <w:rPr>
          <w:rFonts w:hint="eastAsia" w:eastAsia="宋体"/>
          <w:color w:val="auto"/>
          <w:highlight w:val="none"/>
          <w:vertAlign w:val="baseline"/>
          <w:lang w:eastAsia="zh-CN"/>
        </w:rPr>
        <w:drawing>
          <wp:inline distT="0" distB="0" distL="114300" distR="114300">
            <wp:extent cx="5271135" cy="7453630"/>
            <wp:effectExtent l="0" t="0" r="5715" b="13970"/>
            <wp:docPr id="139" name="图片 31" descr="盖章版-971号 HTH20240720 黑龙江立科新材料有限公司二期医药中间体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1" descr="盖章版-971号 HTH20240720 黑龙江立科新材料有限公司二期医药中间体项目_01"/>
                    <pic:cNvPicPr>
                      <a:picLocks noChangeAspect="1"/>
                    </pic:cNvPicPr>
                  </pic:nvPicPr>
                  <pic:blipFill>
                    <a:blip r:embed="rId74"/>
                    <a:stretch>
                      <a:fillRect/>
                    </a:stretch>
                  </pic:blipFill>
                  <pic:spPr>
                    <a:xfrm>
                      <a:off x="0" y="0"/>
                      <a:ext cx="5271135" cy="7453630"/>
                    </a:xfrm>
                    <a:prstGeom prst="rect">
                      <a:avLst/>
                    </a:prstGeom>
                    <a:noFill/>
                    <a:ln>
                      <a:noFill/>
                    </a:ln>
                  </pic:spPr>
                </pic:pic>
              </a:graphicData>
            </a:graphic>
          </wp:inline>
        </w:drawing>
      </w:r>
      <w:r>
        <w:rPr>
          <w:rFonts w:hint="eastAsia" w:eastAsia="宋体"/>
          <w:color w:val="auto"/>
          <w:highlight w:val="none"/>
          <w:vertAlign w:val="baseline"/>
          <w:lang w:eastAsia="zh-CN"/>
        </w:rPr>
        <w:drawing>
          <wp:inline distT="0" distB="0" distL="114300" distR="114300">
            <wp:extent cx="5271135" cy="7453630"/>
            <wp:effectExtent l="0" t="0" r="5715" b="13970"/>
            <wp:docPr id="140" name="图片 32" descr="盖章版-971号 HTH20240720 黑龙江立科新材料有限公司二期医药中间体项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2" descr="盖章版-971号 HTH20240720 黑龙江立科新材料有限公司二期医药中间体项目_02"/>
                    <pic:cNvPicPr>
                      <a:picLocks noChangeAspect="1"/>
                    </pic:cNvPicPr>
                  </pic:nvPicPr>
                  <pic:blipFill>
                    <a:blip r:embed="rId75"/>
                    <a:stretch>
                      <a:fillRect/>
                    </a:stretch>
                  </pic:blipFill>
                  <pic:spPr>
                    <a:xfrm>
                      <a:off x="0" y="0"/>
                      <a:ext cx="5271135" cy="7453630"/>
                    </a:xfrm>
                    <a:prstGeom prst="rect">
                      <a:avLst/>
                    </a:prstGeom>
                    <a:noFill/>
                    <a:ln>
                      <a:noFill/>
                    </a:ln>
                  </pic:spPr>
                </pic:pic>
              </a:graphicData>
            </a:graphic>
          </wp:inline>
        </w:drawing>
      </w:r>
      <w:r>
        <w:rPr>
          <w:rFonts w:hint="eastAsia" w:eastAsia="宋体"/>
          <w:color w:val="auto"/>
          <w:highlight w:val="none"/>
          <w:vertAlign w:val="baseline"/>
          <w:lang w:eastAsia="zh-CN"/>
        </w:rPr>
        <w:drawing>
          <wp:inline distT="0" distB="0" distL="114300" distR="114300">
            <wp:extent cx="5271135" cy="7453630"/>
            <wp:effectExtent l="0" t="0" r="5715" b="13970"/>
            <wp:docPr id="141" name="图片 33" descr="盖章版-971号 HTH20240720 黑龙江立科新材料有限公司二期医药中间体项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3" descr="盖章版-971号 HTH20240720 黑龙江立科新材料有限公司二期医药中间体项目_03"/>
                    <pic:cNvPicPr>
                      <a:picLocks noChangeAspect="1"/>
                    </pic:cNvPicPr>
                  </pic:nvPicPr>
                  <pic:blipFill>
                    <a:blip r:embed="rId76"/>
                    <a:stretch>
                      <a:fillRect/>
                    </a:stretch>
                  </pic:blipFill>
                  <pic:spPr>
                    <a:xfrm>
                      <a:off x="0" y="0"/>
                      <a:ext cx="5271135" cy="7453630"/>
                    </a:xfrm>
                    <a:prstGeom prst="rect">
                      <a:avLst/>
                    </a:prstGeom>
                    <a:noFill/>
                    <a:ln>
                      <a:noFill/>
                    </a:ln>
                  </pic:spPr>
                </pic:pic>
              </a:graphicData>
            </a:graphic>
          </wp:inline>
        </w:drawing>
      </w:r>
      <w:r>
        <w:rPr>
          <w:rFonts w:hint="eastAsia" w:eastAsia="宋体"/>
          <w:color w:val="auto"/>
          <w:highlight w:val="none"/>
          <w:vertAlign w:val="baseline"/>
          <w:lang w:eastAsia="zh-CN"/>
        </w:rPr>
        <w:drawing>
          <wp:inline distT="0" distB="0" distL="114300" distR="114300">
            <wp:extent cx="5271135" cy="7453630"/>
            <wp:effectExtent l="0" t="0" r="5715" b="13970"/>
            <wp:docPr id="142" name="图片 34" descr="盖章版-971号 HTH20240720 黑龙江立科新材料有限公司二期医药中间体项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4" descr="盖章版-971号 HTH20240720 黑龙江立科新材料有限公司二期医药中间体项目_04"/>
                    <pic:cNvPicPr>
                      <a:picLocks noChangeAspect="1"/>
                    </pic:cNvPicPr>
                  </pic:nvPicPr>
                  <pic:blipFill>
                    <a:blip r:embed="rId77"/>
                    <a:stretch>
                      <a:fillRect/>
                    </a:stretch>
                  </pic:blipFill>
                  <pic:spPr>
                    <a:xfrm>
                      <a:off x="0" y="0"/>
                      <a:ext cx="5271135" cy="7453630"/>
                    </a:xfrm>
                    <a:prstGeom prst="rect">
                      <a:avLst/>
                    </a:prstGeom>
                    <a:noFill/>
                    <a:ln>
                      <a:noFill/>
                    </a:ln>
                  </pic:spPr>
                </pic:pic>
              </a:graphicData>
            </a:graphic>
          </wp:inline>
        </w:drawing>
      </w:r>
      <w:r>
        <w:rPr>
          <w:rFonts w:hint="eastAsia" w:eastAsia="宋体"/>
          <w:color w:val="auto"/>
          <w:highlight w:val="none"/>
          <w:vertAlign w:val="baseline"/>
          <w:lang w:eastAsia="zh-CN"/>
        </w:rPr>
        <w:drawing>
          <wp:inline distT="0" distB="0" distL="114300" distR="114300">
            <wp:extent cx="5271135" cy="7453630"/>
            <wp:effectExtent l="0" t="0" r="5715" b="13970"/>
            <wp:docPr id="144" name="图片 35" descr="盖章版-971号 HTH20240720 黑龙江立科新材料有限公司二期医药中间体项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5" descr="盖章版-971号 HTH20240720 黑龙江立科新材料有限公司二期医药中间体项目_05"/>
                    <pic:cNvPicPr>
                      <a:picLocks noChangeAspect="1"/>
                    </pic:cNvPicPr>
                  </pic:nvPicPr>
                  <pic:blipFill>
                    <a:blip r:embed="rId78"/>
                    <a:stretch>
                      <a:fillRect/>
                    </a:stretch>
                  </pic:blipFill>
                  <pic:spPr>
                    <a:xfrm>
                      <a:off x="0" y="0"/>
                      <a:ext cx="5271135" cy="7453630"/>
                    </a:xfrm>
                    <a:prstGeom prst="rect">
                      <a:avLst/>
                    </a:prstGeom>
                    <a:noFill/>
                    <a:ln>
                      <a:noFill/>
                    </a:ln>
                  </pic:spPr>
                </pic:pic>
              </a:graphicData>
            </a:graphic>
          </wp:inline>
        </w:drawing>
      </w:r>
      <w:r>
        <w:rPr>
          <w:rFonts w:hint="eastAsia" w:eastAsia="宋体"/>
          <w:color w:val="auto"/>
          <w:highlight w:val="none"/>
          <w:vertAlign w:val="baseline"/>
          <w:lang w:eastAsia="zh-CN"/>
        </w:rPr>
        <w:drawing>
          <wp:inline distT="0" distB="0" distL="114300" distR="114300">
            <wp:extent cx="5271135" cy="7453630"/>
            <wp:effectExtent l="0" t="0" r="5715" b="13970"/>
            <wp:docPr id="145" name="图片 36" descr="盖章版-971号 HTH20240720 黑龙江立科新材料有限公司二期医药中间体项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6" descr="盖章版-971号 HTH20240720 黑龙江立科新材料有限公司二期医药中间体项目_06"/>
                    <pic:cNvPicPr>
                      <a:picLocks noChangeAspect="1"/>
                    </pic:cNvPicPr>
                  </pic:nvPicPr>
                  <pic:blipFill>
                    <a:blip r:embed="rId79"/>
                    <a:stretch>
                      <a:fillRect/>
                    </a:stretch>
                  </pic:blipFill>
                  <pic:spPr>
                    <a:xfrm>
                      <a:off x="0" y="0"/>
                      <a:ext cx="5271135" cy="7453630"/>
                    </a:xfrm>
                    <a:prstGeom prst="rect">
                      <a:avLst/>
                    </a:prstGeom>
                    <a:noFill/>
                    <a:ln>
                      <a:noFill/>
                    </a:ln>
                  </pic:spPr>
                </pic:pic>
              </a:graphicData>
            </a:graphic>
          </wp:inline>
        </w:drawing>
      </w:r>
      <w:r>
        <w:rPr>
          <w:rFonts w:hint="eastAsia" w:eastAsia="宋体"/>
          <w:color w:val="auto"/>
          <w:highlight w:val="none"/>
          <w:vertAlign w:val="baseline"/>
          <w:lang w:eastAsia="zh-CN"/>
        </w:rPr>
        <w:drawing>
          <wp:inline distT="0" distB="0" distL="114300" distR="114300">
            <wp:extent cx="5271135" cy="7453630"/>
            <wp:effectExtent l="0" t="0" r="5715" b="13970"/>
            <wp:docPr id="143" name="图片 37" descr="盖章版-971号 HTH20240720 黑龙江立科新材料有限公司二期医药中间体项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7" descr="盖章版-971号 HTH20240720 黑龙江立科新材料有限公司二期医药中间体项目_07"/>
                    <pic:cNvPicPr>
                      <a:picLocks noChangeAspect="1"/>
                    </pic:cNvPicPr>
                  </pic:nvPicPr>
                  <pic:blipFill>
                    <a:blip r:embed="rId80"/>
                    <a:stretch>
                      <a:fillRect/>
                    </a:stretch>
                  </pic:blipFill>
                  <pic:spPr>
                    <a:xfrm>
                      <a:off x="0" y="0"/>
                      <a:ext cx="5271135" cy="7453630"/>
                    </a:xfrm>
                    <a:prstGeom prst="rect">
                      <a:avLst/>
                    </a:prstGeom>
                    <a:noFill/>
                    <a:ln>
                      <a:noFill/>
                    </a:ln>
                  </pic:spPr>
                </pic:pic>
              </a:graphicData>
            </a:graphic>
          </wp:inline>
        </w:drawing>
      </w:r>
    </w:p>
    <w:p w14:paraId="4F138E9B">
      <w:pPr>
        <w:pStyle w:val="4"/>
        <w:spacing w:line="360" w:lineRule="auto"/>
        <w:jc w:val="left"/>
        <w:rPr>
          <w:rFonts w:hint="eastAsia" w:ascii="宋体" w:hAnsi="宋体" w:eastAsia="宋体" w:cs="宋体"/>
          <w:b/>
          <w:bCs/>
          <w:color w:val="auto"/>
          <w:spacing w:val="0"/>
          <w:sz w:val="24"/>
          <w:szCs w:val="24"/>
          <w:highlight w:val="none"/>
          <w:lang w:val="en-US" w:eastAsia="zh-CN"/>
        </w:rPr>
      </w:pPr>
      <w:bookmarkStart w:id="35" w:name="_Toc4385"/>
      <w:r>
        <w:rPr>
          <w:rFonts w:hint="eastAsia" w:ascii="宋体" w:hAnsi="宋体" w:eastAsia="宋体" w:cs="宋体"/>
          <w:b/>
          <w:bCs/>
          <w:color w:val="auto"/>
          <w:spacing w:val="0"/>
          <w:sz w:val="24"/>
          <w:szCs w:val="24"/>
          <w:highlight w:val="none"/>
        </w:rPr>
        <w:t>附件</w:t>
      </w:r>
      <w:r>
        <w:rPr>
          <w:rFonts w:hint="eastAsia" w:ascii="宋体" w:hAnsi="宋体" w:eastAsia="宋体" w:cs="宋体"/>
          <w:b/>
          <w:bCs/>
          <w:color w:val="auto"/>
          <w:spacing w:val="0"/>
          <w:sz w:val="24"/>
          <w:szCs w:val="24"/>
          <w:highlight w:val="none"/>
          <w:lang w:val="en-US" w:eastAsia="zh-CN"/>
        </w:rPr>
        <w:t>7总量计算说明</w:t>
      </w:r>
      <w:bookmarkEnd w:id="35"/>
    </w:p>
    <w:p w14:paraId="5F6906BA">
      <w:pPr>
        <w:pStyle w:val="75"/>
        <w:spacing w:line="360" w:lineRule="auto"/>
        <w:ind w:firstLine="480"/>
        <w:rPr>
          <w:rFonts w:hint="eastAsia" w:ascii="宋体" w:hAnsi="宋体" w:eastAsia="宋体" w:cs="宋体"/>
          <w:b/>
          <w:bCs/>
          <w:color w:val="auto"/>
          <w:spacing w:val="0"/>
          <w:sz w:val="24"/>
          <w:szCs w:val="24"/>
          <w:highlight w:val="none"/>
          <w:lang w:eastAsia="zh-CN"/>
        </w:rPr>
      </w:pPr>
      <w:r>
        <w:rPr>
          <w:rFonts w:hint="eastAsia" w:ascii="宋体" w:hAnsi="宋体" w:eastAsia="宋体" w:cs="宋体"/>
          <w:b/>
          <w:bCs/>
          <w:color w:val="auto"/>
          <w:spacing w:val="0"/>
          <w:sz w:val="24"/>
          <w:szCs w:val="24"/>
          <w:highlight w:val="none"/>
        </w:rPr>
        <w:t>废</w:t>
      </w:r>
      <w:r>
        <w:rPr>
          <w:rFonts w:hint="eastAsia" w:ascii="宋体" w:hAnsi="宋体" w:eastAsia="宋体" w:cs="宋体"/>
          <w:b/>
          <w:bCs/>
          <w:color w:val="auto"/>
          <w:spacing w:val="0"/>
          <w:sz w:val="24"/>
          <w:szCs w:val="24"/>
          <w:highlight w:val="none"/>
          <w:lang w:eastAsia="zh-CN"/>
        </w:rPr>
        <w:t>气</w:t>
      </w:r>
    </w:p>
    <w:p w14:paraId="7A4E4969">
      <w:pPr>
        <w:keepNext w:val="0"/>
        <w:keepLines w:val="0"/>
        <w:widowControl/>
        <w:suppressLineNumbers w:val="0"/>
        <w:spacing w:line="360" w:lineRule="auto"/>
        <w:jc w:val="left"/>
        <w:rPr>
          <w:rFonts w:hint="eastAsia" w:ascii="宋体" w:hAnsi="宋体" w:eastAsia="宋体" w:cs="宋体"/>
          <w:color w:val="auto"/>
          <w:spacing w:val="0"/>
          <w:sz w:val="24"/>
          <w:szCs w:val="24"/>
          <w:highlight w:val="none"/>
          <w:lang w:val="en-US" w:eastAsia="zh-CN"/>
        </w:rPr>
      </w:pPr>
      <w:r>
        <w:rPr>
          <w:rFonts w:hint="eastAsia" w:ascii="宋体" w:hAnsi="宋体" w:eastAsia="宋体" w:cs="宋体"/>
          <w:b w:val="0"/>
          <w:bCs/>
          <w:color w:val="auto"/>
          <w:spacing w:val="0"/>
          <w:sz w:val="24"/>
          <w:szCs w:val="24"/>
          <w:highlight w:val="none"/>
          <w:lang w:val="en-US" w:eastAsia="zh-CN"/>
        </w:rPr>
        <w:t>本项目产生的废气主要为</w:t>
      </w:r>
      <w:r>
        <w:rPr>
          <w:rFonts w:hint="eastAsia" w:ascii="宋体" w:hAnsi="宋体" w:eastAsia="宋体" w:cs="宋体"/>
          <w:color w:val="auto"/>
          <w:spacing w:val="0"/>
          <w:sz w:val="24"/>
          <w:szCs w:val="24"/>
          <w:highlight w:val="none"/>
          <w:lang w:val="en-US" w:eastAsia="zh-CN"/>
        </w:rPr>
        <w:t>锅炉产生的</w:t>
      </w:r>
      <w:r>
        <w:rPr>
          <w:rFonts w:hint="eastAsia" w:ascii="宋体" w:hAnsi="宋体" w:eastAsia="宋体" w:cs="宋体"/>
          <w:b w:val="0"/>
          <w:bCs/>
          <w:color w:val="auto"/>
          <w:spacing w:val="0"/>
          <w:sz w:val="24"/>
          <w:szCs w:val="24"/>
          <w:highlight w:val="none"/>
          <w:lang w:val="en-US" w:eastAsia="zh-CN"/>
        </w:rPr>
        <w:t>颗粒物、二氧化硫、氮氧化物。产生的废气由</w:t>
      </w:r>
      <w:r>
        <w:rPr>
          <w:rFonts w:hint="eastAsia" w:cs="宋体"/>
          <w:b w:val="0"/>
          <w:bCs/>
          <w:color w:val="auto"/>
          <w:spacing w:val="0"/>
          <w:sz w:val="24"/>
          <w:szCs w:val="24"/>
          <w:highlight w:val="none"/>
          <w:lang w:val="en-US" w:eastAsia="zh-CN"/>
        </w:rPr>
        <w:t>1</w:t>
      </w:r>
      <w:r>
        <w:rPr>
          <w:rFonts w:hint="eastAsia" w:ascii="宋体" w:hAnsi="宋体" w:eastAsia="宋体" w:cs="宋体"/>
          <w:b w:val="0"/>
          <w:bCs/>
          <w:color w:val="auto"/>
          <w:spacing w:val="0"/>
          <w:sz w:val="24"/>
          <w:szCs w:val="24"/>
          <w:highlight w:val="none"/>
          <w:lang w:val="en-US" w:eastAsia="zh-CN"/>
        </w:rPr>
        <w:t>根</w:t>
      </w:r>
      <w:r>
        <w:rPr>
          <w:rFonts w:hint="eastAsia" w:cs="宋体"/>
          <w:b w:val="0"/>
          <w:bCs/>
          <w:color w:val="auto"/>
          <w:spacing w:val="0"/>
          <w:sz w:val="24"/>
          <w:szCs w:val="24"/>
          <w:highlight w:val="none"/>
          <w:lang w:val="en-US" w:eastAsia="zh-CN"/>
        </w:rPr>
        <w:t>35m高</w:t>
      </w:r>
      <w:r>
        <w:rPr>
          <w:rFonts w:hint="eastAsia" w:ascii="宋体" w:hAnsi="宋体" w:eastAsia="宋体" w:cs="宋体"/>
          <w:b w:val="0"/>
          <w:bCs/>
          <w:color w:val="auto"/>
          <w:spacing w:val="0"/>
          <w:sz w:val="24"/>
          <w:szCs w:val="24"/>
          <w:highlight w:val="none"/>
          <w:lang w:val="en-US" w:eastAsia="zh-CN"/>
        </w:rPr>
        <w:t>烟囱有组织排放。</w:t>
      </w:r>
    </w:p>
    <w:p w14:paraId="6C25CEB6">
      <w:pPr>
        <w:pStyle w:val="13"/>
        <w:keepNext w:val="0"/>
        <w:keepLines w:val="0"/>
        <w:pageBreakBefore w:val="0"/>
        <w:widowControl/>
        <w:kinsoku/>
        <w:wordWrap/>
        <w:overflowPunct/>
        <w:topLinePunct w:val="0"/>
        <w:autoSpaceDE/>
        <w:autoSpaceDN/>
        <w:bidi w:val="0"/>
        <w:adjustRightInd w:val="0"/>
        <w:snapToGrid w:val="0"/>
        <w:spacing w:before="0" w:after="0" w:line="360" w:lineRule="auto"/>
        <w:ind w:right="0"/>
        <w:textAlignment w:val="auto"/>
        <w:rPr>
          <w:rFonts w:hint="eastAsia" w:ascii="宋体" w:hAnsi="宋体" w:eastAsia="宋体" w:cs="宋体"/>
          <w:bCs/>
          <w:color w:val="auto"/>
          <w:spacing w:val="0"/>
          <w:sz w:val="24"/>
          <w:szCs w:val="24"/>
          <w:highlight w:val="none"/>
          <w:lang w:val="en-US" w:eastAsia="zh-CN"/>
        </w:rPr>
      </w:pPr>
      <w:r>
        <w:rPr>
          <w:rFonts w:hint="eastAsia" w:ascii="宋体" w:hAnsi="宋体" w:eastAsia="宋体" w:cs="宋体"/>
          <w:color w:val="auto"/>
          <w:spacing w:val="0"/>
          <w:sz w:val="24"/>
          <w:szCs w:val="24"/>
          <w:highlight w:val="none"/>
          <w:lang w:eastAsia="zh-CN"/>
        </w:rPr>
        <w:t>根据《</w:t>
      </w:r>
      <w:r>
        <w:rPr>
          <w:rFonts w:hint="eastAsia" w:ascii="宋体" w:hAnsi="宋体" w:eastAsia="宋体" w:cs="宋体"/>
          <w:color w:val="auto"/>
          <w:spacing w:val="0"/>
          <w:sz w:val="24"/>
          <w:szCs w:val="24"/>
          <w:highlight w:val="none"/>
          <w:lang w:val="en-US" w:eastAsia="zh-CN"/>
        </w:rPr>
        <w:t>排污许可证申请与核发技术规范 锅炉》（HJ953-2018）中基准烟气量核算方法，本项目为</w:t>
      </w:r>
      <w:r>
        <w:rPr>
          <w:rFonts w:hint="eastAsia" w:ascii="宋体" w:hAnsi="宋体" w:cs="宋体"/>
          <w:color w:val="auto"/>
          <w:spacing w:val="0"/>
          <w:sz w:val="24"/>
          <w:szCs w:val="24"/>
          <w:highlight w:val="none"/>
          <w:lang w:val="en-US" w:eastAsia="zh-CN"/>
        </w:rPr>
        <w:t>生物质锅炉</w:t>
      </w:r>
      <w:r>
        <w:rPr>
          <w:rFonts w:hint="eastAsia" w:ascii="宋体" w:hAnsi="宋体" w:eastAsia="宋体" w:cs="宋体"/>
          <w:color w:val="auto"/>
          <w:spacing w:val="0"/>
          <w:sz w:val="24"/>
          <w:szCs w:val="24"/>
          <w:highlight w:val="none"/>
          <w:lang w:val="en-US" w:eastAsia="zh-CN"/>
        </w:rPr>
        <w:t>，Vgy=</w:t>
      </w:r>
      <w:r>
        <w:rPr>
          <w:rFonts w:hint="eastAsia" w:ascii="宋体" w:hAnsi="宋体" w:cs="宋体"/>
          <w:color w:val="auto"/>
          <w:spacing w:val="0"/>
          <w:sz w:val="24"/>
          <w:szCs w:val="24"/>
          <w:highlight w:val="none"/>
          <w:lang w:val="en-US" w:eastAsia="zh-CN"/>
        </w:rPr>
        <w:t>0.393</w:t>
      </w:r>
      <w:r>
        <w:rPr>
          <w:rFonts w:hint="eastAsia" w:ascii="宋体" w:hAnsi="宋体" w:eastAsia="宋体" w:cs="宋体"/>
          <w:color w:val="auto"/>
          <w:spacing w:val="0"/>
          <w:sz w:val="24"/>
          <w:szCs w:val="24"/>
          <w:highlight w:val="none"/>
          <w:lang w:val="en-US" w:eastAsia="zh-CN"/>
        </w:rPr>
        <w:t>Qnet+0.</w:t>
      </w:r>
      <w:r>
        <w:rPr>
          <w:rFonts w:hint="eastAsia" w:ascii="宋体" w:hAnsi="宋体" w:cs="宋体"/>
          <w:color w:val="auto"/>
          <w:spacing w:val="0"/>
          <w:sz w:val="24"/>
          <w:szCs w:val="24"/>
          <w:highlight w:val="none"/>
          <w:lang w:val="en-US" w:eastAsia="zh-CN"/>
        </w:rPr>
        <w:t>876</w:t>
      </w:r>
      <w:r>
        <w:rPr>
          <w:rFonts w:hint="eastAsia" w:ascii="宋体" w:hAnsi="宋体" w:eastAsia="宋体" w:cs="宋体"/>
          <w:color w:val="auto"/>
          <w:spacing w:val="0"/>
          <w:sz w:val="24"/>
          <w:szCs w:val="24"/>
          <w:highlight w:val="none"/>
          <w:lang w:val="en-US" w:eastAsia="zh-CN"/>
        </w:rPr>
        <w:t>=</w:t>
      </w:r>
      <w:r>
        <w:rPr>
          <w:rFonts w:hint="eastAsia" w:ascii="宋体" w:hAnsi="宋体" w:cs="宋体"/>
          <w:color w:val="auto"/>
          <w:spacing w:val="0"/>
          <w:sz w:val="24"/>
          <w:szCs w:val="24"/>
          <w:highlight w:val="none"/>
          <w:lang w:val="en-US" w:eastAsia="zh-CN"/>
        </w:rPr>
        <w:t>7.46661</w:t>
      </w:r>
      <w:r>
        <w:rPr>
          <w:rFonts w:hint="eastAsia" w:ascii="宋体" w:hAnsi="宋体" w:eastAsia="宋体" w:cs="宋体"/>
          <w:color w:val="auto"/>
          <w:spacing w:val="0"/>
          <w:sz w:val="24"/>
          <w:szCs w:val="24"/>
          <w:highlight w:val="none"/>
          <w:lang w:val="en-US" w:eastAsia="zh-CN"/>
        </w:rPr>
        <w:t>m</w:t>
      </w:r>
      <w:r>
        <w:rPr>
          <w:rFonts w:hint="eastAsia" w:ascii="宋体" w:hAnsi="宋体" w:eastAsia="宋体" w:cs="宋体"/>
          <w:caps w:val="0"/>
          <w:smallCaps w:val="0"/>
          <w:strike w:val="0"/>
          <w:dstrike w:val="0"/>
          <w:vanish w:val="0"/>
          <w:color w:val="auto"/>
          <w:spacing w:val="0"/>
          <w:sz w:val="24"/>
          <w:szCs w:val="24"/>
          <w:highlight w:val="none"/>
          <w:vertAlign w:val="superscript"/>
          <w:lang w:val="en-US" w:eastAsia="zh-CN"/>
        </w:rPr>
        <w:t>3</w:t>
      </w:r>
      <w:r>
        <w:rPr>
          <w:rFonts w:hint="eastAsia" w:ascii="宋体" w:hAnsi="宋体" w:eastAsia="宋体" w:cs="宋体"/>
          <w:color w:val="auto"/>
          <w:spacing w:val="0"/>
          <w:sz w:val="24"/>
          <w:szCs w:val="24"/>
          <w:highlight w:val="none"/>
          <w:lang w:val="en-US" w:eastAsia="zh-CN"/>
        </w:rPr>
        <w:t>/</w:t>
      </w:r>
      <w:r>
        <w:rPr>
          <w:rFonts w:hint="eastAsia" w:ascii="宋体" w:hAnsi="宋体" w:cs="宋体"/>
          <w:color w:val="auto"/>
          <w:spacing w:val="0"/>
          <w:sz w:val="24"/>
          <w:szCs w:val="24"/>
          <w:highlight w:val="none"/>
          <w:lang w:val="en-US" w:eastAsia="zh-CN"/>
        </w:rPr>
        <w:t>kg</w:t>
      </w:r>
      <w:r>
        <w:rPr>
          <w:rFonts w:hint="eastAsia" w:ascii="宋体" w:hAnsi="宋体" w:eastAsia="宋体" w:cs="宋体"/>
          <w:color w:val="auto"/>
          <w:spacing w:val="0"/>
          <w:sz w:val="24"/>
          <w:szCs w:val="24"/>
          <w:highlight w:val="none"/>
          <w:lang w:val="en-US" w:eastAsia="zh-CN"/>
        </w:rPr>
        <w:t>原料。本项目</w:t>
      </w:r>
      <w:r>
        <w:rPr>
          <w:rFonts w:hint="eastAsia" w:ascii="宋体" w:hAnsi="宋体" w:cs="宋体"/>
          <w:color w:val="auto"/>
          <w:spacing w:val="0"/>
          <w:sz w:val="24"/>
          <w:szCs w:val="24"/>
          <w:highlight w:val="none"/>
          <w:lang w:val="en-US" w:eastAsia="zh-CN"/>
        </w:rPr>
        <w:t>生物质燃料</w:t>
      </w:r>
      <w:r>
        <w:rPr>
          <w:rFonts w:hint="eastAsia" w:ascii="宋体" w:hAnsi="宋体" w:eastAsia="宋体" w:cs="宋体"/>
          <w:color w:val="auto"/>
          <w:spacing w:val="0"/>
          <w:sz w:val="24"/>
          <w:szCs w:val="24"/>
          <w:highlight w:val="none"/>
          <w:lang w:val="en-US" w:eastAsia="zh-CN"/>
        </w:rPr>
        <w:t>消耗量</w:t>
      </w:r>
      <w:r>
        <w:rPr>
          <w:rFonts w:hint="eastAsia" w:ascii="宋体" w:hAnsi="宋体" w:cs="宋体"/>
          <w:color w:val="auto"/>
          <w:spacing w:val="0"/>
          <w:sz w:val="24"/>
          <w:szCs w:val="24"/>
          <w:highlight w:val="none"/>
          <w:lang w:val="en-US" w:eastAsia="zh-CN"/>
        </w:rPr>
        <w:t>3113.568t/a=3113568kg/a；</w:t>
      </w:r>
    </w:p>
    <w:p w14:paraId="01D7B41B">
      <w:pPr>
        <w:pStyle w:val="13"/>
        <w:keepNext w:val="0"/>
        <w:keepLines w:val="0"/>
        <w:pageBreakBefore w:val="0"/>
        <w:widowControl/>
        <w:kinsoku/>
        <w:wordWrap/>
        <w:overflowPunct/>
        <w:topLinePunct w:val="0"/>
        <w:autoSpaceDE/>
        <w:autoSpaceDN/>
        <w:bidi w:val="0"/>
        <w:adjustRightInd w:val="0"/>
        <w:snapToGrid w:val="0"/>
        <w:spacing w:before="0" w:after="0" w:line="360" w:lineRule="auto"/>
        <w:ind w:right="0"/>
        <w:textAlignment w:val="auto"/>
        <w:rPr>
          <w:rFonts w:hint="eastAsia" w:ascii="宋体" w:hAnsi="宋体" w:eastAsia="宋体" w:cs="宋体"/>
          <w:b w:val="0"/>
          <w:bCs/>
          <w:color w:val="auto"/>
          <w:spacing w:val="0"/>
          <w:sz w:val="24"/>
          <w:szCs w:val="24"/>
          <w:highlight w:val="none"/>
          <w:lang w:val="en-US" w:eastAsia="zh-CN"/>
        </w:rPr>
      </w:pPr>
      <w:r>
        <w:rPr>
          <w:rFonts w:hint="eastAsia" w:ascii="宋体" w:hAnsi="宋体" w:eastAsia="宋体" w:cs="宋体"/>
          <w:caps w:val="0"/>
          <w:snapToGrid w:val="0"/>
          <w:color w:val="auto"/>
          <w:spacing w:val="0"/>
          <w:kern w:val="0"/>
          <w:sz w:val="24"/>
          <w:highlight w:val="none"/>
          <w:lang w:val="en-US" w:eastAsia="zh-CN"/>
        </w:rPr>
        <w:t>锅炉工业废气量：</w:t>
      </w:r>
      <w:r>
        <w:rPr>
          <w:rFonts w:hint="eastAsia" w:ascii="宋体" w:hAnsi="宋体" w:cs="宋体"/>
          <w:color w:val="auto"/>
          <w:spacing w:val="0"/>
          <w:sz w:val="24"/>
          <w:szCs w:val="24"/>
          <w:highlight w:val="none"/>
          <w:lang w:val="en-US" w:eastAsia="zh-CN"/>
        </w:rPr>
        <w:t>3113568kg</w:t>
      </w:r>
      <w:r>
        <w:rPr>
          <w:rFonts w:hint="eastAsia" w:ascii="宋体" w:hAnsi="宋体" w:eastAsia="宋体" w:cs="宋体"/>
          <w:bCs/>
          <w:color w:val="auto"/>
          <w:spacing w:val="0"/>
          <w:sz w:val="24"/>
          <w:szCs w:val="24"/>
          <w:highlight w:val="none"/>
          <w:lang w:val="en-US" w:eastAsia="zh-CN"/>
        </w:rPr>
        <w:t>×</w:t>
      </w:r>
      <w:r>
        <w:rPr>
          <w:rFonts w:hint="eastAsia" w:ascii="宋体" w:hAnsi="宋体" w:cs="宋体"/>
          <w:color w:val="auto"/>
          <w:spacing w:val="0"/>
          <w:sz w:val="24"/>
          <w:szCs w:val="24"/>
          <w:highlight w:val="none"/>
          <w:lang w:val="en-US" w:eastAsia="zh-CN"/>
        </w:rPr>
        <w:t>7.46661</w:t>
      </w:r>
      <w:r>
        <w:rPr>
          <w:rFonts w:hint="eastAsia" w:ascii="宋体" w:hAnsi="宋体" w:eastAsia="宋体" w:cs="宋体"/>
          <w:color w:val="auto"/>
          <w:spacing w:val="0"/>
          <w:sz w:val="24"/>
          <w:szCs w:val="24"/>
          <w:highlight w:val="none"/>
          <w:lang w:val="en-US" w:eastAsia="zh-CN"/>
        </w:rPr>
        <w:t>m</w:t>
      </w:r>
      <w:r>
        <w:rPr>
          <w:rFonts w:hint="eastAsia" w:ascii="宋体" w:hAnsi="宋体" w:eastAsia="宋体" w:cs="宋体"/>
          <w:caps w:val="0"/>
          <w:smallCaps w:val="0"/>
          <w:strike w:val="0"/>
          <w:dstrike w:val="0"/>
          <w:vanish w:val="0"/>
          <w:color w:val="auto"/>
          <w:spacing w:val="0"/>
          <w:sz w:val="24"/>
          <w:szCs w:val="24"/>
          <w:highlight w:val="none"/>
          <w:vertAlign w:val="superscript"/>
          <w:lang w:val="en-US" w:eastAsia="zh-CN"/>
        </w:rPr>
        <w:t>3</w:t>
      </w:r>
      <w:r>
        <w:rPr>
          <w:rFonts w:hint="eastAsia" w:ascii="宋体" w:hAnsi="宋体" w:eastAsia="宋体" w:cs="宋体"/>
          <w:color w:val="auto"/>
          <w:spacing w:val="0"/>
          <w:sz w:val="24"/>
          <w:szCs w:val="24"/>
          <w:highlight w:val="none"/>
          <w:lang w:val="en-US" w:eastAsia="zh-CN"/>
        </w:rPr>
        <w:t>/</w:t>
      </w:r>
      <w:r>
        <w:rPr>
          <w:rFonts w:hint="eastAsia" w:ascii="宋体" w:hAnsi="宋体" w:cs="宋体"/>
          <w:color w:val="auto"/>
          <w:spacing w:val="0"/>
          <w:sz w:val="24"/>
          <w:szCs w:val="24"/>
          <w:highlight w:val="none"/>
          <w:lang w:val="en-US" w:eastAsia="zh-CN"/>
        </w:rPr>
        <w:t>kg</w:t>
      </w:r>
      <w:r>
        <w:rPr>
          <w:rFonts w:hint="eastAsia" w:ascii="宋体" w:hAnsi="宋体" w:eastAsia="宋体" w:cs="宋体"/>
          <w:color w:val="auto"/>
          <w:spacing w:val="0"/>
          <w:sz w:val="24"/>
          <w:szCs w:val="24"/>
          <w:highlight w:val="none"/>
          <w:lang w:val="en-US" w:eastAsia="zh-CN"/>
        </w:rPr>
        <w:t>原料=</w:t>
      </w:r>
      <w:r>
        <w:rPr>
          <w:rFonts w:hint="eastAsia" w:ascii="宋体" w:hAnsi="宋体" w:cs="宋体"/>
          <w:color w:val="auto"/>
          <w:spacing w:val="0"/>
          <w:sz w:val="24"/>
          <w:szCs w:val="24"/>
          <w:highlight w:val="none"/>
          <w:lang w:val="en-US" w:eastAsia="zh-CN"/>
        </w:rPr>
        <w:t>23247797.96448</w:t>
      </w:r>
      <w:r>
        <w:rPr>
          <w:rFonts w:hint="eastAsia" w:ascii="宋体" w:hAnsi="宋体" w:eastAsia="宋体" w:cs="宋体"/>
          <w:color w:val="auto"/>
          <w:spacing w:val="0"/>
          <w:sz w:val="24"/>
          <w:szCs w:val="24"/>
          <w:highlight w:val="none"/>
        </w:rPr>
        <w:t>N</w:t>
      </w:r>
      <w:r>
        <w:rPr>
          <w:rFonts w:hint="eastAsia" w:ascii="宋体" w:hAnsi="宋体" w:eastAsia="宋体" w:cs="宋体"/>
          <w:color w:val="auto"/>
          <w:spacing w:val="0"/>
          <w:sz w:val="24"/>
          <w:szCs w:val="24"/>
          <w:highlight w:val="none"/>
          <w:lang w:eastAsia="zh-CN"/>
        </w:rPr>
        <w:t>m</w:t>
      </w:r>
      <w:r>
        <w:rPr>
          <w:rFonts w:hint="eastAsia" w:ascii="宋体" w:hAnsi="宋体" w:eastAsia="宋体" w:cs="宋体"/>
          <w:caps w:val="0"/>
          <w:smallCaps w:val="0"/>
          <w:strike w:val="0"/>
          <w:dstrike w:val="0"/>
          <w:vanish w:val="0"/>
          <w:color w:val="auto"/>
          <w:spacing w:val="0"/>
          <w:sz w:val="24"/>
          <w:szCs w:val="24"/>
          <w:highlight w:val="none"/>
          <w:vertAlign w:val="superscript"/>
          <w:lang w:eastAsia="zh-CN"/>
        </w:rPr>
        <w:t>3</w:t>
      </w:r>
      <w:r>
        <w:rPr>
          <w:rFonts w:hint="eastAsia" w:ascii="宋体" w:hAnsi="宋体" w:eastAsia="宋体" w:cs="宋体"/>
          <w:color w:val="auto"/>
          <w:spacing w:val="0"/>
          <w:sz w:val="24"/>
          <w:szCs w:val="24"/>
          <w:highlight w:val="none"/>
        </w:rPr>
        <w:t>/a</w:t>
      </w:r>
    </w:p>
    <w:p w14:paraId="05DDC355">
      <w:pPr>
        <w:keepNext w:val="0"/>
        <w:keepLines w:val="0"/>
        <w:widowControl/>
        <w:suppressLineNumbers w:val="0"/>
        <w:spacing w:line="360" w:lineRule="auto"/>
        <w:jc w:val="left"/>
        <w:rPr>
          <w:rFonts w:hint="eastAsia" w:ascii="宋体" w:hAnsi="宋体" w:eastAsia="宋体" w:cs="宋体"/>
          <w:b w:val="0"/>
          <w:bCs/>
          <w:color w:val="auto"/>
          <w:spacing w:val="0"/>
          <w:sz w:val="24"/>
          <w:szCs w:val="24"/>
          <w:highlight w:val="none"/>
          <w:lang w:val="en-US" w:eastAsia="zh-CN"/>
        </w:rPr>
      </w:pPr>
      <w:r>
        <w:rPr>
          <w:rFonts w:hint="eastAsia" w:ascii="宋体" w:hAnsi="宋体" w:eastAsia="宋体" w:cs="宋体"/>
          <w:b w:val="0"/>
          <w:bCs/>
          <w:color w:val="auto"/>
          <w:spacing w:val="0"/>
          <w:sz w:val="24"/>
          <w:szCs w:val="24"/>
          <w:highlight w:val="none"/>
          <w:lang w:val="en-US" w:eastAsia="zh-CN"/>
        </w:rPr>
        <w:t>本项目颗粒物、二氧化硫、氮氧化物执行《锅炉大气污染物排放标准》（GB13271-2014）</w:t>
      </w:r>
      <w:r>
        <w:rPr>
          <w:rFonts w:hint="eastAsia" w:cs="宋体"/>
          <w:b w:val="0"/>
          <w:bCs/>
          <w:color w:val="auto"/>
          <w:spacing w:val="0"/>
          <w:sz w:val="24"/>
          <w:szCs w:val="24"/>
          <w:highlight w:val="none"/>
          <w:lang w:val="en-US" w:eastAsia="zh-CN"/>
        </w:rPr>
        <w:t>表2锅炉</w:t>
      </w:r>
      <w:r>
        <w:rPr>
          <w:rFonts w:hint="eastAsia" w:ascii="宋体" w:hAnsi="宋体" w:eastAsia="宋体" w:cs="宋体"/>
          <w:b w:val="0"/>
          <w:bCs/>
          <w:color w:val="auto"/>
          <w:spacing w:val="0"/>
          <w:sz w:val="24"/>
          <w:szCs w:val="24"/>
          <w:highlight w:val="none"/>
          <w:lang w:val="en-US" w:eastAsia="zh-CN"/>
        </w:rPr>
        <w:t>排放限值标准。</w:t>
      </w:r>
    </w:p>
    <w:p w14:paraId="7B5D4305">
      <w:pPr>
        <w:keepNext w:val="0"/>
        <w:keepLines w:val="0"/>
        <w:widowControl/>
        <w:suppressLineNumbers w:val="0"/>
        <w:shd w:val="clear"/>
        <w:spacing w:line="360" w:lineRule="auto"/>
        <w:jc w:val="left"/>
        <w:rPr>
          <w:rFonts w:hint="eastAsia" w:ascii="宋体" w:hAnsi="宋体" w:eastAsia="宋体" w:cs="宋体"/>
          <w:color w:val="auto"/>
          <w:spacing w:val="0"/>
          <w:kern w:val="0"/>
          <w:sz w:val="24"/>
          <w:highlight w:val="none"/>
        </w:rPr>
      </w:pPr>
      <w:r>
        <w:rPr>
          <w:rFonts w:hint="eastAsia" w:ascii="宋体" w:hAnsi="宋体" w:eastAsia="宋体" w:cs="宋体"/>
          <w:b w:val="0"/>
          <w:bCs/>
          <w:color w:val="auto"/>
          <w:spacing w:val="0"/>
          <w:sz w:val="24"/>
          <w:szCs w:val="24"/>
          <w:highlight w:val="none"/>
          <w:lang w:val="en-US" w:eastAsia="zh-CN"/>
        </w:rPr>
        <w:t>计算过程：根据《排污许可证申请与核发技术规范 锅炉》（</w:t>
      </w:r>
      <w:r>
        <w:rPr>
          <w:rFonts w:hint="default" w:ascii="Times New Roman" w:hAnsi="Times New Roman" w:eastAsia="宋体" w:cs="Times New Roman"/>
          <w:b w:val="0"/>
          <w:bCs/>
          <w:color w:val="auto"/>
          <w:spacing w:val="0"/>
          <w:sz w:val="24"/>
          <w:szCs w:val="24"/>
          <w:highlight w:val="none"/>
          <w:lang w:val="en-US" w:eastAsia="zh-CN"/>
        </w:rPr>
        <w:t>HJ953-2018</w:t>
      </w:r>
      <w:r>
        <w:rPr>
          <w:rFonts w:hint="eastAsia" w:ascii="宋体" w:hAnsi="宋体" w:eastAsia="宋体" w:cs="宋体"/>
          <w:b w:val="0"/>
          <w:bCs/>
          <w:color w:val="auto"/>
          <w:spacing w:val="0"/>
          <w:sz w:val="24"/>
          <w:szCs w:val="24"/>
          <w:highlight w:val="none"/>
          <w:lang w:val="en-US" w:eastAsia="zh-CN"/>
        </w:rPr>
        <w:t>）中锅炉的废气污染物（颗粒物、二氧化硫、氮氧化物）年许可排放量计算公式</w:t>
      </w:r>
      <w:r>
        <w:rPr>
          <w:rFonts w:hint="default" w:ascii="Times New Roman" w:hAnsi="Times New Roman" w:eastAsia="宋体" w:cs="Times New Roman"/>
          <w:b w:val="0"/>
          <w:bCs/>
          <w:color w:val="auto"/>
          <w:spacing w:val="0"/>
          <w:sz w:val="24"/>
          <w:szCs w:val="24"/>
          <w:highlight w:val="none"/>
          <w:lang w:val="en-US" w:eastAsia="zh-CN"/>
        </w:rPr>
        <w:t>E</w:t>
      </w:r>
      <w:r>
        <w:rPr>
          <w:rFonts w:hint="eastAsia" w:ascii="宋体" w:hAnsi="宋体" w:eastAsia="宋体" w:cs="宋体"/>
          <w:b w:val="0"/>
          <w:bCs/>
          <w:color w:val="auto"/>
          <w:spacing w:val="0"/>
          <w:sz w:val="24"/>
          <w:szCs w:val="24"/>
          <w:highlight w:val="none"/>
          <w:lang w:val="en-US" w:eastAsia="zh-CN"/>
        </w:rPr>
        <w:t>年许可：</w:t>
      </w:r>
    </w:p>
    <w:p w14:paraId="3B969FFB">
      <w:pPr>
        <w:keepNext w:val="0"/>
        <w:keepLines w:val="0"/>
        <w:pageBreakBefore w:val="0"/>
        <w:widowControl/>
        <w:shd w:val="clear"/>
        <w:kinsoku/>
        <w:wordWrap/>
        <w:overflowPunct/>
        <w:topLinePunct w:val="0"/>
        <w:autoSpaceDE/>
        <w:autoSpaceDN/>
        <w:bidi w:val="0"/>
        <w:adjustRightInd/>
        <w:snapToGrid/>
        <w:spacing w:line="360" w:lineRule="auto"/>
        <w:ind w:firstLine="0" w:firstLineChars="0"/>
        <w:jc w:val="center"/>
        <w:textAlignment w:val="auto"/>
        <w:rPr>
          <w:rFonts w:hint="eastAsia" w:ascii="宋体" w:hAnsi="宋体" w:eastAsia="宋体" w:cs="宋体"/>
          <w:color w:val="auto"/>
          <w:spacing w:val="0"/>
          <w:highlight w:val="none"/>
        </w:rPr>
      </w:pPr>
      <w:r>
        <w:rPr>
          <w:color w:val="auto"/>
          <w:highlight w:val="none"/>
        </w:rPr>
        <w:drawing>
          <wp:inline distT="0" distB="0" distL="114300" distR="114300">
            <wp:extent cx="2343150" cy="400050"/>
            <wp:effectExtent l="0" t="0" r="0" b="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81"/>
                    <a:stretch>
                      <a:fillRect/>
                    </a:stretch>
                  </pic:blipFill>
                  <pic:spPr>
                    <a:xfrm>
                      <a:off x="0" y="0"/>
                      <a:ext cx="2343150" cy="400050"/>
                    </a:xfrm>
                    <a:prstGeom prst="rect">
                      <a:avLst/>
                    </a:prstGeom>
                    <a:noFill/>
                    <a:ln>
                      <a:noFill/>
                    </a:ln>
                  </pic:spPr>
                </pic:pic>
              </a:graphicData>
            </a:graphic>
          </wp:inline>
        </w:drawing>
      </w:r>
    </w:p>
    <w:p w14:paraId="4C23DD23">
      <w:pPr>
        <w:keepNext w:val="0"/>
        <w:keepLines w:val="0"/>
        <w:pageBreakBefore w:val="0"/>
        <w:widowControl/>
        <w:shd w:val="clear"/>
        <w:kinsoku/>
        <w:wordWrap/>
        <w:overflowPunct/>
        <w:topLinePunct w:val="0"/>
        <w:autoSpaceDE/>
        <w:autoSpaceDN/>
        <w:bidi w:val="0"/>
        <w:adjustRightInd/>
        <w:snapToGrid/>
        <w:spacing w:line="360" w:lineRule="auto"/>
        <w:ind w:firstLine="720" w:firstLineChars="300"/>
        <w:jc w:val="left"/>
        <w:textAlignment w:val="auto"/>
        <w:rPr>
          <w:rFonts w:hint="default" w:ascii="Times New Roman" w:hAnsi="Times New Roman" w:eastAsia="宋体" w:cs="Times New Roman"/>
          <w:bCs w:val="0"/>
          <w:color w:val="auto"/>
          <w:spacing w:val="0"/>
          <w:kern w:val="0"/>
          <w:sz w:val="24"/>
          <w:highlight w:val="none"/>
        </w:rPr>
      </w:pPr>
      <w:r>
        <w:rPr>
          <w:rFonts w:hint="default" w:ascii="Times New Roman" w:hAnsi="Times New Roman" w:eastAsia="宋体" w:cs="Times New Roman"/>
          <w:bCs w:val="0"/>
          <w:color w:val="auto"/>
          <w:spacing w:val="0"/>
          <w:kern w:val="0"/>
          <w:sz w:val="24"/>
          <w:highlight w:val="none"/>
        </w:rPr>
        <w:t>则E</w:t>
      </w:r>
      <w:r>
        <w:rPr>
          <w:rFonts w:hint="default" w:ascii="Times New Roman" w:hAnsi="Times New Roman" w:eastAsia="宋体" w:cs="Times New Roman"/>
          <w:bCs w:val="0"/>
          <w:color w:val="auto"/>
          <w:spacing w:val="0"/>
          <w:kern w:val="0"/>
          <w:sz w:val="24"/>
          <w:highlight w:val="none"/>
          <w:vertAlign w:val="subscript"/>
        </w:rPr>
        <w:t>颗粒物</w:t>
      </w:r>
      <w:r>
        <w:rPr>
          <w:rFonts w:hint="default" w:ascii="Times New Roman" w:hAnsi="Times New Roman" w:eastAsia="宋体" w:cs="Times New Roman"/>
          <w:bCs w:val="0"/>
          <w:color w:val="auto"/>
          <w:spacing w:val="0"/>
          <w:kern w:val="0"/>
          <w:sz w:val="24"/>
          <w:highlight w:val="none"/>
        </w:rPr>
        <w:t>=</w:t>
      </w:r>
      <w:r>
        <w:rPr>
          <w:rFonts w:hint="default" w:ascii="Times New Roman" w:hAnsi="Times New Roman" w:eastAsia="宋体" w:cs="Times New Roman"/>
          <w:bCs w:val="0"/>
          <w:color w:val="auto"/>
          <w:spacing w:val="0"/>
          <w:kern w:val="0"/>
          <w:sz w:val="24"/>
          <w:highlight w:val="none"/>
          <w:lang w:val="en-US" w:eastAsia="zh-CN"/>
        </w:rPr>
        <w:t>50</w:t>
      </w:r>
      <w:r>
        <w:rPr>
          <w:rFonts w:hint="default" w:ascii="Times New Roman" w:hAnsi="Times New Roman" w:eastAsia="宋体" w:cs="Times New Roman"/>
          <w:bCs w:val="0"/>
          <w:color w:val="auto"/>
          <w:spacing w:val="0"/>
          <w:kern w:val="0"/>
          <w:sz w:val="24"/>
          <w:highlight w:val="none"/>
        </w:rPr>
        <w:t>mg/</w:t>
      </w:r>
      <w:r>
        <w:rPr>
          <w:rFonts w:hint="default" w:ascii="Times New Roman" w:hAnsi="Times New Roman" w:eastAsia="宋体" w:cs="Times New Roman"/>
          <w:bCs w:val="0"/>
          <w:color w:val="auto"/>
          <w:spacing w:val="0"/>
          <w:kern w:val="0"/>
          <w:sz w:val="24"/>
          <w:highlight w:val="none"/>
          <w:lang w:eastAsia="zh-CN"/>
        </w:rPr>
        <w:t>m</w:t>
      </w:r>
      <w:r>
        <w:rPr>
          <w:rFonts w:hint="default" w:ascii="Times New Roman" w:hAnsi="Times New Roman" w:eastAsia="宋体" w:cs="Times New Roman"/>
          <w:bCs w:val="0"/>
          <w:caps w:val="0"/>
          <w:smallCaps w:val="0"/>
          <w:strike w:val="0"/>
          <w:dstrike w:val="0"/>
          <w:vanish w:val="0"/>
          <w:color w:val="auto"/>
          <w:spacing w:val="0"/>
          <w:kern w:val="0"/>
          <w:sz w:val="24"/>
          <w:highlight w:val="none"/>
          <w:vertAlign w:val="superscript"/>
          <w:lang w:eastAsia="zh-CN"/>
        </w:rPr>
        <w:t>3</w:t>
      </w:r>
      <w:r>
        <w:rPr>
          <w:rFonts w:hint="default" w:ascii="Times New Roman" w:hAnsi="Times New Roman" w:eastAsia="宋体" w:cs="Times New Roman"/>
          <w:bCs w:val="0"/>
          <w:color w:val="auto"/>
          <w:spacing w:val="0"/>
          <w:kern w:val="0"/>
          <w:sz w:val="24"/>
          <w:highlight w:val="none"/>
        </w:rPr>
        <w:t>×</w:t>
      </w:r>
      <w:r>
        <w:rPr>
          <w:rFonts w:hint="eastAsia" w:ascii="Times New Roman" w:hAnsi="Times New Roman" w:cs="Times New Roman"/>
          <w:color w:val="auto"/>
          <w:spacing w:val="0"/>
          <w:sz w:val="24"/>
          <w:szCs w:val="24"/>
          <w:highlight w:val="none"/>
          <w:lang w:val="en-US" w:eastAsia="zh-CN"/>
        </w:rPr>
        <w:t>3113.568</w:t>
      </w:r>
      <w:r>
        <w:rPr>
          <w:rFonts w:hint="default" w:ascii="Times New Roman" w:hAnsi="Times New Roman" w:eastAsia="宋体" w:cs="Times New Roman"/>
          <w:bCs/>
          <w:color w:val="auto"/>
          <w:spacing w:val="0"/>
          <w:sz w:val="24"/>
          <w:szCs w:val="24"/>
          <w:highlight w:val="none"/>
          <w:lang w:val="en-US" w:eastAsia="zh-CN"/>
        </w:rPr>
        <w:t>t×</w:t>
      </w:r>
      <w:r>
        <w:rPr>
          <w:rFonts w:hint="default" w:ascii="Times New Roman" w:hAnsi="Times New Roman" w:cs="Times New Roman"/>
          <w:color w:val="auto"/>
          <w:spacing w:val="0"/>
          <w:sz w:val="24"/>
          <w:szCs w:val="24"/>
          <w:highlight w:val="none"/>
          <w:lang w:val="en-US" w:eastAsia="zh-CN"/>
        </w:rPr>
        <w:t>7.46661</w:t>
      </w:r>
      <w:r>
        <w:rPr>
          <w:rFonts w:hint="default" w:ascii="Times New Roman" w:hAnsi="Times New Roman" w:eastAsia="宋体" w:cs="Times New Roman"/>
          <w:color w:val="auto"/>
          <w:spacing w:val="-1"/>
          <w:sz w:val="24"/>
          <w:szCs w:val="24"/>
          <w:highlight w:val="none"/>
        </w:rPr>
        <w:t>Nm</w:t>
      </w:r>
      <w:r>
        <w:rPr>
          <w:rFonts w:hint="default" w:ascii="Times New Roman" w:hAnsi="Times New Roman" w:eastAsia="宋体" w:cs="Times New Roman"/>
          <w:color w:val="auto"/>
          <w:spacing w:val="-1"/>
          <w:position w:val="8"/>
          <w:sz w:val="16"/>
          <w:szCs w:val="16"/>
          <w:highlight w:val="none"/>
        </w:rPr>
        <w:t>3</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2"/>
          <w:sz w:val="24"/>
          <w:szCs w:val="24"/>
          <w:highlight w:val="none"/>
          <w:lang w:val="en-US" w:eastAsia="zh-CN"/>
        </w:rPr>
        <w:t>kg</w:t>
      </w:r>
      <w:r>
        <w:rPr>
          <w:rFonts w:hint="default" w:ascii="Times New Roman" w:hAnsi="Times New Roman" w:eastAsia="宋体" w:cs="Times New Roman"/>
          <w:bCs w:val="0"/>
          <w:color w:val="auto"/>
          <w:spacing w:val="0"/>
          <w:kern w:val="0"/>
          <w:sz w:val="24"/>
          <w:highlight w:val="none"/>
        </w:rPr>
        <w:t>×</w:t>
      </w:r>
      <w:r>
        <w:rPr>
          <w:rFonts w:hint="default" w:ascii="Times New Roman" w:hAnsi="Times New Roman" w:eastAsia="宋体" w:cs="Times New Roman"/>
          <w:bCs w:val="0"/>
          <w:color w:val="auto"/>
          <w:spacing w:val="0"/>
          <w:kern w:val="0"/>
          <w:sz w:val="24"/>
          <w:highlight w:val="none"/>
          <w:lang w:val="en-US" w:eastAsia="zh-CN"/>
        </w:rPr>
        <w:t>1×</w:t>
      </w:r>
      <w:r>
        <w:rPr>
          <w:rFonts w:hint="default" w:ascii="Times New Roman" w:hAnsi="Times New Roman" w:eastAsia="宋体" w:cs="Times New Roman"/>
          <w:bCs w:val="0"/>
          <w:color w:val="auto"/>
          <w:spacing w:val="0"/>
          <w:kern w:val="0"/>
          <w:sz w:val="24"/>
          <w:highlight w:val="none"/>
        </w:rPr>
        <w:t>10</w:t>
      </w:r>
      <w:r>
        <w:rPr>
          <w:rFonts w:hint="default" w:ascii="Times New Roman" w:hAnsi="Times New Roman" w:eastAsia="宋体" w:cs="Times New Roman"/>
          <w:bCs w:val="0"/>
          <w:color w:val="auto"/>
          <w:spacing w:val="0"/>
          <w:kern w:val="0"/>
          <w:sz w:val="24"/>
          <w:highlight w:val="none"/>
          <w:vertAlign w:val="superscript"/>
        </w:rPr>
        <w:t>-</w:t>
      </w:r>
      <w:r>
        <w:rPr>
          <w:rFonts w:hint="default" w:ascii="Times New Roman" w:hAnsi="Times New Roman" w:eastAsia="宋体" w:cs="Times New Roman"/>
          <w:bCs w:val="0"/>
          <w:color w:val="auto"/>
          <w:spacing w:val="0"/>
          <w:kern w:val="0"/>
          <w:sz w:val="24"/>
          <w:highlight w:val="none"/>
          <w:vertAlign w:val="superscript"/>
          <w:lang w:val="en-US" w:eastAsia="zh-CN"/>
        </w:rPr>
        <w:t>6</w:t>
      </w:r>
      <w:r>
        <w:rPr>
          <w:rFonts w:hint="default" w:ascii="Times New Roman" w:hAnsi="Times New Roman" w:eastAsia="宋体" w:cs="Times New Roman"/>
          <w:bCs w:val="0"/>
          <w:color w:val="auto"/>
          <w:spacing w:val="0"/>
          <w:kern w:val="0"/>
          <w:sz w:val="24"/>
          <w:highlight w:val="none"/>
        </w:rPr>
        <w:t>=</w:t>
      </w:r>
      <w:r>
        <w:rPr>
          <w:rFonts w:hint="eastAsia" w:ascii="Times New Roman" w:hAnsi="Times New Roman" w:cs="Times New Roman"/>
          <w:bCs w:val="0"/>
          <w:color w:val="auto"/>
          <w:spacing w:val="0"/>
          <w:kern w:val="0"/>
          <w:sz w:val="24"/>
          <w:highlight w:val="none"/>
          <w:lang w:val="en-US" w:eastAsia="zh-CN"/>
        </w:rPr>
        <w:t>1.1624</w:t>
      </w:r>
      <w:r>
        <w:rPr>
          <w:rFonts w:hint="default" w:ascii="Times New Roman" w:hAnsi="Times New Roman" w:eastAsia="宋体" w:cs="Times New Roman"/>
          <w:bCs w:val="0"/>
          <w:color w:val="auto"/>
          <w:spacing w:val="0"/>
          <w:kern w:val="0"/>
          <w:sz w:val="24"/>
          <w:highlight w:val="none"/>
        </w:rPr>
        <w:t>t/a；</w:t>
      </w:r>
    </w:p>
    <w:p w14:paraId="6A9C3D43">
      <w:pPr>
        <w:keepNext w:val="0"/>
        <w:keepLines w:val="0"/>
        <w:pageBreakBefore w:val="0"/>
        <w:widowControl/>
        <w:shd w:val="clear"/>
        <w:kinsoku/>
        <w:wordWrap/>
        <w:overflowPunct/>
        <w:topLinePunct w:val="0"/>
        <w:autoSpaceDE/>
        <w:autoSpaceDN/>
        <w:bidi w:val="0"/>
        <w:adjustRightInd/>
        <w:snapToGrid/>
        <w:spacing w:line="360" w:lineRule="auto"/>
        <w:ind w:firstLine="720" w:firstLineChars="300"/>
        <w:jc w:val="left"/>
        <w:textAlignment w:val="auto"/>
        <w:rPr>
          <w:rFonts w:hint="default" w:ascii="Times New Roman" w:hAnsi="Times New Roman" w:eastAsia="宋体" w:cs="Times New Roman"/>
          <w:bCs w:val="0"/>
          <w:color w:val="auto"/>
          <w:spacing w:val="0"/>
          <w:kern w:val="0"/>
          <w:sz w:val="24"/>
          <w:highlight w:val="none"/>
        </w:rPr>
      </w:pPr>
      <w:r>
        <w:rPr>
          <w:rFonts w:hint="default" w:ascii="Times New Roman" w:hAnsi="Times New Roman" w:eastAsia="宋体" w:cs="Times New Roman"/>
          <w:bCs w:val="0"/>
          <w:color w:val="auto"/>
          <w:spacing w:val="0"/>
          <w:kern w:val="0"/>
          <w:sz w:val="24"/>
          <w:highlight w:val="none"/>
        </w:rPr>
        <w:t>E</w:t>
      </w:r>
      <w:r>
        <w:rPr>
          <w:rFonts w:hint="default" w:ascii="Times New Roman" w:hAnsi="Times New Roman" w:eastAsia="宋体" w:cs="Times New Roman"/>
          <w:bCs w:val="0"/>
          <w:color w:val="auto"/>
          <w:spacing w:val="0"/>
          <w:kern w:val="0"/>
          <w:sz w:val="24"/>
          <w:highlight w:val="none"/>
          <w:vertAlign w:val="subscript"/>
        </w:rPr>
        <w:t>二氧化硫</w:t>
      </w:r>
      <w:r>
        <w:rPr>
          <w:rFonts w:hint="default" w:ascii="Times New Roman" w:hAnsi="Times New Roman" w:eastAsia="宋体" w:cs="Times New Roman"/>
          <w:bCs w:val="0"/>
          <w:color w:val="auto"/>
          <w:spacing w:val="0"/>
          <w:kern w:val="0"/>
          <w:sz w:val="24"/>
          <w:highlight w:val="none"/>
        </w:rPr>
        <w:t>=</w:t>
      </w:r>
      <w:r>
        <w:rPr>
          <w:rFonts w:hint="default" w:ascii="Times New Roman" w:hAnsi="Times New Roman" w:eastAsia="宋体" w:cs="Times New Roman"/>
          <w:bCs w:val="0"/>
          <w:color w:val="auto"/>
          <w:spacing w:val="0"/>
          <w:kern w:val="0"/>
          <w:sz w:val="24"/>
          <w:highlight w:val="none"/>
          <w:lang w:val="en-US" w:eastAsia="zh-CN"/>
        </w:rPr>
        <w:t>300</w:t>
      </w:r>
      <w:r>
        <w:rPr>
          <w:rFonts w:hint="default" w:ascii="Times New Roman" w:hAnsi="Times New Roman" w:eastAsia="宋体" w:cs="Times New Roman"/>
          <w:bCs w:val="0"/>
          <w:color w:val="auto"/>
          <w:spacing w:val="0"/>
          <w:kern w:val="0"/>
          <w:sz w:val="24"/>
          <w:highlight w:val="none"/>
        </w:rPr>
        <w:t>mg/</w:t>
      </w:r>
      <w:r>
        <w:rPr>
          <w:rFonts w:hint="default" w:ascii="Times New Roman" w:hAnsi="Times New Roman" w:eastAsia="宋体" w:cs="Times New Roman"/>
          <w:bCs w:val="0"/>
          <w:color w:val="auto"/>
          <w:spacing w:val="0"/>
          <w:kern w:val="0"/>
          <w:sz w:val="24"/>
          <w:highlight w:val="none"/>
          <w:lang w:eastAsia="zh-CN"/>
        </w:rPr>
        <w:t>m</w:t>
      </w:r>
      <w:r>
        <w:rPr>
          <w:rFonts w:hint="default" w:ascii="Times New Roman" w:hAnsi="Times New Roman" w:eastAsia="宋体" w:cs="Times New Roman"/>
          <w:bCs w:val="0"/>
          <w:caps w:val="0"/>
          <w:smallCaps w:val="0"/>
          <w:strike w:val="0"/>
          <w:dstrike w:val="0"/>
          <w:vanish w:val="0"/>
          <w:color w:val="auto"/>
          <w:spacing w:val="0"/>
          <w:kern w:val="0"/>
          <w:sz w:val="24"/>
          <w:highlight w:val="none"/>
          <w:vertAlign w:val="superscript"/>
          <w:lang w:eastAsia="zh-CN"/>
        </w:rPr>
        <w:t>3</w:t>
      </w:r>
      <w:r>
        <w:rPr>
          <w:rFonts w:hint="default" w:ascii="Times New Roman" w:hAnsi="Times New Roman" w:eastAsia="宋体" w:cs="Times New Roman"/>
          <w:bCs w:val="0"/>
          <w:color w:val="auto"/>
          <w:spacing w:val="0"/>
          <w:kern w:val="0"/>
          <w:sz w:val="24"/>
          <w:highlight w:val="none"/>
        </w:rPr>
        <w:t>×</w:t>
      </w:r>
      <w:r>
        <w:rPr>
          <w:rFonts w:hint="eastAsia" w:ascii="Times New Roman" w:hAnsi="Times New Roman" w:cs="Times New Roman"/>
          <w:color w:val="auto"/>
          <w:spacing w:val="0"/>
          <w:sz w:val="24"/>
          <w:szCs w:val="24"/>
          <w:highlight w:val="none"/>
          <w:lang w:val="en-US" w:eastAsia="zh-CN"/>
        </w:rPr>
        <w:t>3113.568</w:t>
      </w:r>
      <w:r>
        <w:rPr>
          <w:rFonts w:hint="default" w:ascii="Times New Roman" w:hAnsi="Times New Roman" w:eastAsia="宋体" w:cs="Times New Roman"/>
          <w:bCs/>
          <w:color w:val="auto"/>
          <w:spacing w:val="0"/>
          <w:sz w:val="24"/>
          <w:szCs w:val="24"/>
          <w:highlight w:val="none"/>
          <w:lang w:val="en-US" w:eastAsia="zh-CN"/>
        </w:rPr>
        <w:t>t×</w:t>
      </w:r>
      <w:r>
        <w:rPr>
          <w:rFonts w:hint="default" w:ascii="Times New Roman" w:hAnsi="Times New Roman" w:cs="Times New Roman"/>
          <w:color w:val="auto"/>
          <w:spacing w:val="0"/>
          <w:sz w:val="24"/>
          <w:szCs w:val="24"/>
          <w:highlight w:val="none"/>
          <w:lang w:val="en-US" w:eastAsia="zh-CN"/>
        </w:rPr>
        <w:t>7.46661</w:t>
      </w:r>
      <w:r>
        <w:rPr>
          <w:rFonts w:hint="default" w:ascii="Times New Roman" w:hAnsi="Times New Roman" w:eastAsia="宋体" w:cs="Times New Roman"/>
          <w:color w:val="auto"/>
          <w:spacing w:val="-1"/>
          <w:sz w:val="24"/>
          <w:szCs w:val="24"/>
          <w:highlight w:val="none"/>
        </w:rPr>
        <w:t>Nm</w:t>
      </w:r>
      <w:r>
        <w:rPr>
          <w:rFonts w:hint="default" w:ascii="Times New Roman" w:hAnsi="Times New Roman" w:eastAsia="宋体" w:cs="Times New Roman"/>
          <w:color w:val="auto"/>
          <w:spacing w:val="-1"/>
          <w:position w:val="8"/>
          <w:sz w:val="16"/>
          <w:szCs w:val="16"/>
          <w:highlight w:val="none"/>
        </w:rPr>
        <w:t>3</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2"/>
          <w:sz w:val="24"/>
          <w:szCs w:val="24"/>
          <w:highlight w:val="none"/>
          <w:lang w:val="en-US" w:eastAsia="zh-CN"/>
        </w:rPr>
        <w:t>kg</w:t>
      </w:r>
      <w:r>
        <w:rPr>
          <w:rFonts w:hint="default" w:ascii="Times New Roman" w:hAnsi="Times New Roman" w:eastAsia="宋体" w:cs="Times New Roman"/>
          <w:bCs w:val="0"/>
          <w:color w:val="auto"/>
          <w:spacing w:val="0"/>
          <w:kern w:val="0"/>
          <w:sz w:val="24"/>
          <w:highlight w:val="none"/>
        </w:rPr>
        <w:t>×</w:t>
      </w:r>
      <w:r>
        <w:rPr>
          <w:rFonts w:hint="default" w:ascii="Times New Roman" w:hAnsi="Times New Roman" w:eastAsia="宋体" w:cs="Times New Roman"/>
          <w:bCs w:val="0"/>
          <w:color w:val="auto"/>
          <w:spacing w:val="0"/>
          <w:kern w:val="0"/>
          <w:sz w:val="24"/>
          <w:highlight w:val="none"/>
          <w:lang w:val="en-US" w:eastAsia="zh-CN"/>
        </w:rPr>
        <w:t>0.8×</w:t>
      </w:r>
      <w:r>
        <w:rPr>
          <w:rFonts w:hint="default" w:ascii="Times New Roman" w:hAnsi="Times New Roman" w:eastAsia="宋体" w:cs="Times New Roman"/>
          <w:bCs w:val="0"/>
          <w:color w:val="auto"/>
          <w:spacing w:val="0"/>
          <w:kern w:val="0"/>
          <w:sz w:val="24"/>
          <w:highlight w:val="none"/>
        </w:rPr>
        <w:t>10</w:t>
      </w:r>
      <w:r>
        <w:rPr>
          <w:rFonts w:hint="default" w:ascii="Times New Roman" w:hAnsi="Times New Roman" w:eastAsia="宋体" w:cs="Times New Roman"/>
          <w:bCs w:val="0"/>
          <w:color w:val="auto"/>
          <w:spacing w:val="0"/>
          <w:kern w:val="0"/>
          <w:sz w:val="24"/>
          <w:highlight w:val="none"/>
          <w:vertAlign w:val="superscript"/>
        </w:rPr>
        <w:t>-</w:t>
      </w:r>
      <w:r>
        <w:rPr>
          <w:rFonts w:hint="default" w:ascii="Times New Roman" w:hAnsi="Times New Roman" w:eastAsia="宋体" w:cs="Times New Roman"/>
          <w:bCs w:val="0"/>
          <w:color w:val="auto"/>
          <w:spacing w:val="0"/>
          <w:kern w:val="0"/>
          <w:sz w:val="24"/>
          <w:highlight w:val="none"/>
          <w:vertAlign w:val="superscript"/>
          <w:lang w:val="en-US" w:eastAsia="zh-CN"/>
        </w:rPr>
        <w:t>6</w:t>
      </w:r>
      <w:r>
        <w:rPr>
          <w:rFonts w:hint="default" w:ascii="Times New Roman" w:hAnsi="Times New Roman" w:eastAsia="宋体" w:cs="Times New Roman"/>
          <w:bCs w:val="0"/>
          <w:color w:val="auto"/>
          <w:spacing w:val="0"/>
          <w:kern w:val="0"/>
          <w:sz w:val="24"/>
          <w:highlight w:val="none"/>
        </w:rPr>
        <w:t>=</w:t>
      </w:r>
      <w:r>
        <w:rPr>
          <w:rFonts w:hint="eastAsia" w:ascii="Times New Roman" w:hAnsi="Times New Roman" w:cs="Times New Roman"/>
          <w:bCs w:val="0"/>
          <w:color w:val="auto"/>
          <w:spacing w:val="0"/>
          <w:kern w:val="0"/>
          <w:sz w:val="24"/>
          <w:highlight w:val="none"/>
          <w:lang w:val="en-US" w:eastAsia="zh-CN"/>
        </w:rPr>
        <w:t>5.5795</w:t>
      </w:r>
      <w:r>
        <w:rPr>
          <w:rFonts w:hint="default" w:ascii="Times New Roman" w:hAnsi="Times New Roman" w:eastAsia="宋体" w:cs="Times New Roman"/>
          <w:bCs w:val="0"/>
          <w:color w:val="auto"/>
          <w:spacing w:val="0"/>
          <w:kern w:val="0"/>
          <w:sz w:val="24"/>
          <w:highlight w:val="none"/>
        </w:rPr>
        <w:t>t/a；</w:t>
      </w:r>
    </w:p>
    <w:p w14:paraId="09FAE3AE">
      <w:pPr>
        <w:keepNext w:val="0"/>
        <w:keepLines w:val="0"/>
        <w:pageBreakBefore w:val="0"/>
        <w:widowControl/>
        <w:kinsoku/>
        <w:wordWrap/>
        <w:overflowPunct/>
        <w:topLinePunct w:val="0"/>
        <w:autoSpaceDE/>
        <w:autoSpaceDN/>
        <w:bidi w:val="0"/>
        <w:adjustRightInd/>
        <w:snapToGrid/>
        <w:spacing w:line="360" w:lineRule="auto"/>
        <w:ind w:firstLine="720" w:firstLineChars="300"/>
        <w:jc w:val="left"/>
        <w:textAlignment w:val="auto"/>
        <w:rPr>
          <w:rFonts w:hint="default" w:ascii="Times New Roman" w:hAnsi="Times New Roman" w:eastAsia="宋体" w:cs="Times New Roman"/>
          <w:bCs w:val="0"/>
          <w:color w:val="auto"/>
          <w:spacing w:val="0"/>
          <w:kern w:val="0"/>
          <w:sz w:val="24"/>
          <w:highlight w:val="none"/>
          <w:lang w:eastAsia="zh-CN"/>
        </w:rPr>
      </w:pPr>
      <w:r>
        <w:rPr>
          <w:rFonts w:hint="default" w:ascii="Times New Roman" w:hAnsi="Times New Roman" w:eastAsia="宋体" w:cs="Times New Roman"/>
          <w:bCs w:val="0"/>
          <w:color w:val="auto"/>
          <w:spacing w:val="0"/>
          <w:kern w:val="0"/>
          <w:sz w:val="24"/>
          <w:highlight w:val="none"/>
        </w:rPr>
        <w:t>E</w:t>
      </w:r>
      <w:r>
        <w:rPr>
          <w:rFonts w:hint="default" w:ascii="Times New Roman" w:hAnsi="Times New Roman" w:eastAsia="宋体" w:cs="Times New Roman"/>
          <w:bCs w:val="0"/>
          <w:color w:val="auto"/>
          <w:spacing w:val="0"/>
          <w:kern w:val="0"/>
          <w:sz w:val="24"/>
          <w:highlight w:val="none"/>
          <w:vertAlign w:val="subscript"/>
        </w:rPr>
        <w:t>氮氧化物</w:t>
      </w:r>
      <w:r>
        <w:rPr>
          <w:rFonts w:hint="default" w:ascii="Times New Roman" w:hAnsi="Times New Roman" w:eastAsia="宋体" w:cs="Times New Roman"/>
          <w:bCs w:val="0"/>
          <w:color w:val="auto"/>
          <w:spacing w:val="0"/>
          <w:kern w:val="0"/>
          <w:sz w:val="24"/>
          <w:highlight w:val="none"/>
        </w:rPr>
        <w:t>=</w:t>
      </w:r>
      <w:r>
        <w:rPr>
          <w:rFonts w:hint="default" w:ascii="Times New Roman" w:hAnsi="Times New Roman" w:eastAsia="宋体" w:cs="Times New Roman"/>
          <w:bCs w:val="0"/>
          <w:color w:val="auto"/>
          <w:spacing w:val="0"/>
          <w:kern w:val="0"/>
          <w:sz w:val="24"/>
          <w:highlight w:val="none"/>
          <w:lang w:val="en-US" w:eastAsia="zh-CN"/>
        </w:rPr>
        <w:t>300</w:t>
      </w:r>
      <w:r>
        <w:rPr>
          <w:rFonts w:hint="default" w:ascii="Times New Roman" w:hAnsi="Times New Roman" w:eastAsia="宋体" w:cs="Times New Roman"/>
          <w:bCs w:val="0"/>
          <w:color w:val="auto"/>
          <w:spacing w:val="0"/>
          <w:kern w:val="0"/>
          <w:sz w:val="24"/>
          <w:highlight w:val="none"/>
        </w:rPr>
        <w:t>mg/</w:t>
      </w:r>
      <w:r>
        <w:rPr>
          <w:rFonts w:hint="default" w:ascii="Times New Roman" w:hAnsi="Times New Roman" w:eastAsia="宋体" w:cs="Times New Roman"/>
          <w:bCs w:val="0"/>
          <w:color w:val="auto"/>
          <w:spacing w:val="0"/>
          <w:kern w:val="0"/>
          <w:sz w:val="24"/>
          <w:highlight w:val="none"/>
          <w:lang w:eastAsia="zh-CN"/>
        </w:rPr>
        <w:t>m</w:t>
      </w:r>
      <w:r>
        <w:rPr>
          <w:rFonts w:hint="default" w:ascii="Times New Roman" w:hAnsi="Times New Roman" w:eastAsia="宋体" w:cs="Times New Roman"/>
          <w:bCs w:val="0"/>
          <w:caps w:val="0"/>
          <w:smallCaps w:val="0"/>
          <w:strike w:val="0"/>
          <w:dstrike w:val="0"/>
          <w:vanish w:val="0"/>
          <w:color w:val="auto"/>
          <w:spacing w:val="0"/>
          <w:kern w:val="0"/>
          <w:sz w:val="24"/>
          <w:highlight w:val="none"/>
          <w:vertAlign w:val="superscript"/>
          <w:lang w:eastAsia="zh-CN"/>
        </w:rPr>
        <w:t>3</w:t>
      </w:r>
      <w:r>
        <w:rPr>
          <w:rFonts w:hint="default" w:ascii="Times New Roman" w:hAnsi="Times New Roman" w:eastAsia="宋体" w:cs="Times New Roman"/>
          <w:bCs w:val="0"/>
          <w:color w:val="auto"/>
          <w:spacing w:val="0"/>
          <w:kern w:val="0"/>
          <w:sz w:val="24"/>
          <w:highlight w:val="none"/>
        </w:rPr>
        <w:t>×</w:t>
      </w:r>
      <w:r>
        <w:rPr>
          <w:rFonts w:hint="eastAsia" w:ascii="Times New Roman" w:hAnsi="Times New Roman" w:cs="Times New Roman"/>
          <w:color w:val="auto"/>
          <w:spacing w:val="0"/>
          <w:sz w:val="24"/>
          <w:szCs w:val="24"/>
          <w:highlight w:val="none"/>
          <w:lang w:val="en-US" w:eastAsia="zh-CN"/>
        </w:rPr>
        <w:t>3113.568</w:t>
      </w:r>
      <w:r>
        <w:rPr>
          <w:rFonts w:hint="default" w:ascii="Times New Roman" w:hAnsi="Times New Roman" w:eastAsia="宋体" w:cs="Times New Roman"/>
          <w:bCs/>
          <w:color w:val="auto"/>
          <w:spacing w:val="0"/>
          <w:sz w:val="24"/>
          <w:szCs w:val="24"/>
          <w:highlight w:val="none"/>
          <w:lang w:val="en-US" w:eastAsia="zh-CN"/>
        </w:rPr>
        <w:t>t×</w:t>
      </w:r>
      <w:r>
        <w:rPr>
          <w:rFonts w:hint="default" w:ascii="Times New Roman" w:hAnsi="Times New Roman" w:cs="Times New Roman"/>
          <w:color w:val="auto"/>
          <w:spacing w:val="0"/>
          <w:sz w:val="24"/>
          <w:szCs w:val="24"/>
          <w:highlight w:val="none"/>
          <w:lang w:val="en-US" w:eastAsia="zh-CN"/>
        </w:rPr>
        <w:t>7.46661</w:t>
      </w:r>
      <w:r>
        <w:rPr>
          <w:rFonts w:hint="default" w:ascii="Times New Roman" w:hAnsi="Times New Roman" w:eastAsia="宋体" w:cs="Times New Roman"/>
          <w:color w:val="auto"/>
          <w:spacing w:val="-1"/>
          <w:sz w:val="24"/>
          <w:szCs w:val="24"/>
          <w:highlight w:val="none"/>
        </w:rPr>
        <w:t>Nm</w:t>
      </w:r>
      <w:r>
        <w:rPr>
          <w:rFonts w:hint="default" w:ascii="Times New Roman" w:hAnsi="Times New Roman" w:eastAsia="宋体" w:cs="Times New Roman"/>
          <w:color w:val="auto"/>
          <w:spacing w:val="-1"/>
          <w:position w:val="8"/>
          <w:sz w:val="16"/>
          <w:szCs w:val="16"/>
          <w:highlight w:val="none"/>
        </w:rPr>
        <w:t>3</w:t>
      </w:r>
      <w:r>
        <w:rPr>
          <w:rFonts w:hint="default" w:ascii="Times New Roman" w:hAnsi="Times New Roman" w:eastAsia="宋体" w:cs="Times New Roman"/>
          <w:color w:val="auto"/>
          <w:spacing w:val="-1"/>
          <w:sz w:val="24"/>
          <w:szCs w:val="24"/>
          <w:highlight w:val="none"/>
        </w:rPr>
        <w:t>/</w:t>
      </w:r>
      <w:r>
        <w:rPr>
          <w:rFonts w:hint="default" w:ascii="Times New Roman" w:hAnsi="Times New Roman" w:eastAsia="宋体" w:cs="Times New Roman"/>
          <w:color w:val="auto"/>
          <w:spacing w:val="-2"/>
          <w:sz w:val="24"/>
          <w:szCs w:val="24"/>
          <w:highlight w:val="none"/>
          <w:lang w:val="en-US" w:eastAsia="zh-CN"/>
        </w:rPr>
        <w:t>kg</w:t>
      </w:r>
      <w:r>
        <w:rPr>
          <w:rFonts w:hint="default" w:ascii="Times New Roman" w:hAnsi="Times New Roman" w:eastAsia="宋体" w:cs="Times New Roman"/>
          <w:bCs w:val="0"/>
          <w:color w:val="auto"/>
          <w:spacing w:val="0"/>
          <w:kern w:val="0"/>
          <w:sz w:val="24"/>
          <w:highlight w:val="none"/>
        </w:rPr>
        <w:t>×</w:t>
      </w:r>
      <w:r>
        <w:rPr>
          <w:rFonts w:hint="default" w:ascii="Times New Roman" w:hAnsi="Times New Roman" w:eastAsia="宋体" w:cs="Times New Roman"/>
          <w:bCs w:val="0"/>
          <w:color w:val="auto"/>
          <w:spacing w:val="0"/>
          <w:kern w:val="0"/>
          <w:sz w:val="24"/>
          <w:highlight w:val="none"/>
          <w:lang w:val="en-US" w:eastAsia="zh-CN"/>
        </w:rPr>
        <w:t>1</w:t>
      </w:r>
      <w:r>
        <w:rPr>
          <w:rFonts w:hint="default" w:ascii="Times New Roman" w:hAnsi="Times New Roman" w:eastAsia="宋体" w:cs="Times New Roman"/>
          <w:bCs w:val="0"/>
          <w:color w:val="auto"/>
          <w:spacing w:val="0"/>
          <w:kern w:val="0"/>
          <w:sz w:val="24"/>
          <w:highlight w:val="none"/>
        </w:rPr>
        <w:t>×10</w:t>
      </w:r>
      <w:r>
        <w:rPr>
          <w:rFonts w:hint="default" w:ascii="Times New Roman" w:hAnsi="Times New Roman" w:eastAsia="宋体" w:cs="Times New Roman"/>
          <w:bCs w:val="0"/>
          <w:color w:val="auto"/>
          <w:spacing w:val="0"/>
          <w:kern w:val="0"/>
          <w:sz w:val="24"/>
          <w:highlight w:val="none"/>
          <w:vertAlign w:val="superscript"/>
        </w:rPr>
        <w:t>-</w:t>
      </w:r>
      <w:r>
        <w:rPr>
          <w:rFonts w:hint="default" w:ascii="Times New Roman" w:hAnsi="Times New Roman" w:eastAsia="宋体" w:cs="Times New Roman"/>
          <w:bCs w:val="0"/>
          <w:color w:val="auto"/>
          <w:spacing w:val="0"/>
          <w:kern w:val="0"/>
          <w:sz w:val="24"/>
          <w:highlight w:val="none"/>
          <w:vertAlign w:val="superscript"/>
          <w:lang w:val="en-US" w:eastAsia="zh-CN"/>
        </w:rPr>
        <w:t>6</w:t>
      </w:r>
      <w:r>
        <w:rPr>
          <w:rFonts w:hint="default" w:ascii="Times New Roman" w:hAnsi="Times New Roman" w:eastAsia="宋体" w:cs="Times New Roman"/>
          <w:bCs w:val="0"/>
          <w:color w:val="auto"/>
          <w:spacing w:val="0"/>
          <w:kern w:val="0"/>
          <w:sz w:val="24"/>
          <w:highlight w:val="none"/>
        </w:rPr>
        <w:t>=</w:t>
      </w:r>
      <w:r>
        <w:rPr>
          <w:rFonts w:hint="eastAsia" w:ascii="Times New Roman" w:hAnsi="Times New Roman" w:cs="Times New Roman"/>
          <w:bCs w:val="0"/>
          <w:color w:val="auto"/>
          <w:spacing w:val="0"/>
          <w:kern w:val="0"/>
          <w:sz w:val="24"/>
          <w:highlight w:val="none"/>
          <w:lang w:val="en-US" w:eastAsia="zh-CN"/>
        </w:rPr>
        <w:t>6.974t</w:t>
      </w:r>
      <w:r>
        <w:rPr>
          <w:rFonts w:hint="default" w:ascii="Times New Roman" w:hAnsi="Times New Roman" w:eastAsia="宋体" w:cs="Times New Roman"/>
          <w:bCs w:val="0"/>
          <w:color w:val="auto"/>
          <w:spacing w:val="0"/>
          <w:kern w:val="0"/>
          <w:sz w:val="24"/>
          <w:highlight w:val="none"/>
        </w:rPr>
        <w:t>/a</w:t>
      </w:r>
      <w:r>
        <w:rPr>
          <w:rFonts w:hint="default" w:ascii="Times New Roman" w:hAnsi="Times New Roman" w:eastAsia="宋体" w:cs="Times New Roman"/>
          <w:bCs w:val="0"/>
          <w:color w:val="auto"/>
          <w:spacing w:val="0"/>
          <w:kern w:val="0"/>
          <w:sz w:val="24"/>
          <w:highlight w:val="none"/>
          <w:lang w:eastAsia="zh-CN"/>
        </w:rPr>
        <w:t>。</w:t>
      </w:r>
    </w:p>
    <w:p w14:paraId="4BE4CFC3">
      <w:pPr>
        <w:rPr>
          <w:rFonts w:hint="eastAsia" w:cs="宋体"/>
          <w:bCs/>
          <w:color w:val="auto"/>
          <w:spacing w:val="0"/>
          <w:kern w:val="2"/>
          <w:sz w:val="24"/>
          <w:szCs w:val="24"/>
          <w:highlight w:val="none"/>
          <w:vertAlign w:val="baseline"/>
          <w:lang w:val="en-US" w:eastAsia="zh-CN" w:bidi="ar-SA"/>
        </w:rPr>
      </w:pPr>
      <w:r>
        <w:rPr>
          <w:rFonts w:hint="eastAsia" w:cs="宋体"/>
          <w:bCs/>
          <w:color w:val="auto"/>
          <w:spacing w:val="0"/>
          <w:kern w:val="2"/>
          <w:sz w:val="24"/>
          <w:szCs w:val="24"/>
          <w:highlight w:val="none"/>
          <w:vertAlign w:val="baseline"/>
          <w:lang w:val="en-US" w:eastAsia="zh-CN" w:bidi="ar-SA"/>
        </w:rPr>
        <w:t>建成后全厂核定排放总量：</w:t>
      </w:r>
    </w:p>
    <w:p w14:paraId="31CCB17E">
      <w:pPr>
        <w:pStyle w:val="46"/>
        <w:rPr>
          <w:rFonts w:hint="default"/>
          <w:color w:val="auto"/>
          <w:highlight w:val="none"/>
          <w:lang w:val="en-US" w:eastAsia="zh-CN"/>
        </w:rPr>
      </w:pPr>
      <w:r>
        <w:rPr>
          <w:rFonts w:hint="eastAsia"/>
          <w:color w:val="auto"/>
          <w:highlight w:val="none"/>
          <w:lang w:val="en-US" w:eastAsia="zh-CN"/>
        </w:rPr>
        <w:t>附表1 建成后全厂核定排放总量   单位</w:t>
      </w:r>
      <w:r>
        <w:rPr>
          <w:rFonts w:hint="eastAsia" w:ascii="宋体" w:hAnsi="宋体" w:eastAsia="宋体" w:cs="宋体"/>
          <w:color w:val="auto"/>
          <w:highlight w:val="none"/>
          <w:lang w:val="en-US" w:eastAsia="zh-CN"/>
        </w:rPr>
        <w:t>t/a</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0"/>
        <w:gridCol w:w="1500"/>
        <w:gridCol w:w="1936"/>
        <w:gridCol w:w="2114"/>
        <w:gridCol w:w="2302"/>
      </w:tblGrid>
      <w:tr w14:paraId="2FF65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70" w:type="dxa"/>
            <w:vAlign w:val="center"/>
          </w:tcPr>
          <w:p w14:paraId="0D4269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类别</w:t>
            </w:r>
          </w:p>
        </w:tc>
        <w:tc>
          <w:tcPr>
            <w:tcW w:w="1500" w:type="dxa"/>
            <w:vAlign w:val="center"/>
          </w:tcPr>
          <w:p w14:paraId="5EE8C8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总量控制因子</w:t>
            </w:r>
          </w:p>
        </w:tc>
        <w:tc>
          <w:tcPr>
            <w:tcW w:w="1936" w:type="dxa"/>
            <w:vAlign w:val="center"/>
          </w:tcPr>
          <w:p w14:paraId="4F09E3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本项目核定排放量</w:t>
            </w:r>
          </w:p>
        </w:tc>
        <w:tc>
          <w:tcPr>
            <w:tcW w:w="2114" w:type="dxa"/>
            <w:vAlign w:val="center"/>
          </w:tcPr>
          <w:p w14:paraId="661CF6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现有工程核定排放量</w:t>
            </w:r>
          </w:p>
        </w:tc>
        <w:tc>
          <w:tcPr>
            <w:tcW w:w="2302" w:type="dxa"/>
            <w:vAlign w:val="center"/>
          </w:tcPr>
          <w:p w14:paraId="520EDF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全厂核定排放量</w:t>
            </w:r>
          </w:p>
        </w:tc>
      </w:tr>
      <w:tr w14:paraId="1730F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670" w:type="dxa"/>
            <w:vMerge w:val="restart"/>
            <w:vAlign w:val="center"/>
          </w:tcPr>
          <w:p w14:paraId="044D389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废气</w:t>
            </w:r>
          </w:p>
        </w:tc>
        <w:tc>
          <w:tcPr>
            <w:tcW w:w="1500" w:type="dxa"/>
            <w:vAlign w:val="center"/>
          </w:tcPr>
          <w:p w14:paraId="2043A0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VOCs</w:t>
            </w:r>
          </w:p>
        </w:tc>
        <w:tc>
          <w:tcPr>
            <w:tcW w:w="1936" w:type="dxa"/>
            <w:vAlign w:val="center"/>
          </w:tcPr>
          <w:p w14:paraId="475D8A4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2114" w:type="dxa"/>
            <w:vAlign w:val="center"/>
          </w:tcPr>
          <w:p w14:paraId="3CB916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45.78</w:t>
            </w:r>
          </w:p>
        </w:tc>
        <w:tc>
          <w:tcPr>
            <w:tcW w:w="2302" w:type="dxa"/>
            <w:vAlign w:val="center"/>
          </w:tcPr>
          <w:p w14:paraId="3EF512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45.78</w:t>
            </w:r>
          </w:p>
        </w:tc>
      </w:tr>
      <w:tr w14:paraId="4BF3A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670" w:type="dxa"/>
            <w:vMerge w:val="continue"/>
            <w:vAlign w:val="center"/>
          </w:tcPr>
          <w:p w14:paraId="6FB94D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vertAlign w:val="baseline"/>
                <w:lang w:val="en-US" w:eastAsia="zh-CN"/>
              </w:rPr>
            </w:pPr>
          </w:p>
        </w:tc>
        <w:tc>
          <w:tcPr>
            <w:tcW w:w="1500" w:type="dxa"/>
            <w:vAlign w:val="center"/>
          </w:tcPr>
          <w:p w14:paraId="66A9EC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颗粒物</w:t>
            </w:r>
          </w:p>
        </w:tc>
        <w:tc>
          <w:tcPr>
            <w:tcW w:w="1936" w:type="dxa"/>
            <w:vAlign w:val="center"/>
          </w:tcPr>
          <w:p w14:paraId="0AE15F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1.1624</w:t>
            </w:r>
          </w:p>
        </w:tc>
        <w:tc>
          <w:tcPr>
            <w:tcW w:w="2114" w:type="dxa"/>
            <w:vAlign w:val="center"/>
          </w:tcPr>
          <w:p w14:paraId="4D1EC2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1.74</w:t>
            </w:r>
          </w:p>
        </w:tc>
        <w:tc>
          <w:tcPr>
            <w:tcW w:w="2302" w:type="dxa"/>
            <w:vAlign w:val="center"/>
          </w:tcPr>
          <w:p w14:paraId="405C39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2.9024</w:t>
            </w:r>
          </w:p>
        </w:tc>
      </w:tr>
      <w:tr w14:paraId="3FF56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0" w:type="dxa"/>
            <w:vMerge w:val="continue"/>
            <w:vAlign w:val="center"/>
          </w:tcPr>
          <w:p w14:paraId="3769D90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vertAlign w:val="baseline"/>
                <w:lang w:val="en-US" w:eastAsia="zh-CN"/>
              </w:rPr>
            </w:pPr>
          </w:p>
        </w:tc>
        <w:tc>
          <w:tcPr>
            <w:tcW w:w="1500" w:type="dxa"/>
            <w:vAlign w:val="center"/>
          </w:tcPr>
          <w:p w14:paraId="3957FB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二氧化硫</w:t>
            </w:r>
          </w:p>
        </w:tc>
        <w:tc>
          <w:tcPr>
            <w:tcW w:w="1936" w:type="dxa"/>
            <w:vAlign w:val="center"/>
          </w:tcPr>
          <w:p w14:paraId="1801AA8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5.5795</w:t>
            </w:r>
          </w:p>
        </w:tc>
        <w:tc>
          <w:tcPr>
            <w:tcW w:w="2114" w:type="dxa"/>
            <w:vAlign w:val="center"/>
          </w:tcPr>
          <w:p w14:paraId="29A51B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8.35</w:t>
            </w:r>
          </w:p>
        </w:tc>
        <w:tc>
          <w:tcPr>
            <w:tcW w:w="2302" w:type="dxa"/>
            <w:vAlign w:val="center"/>
          </w:tcPr>
          <w:p w14:paraId="186420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13.9295</w:t>
            </w:r>
          </w:p>
        </w:tc>
      </w:tr>
      <w:tr w14:paraId="2E9A3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0" w:type="dxa"/>
            <w:vMerge w:val="continue"/>
            <w:vAlign w:val="center"/>
          </w:tcPr>
          <w:p w14:paraId="2E75D1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vertAlign w:val="baseline"/>
                <w:lang w:val="en-US" w:eastAsia="zh-CN"/>
              </w:rPr>
            </w:pPr>
          </w:p>
        </w:tc>
        <w:tc>
          <w:tcPr>
            <w:tcW w:w="1500" w:type="dxa"/>
            <w:vAlign w:val="center"/>
          </w:tcPr>
          <w:p w14:paraId="057073A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氮氧化物</w:t>
            </w:r>
          </w:p>
        </w:tc>
        <w:tc>
          <w:tcPr>
            <w:tcW w:w="1936" w:type="dxa"/>
            <w:vAlign w:val="center"/>
          </w:tcPr>
          <w:p w14:paraId="29A217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6.974</w:t>
            </w:r>
          </w:p>
        </w:tc>
        <w:tc>
          <w:tcPr>
            <w:tcW w:w="2114" w:type="dxa"/>
            <w:vAlign w:val="center"/>
          </w:tcPr>
          <w:p w14:paraId="1AF8F74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sz w:val="21"/>
                <w:szCs w:val="21"/>
                <w:highlight w:val="none"/>
                <w:vertAlign w:val="baseline"/>
                <w:lang w:val="en-US" w:eastAsia="zh-CN"/>
              </w:rPr>
            </w:pPr>
            <w:r>
              <w:rPr>
                <w:rFonts w:hint="eastAsia"/>
                <w:color w:val="auto"/>
                <w:sz w:val="21"/>
                <w:szCs w:val="21"/>
                <w:highlight w:val="none"/>
                <w:vertAlign w:val="baseline"/>
                <w:lang w:val="en-US" w:eastAsia="zh-CN"/>
              </w:rPr>
              <w:t>10.44</w:t>
            </w:r>
          </w:p>
        </w:tc>
        <w:tc>
          <w:tcPr>
            <w:tcW w:w="2302" w:type="dxa"/>
            <w:vAlign w:val="center"/>
          </w:tcPr>
          <w:p w14:paraId="3ACE9F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17.414</w:t>
            </w:r>
          </w:p>
        </w:tc>
      </w:tr>
    </w:tbl>
    <w:p w14:paraId="1DE817F3">
      <w:pPr>
        <w:rPr>
          <w:rFonts w:hint="default"/>
          <w:color w:val="auto"/>
          <w:highlight w:val="none"/>
          <w:lang w:val="en-US" w:eastAsia="zh-CN"/>
        </w:rPr>
        <w:sectPr>
          <w:footerReference r:id="rId14"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linePitch="312" w:charSpace="0"/>
        </w:sectPr>
      </w:pPr>
    </w:p>
    <w:p w14:paraId="3B03B3DF">
      <w:pPr>
        <w:pStyle w:val="46"/>
        <w:jc w:val="both"/>
        <w:outlineLvl w:val="0"/>
        <w:rPr>
          <w:rFonts w:hint="eastAsia"/>
          <w:b/>
          <w:bCs/>
          <w:color w:val="auto"/>
          <w:highlight w:val="none"/>
          <w:lang w:val="en-US" w:eastAsia="zh-CN"/>
        </w:rPr>
      </w:pPr>
      <w:bookmarkStart w:id="36" w:name="_Toc16848"/>
      <w:r>
        <w:rPr>
          <w:rFonts w:hint="eastAsia"/>
          <w:b/>
          <w:bCs/>
          <w:color w:val="auto"/>
          <w:highlight w:val="none"/>
          <w:lang w:val="en-US" w:eastAsia="zh-CN"/>
        </w:rPr>
        <w:t>附件</w:t>
      </w:r>
      <w:r>
        <w:rPr>
          <w:rFonts w:hint="eastAsia" w:asciiTheme="minorEastAsia" w:hAnsiTheme="minorEastAsia" w:eastAsiaTheme="minorEastAsia" w:cstheme="minorEastAsia"/>
          <w:b/>
          <w:bCs/>
          <w:color w:val="auto"/>
          <w:highlight w:val="none"/>
          <w:lang w:val="en-US" w:eastAsia="zh-CN"/>
        </w:rPr>
        <w:t>8</w:t>
      </w:r>
      <w:r>
        <w:rPr>
          <w:rFonts w:hint="eastAsia"/>
          <w:b/>
          <w:bCs/>
          <w:color w:val="auto"/>
          <w:highlight w:val="none"/>
          <w:lang w:val="en-US" w:eastAsia="zh-CN"/>
        </w:rPr>
        <w:t xml:space="preserve"> 生态环境分区管控分析报告</w:t>
      </w:r>
      <w:bookmarkEnd w:id="36"/>
    </w:p>
    <w:p w14:paraId="19DFBC2E">
      <w:pPr>
        <w:pStyle w:val="46"/>
        <w:jc w:val="center"/>
        <w:outlineLvl w:val="9"/>
        <w:rPr>
          <w:rFonts w:hint="default"/>
          <w:b/>
          <w:bCs/>
          <w:color w:val="auto"/>
          <w:highlight w:val="none"/>
          <w:lang w:val="en-US" w:eastAsia="zh-CN"/>
        </w:rPr>
      </w:pPr>
      <w:r>
        <w:rPr>
          <w:rFonts w:hint="default"/>
          <w:b/>
          <w:bCs/>
          <w:color w:val="auto"/>
          <w:highlight w:val="none"/>
          <w:lang w:val="en-US" w:eastAsia="zh-CN"/>
        </w:rPr>
        <w:drawing>
          <wp:inline distT="0" distB="0" distL="114300" distR="114300">
            <wp:extent cx="7353935" cy="5200015"/>
            <wp:effectExtent l="0" t="0" r="18415" b="635"/>
            <wp:docPr id="18" name="图片 18" descr="黑龙江省燎泰新材料科技有限公司过渡期热源改造_2025年11月03日091644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黑龙江省燎泰新材料科技有限公司过渡期热源改造_2025年11月03日091644_分析报告_01"/>
                    <pic:cNvPicPr>
                      <a:picLocks noChangeAspect="1"/>
                    </pic:cNvPicPr>
                  </pic:nvPicPr>
                  <pic:blipFill>
                    <a:blip r:embed="rId82"/>
                    <a:stretch>
                      <a:fillRect/>
                    </a:stretch>
                  </pic:blipFill>
                  <pic:spPr>
                    <a:xfrm>
                      <a:off x="0" y="0"/>
                      <a:ext cx="7353935" cy="5200015"/>
                    </a:xfrm>
                    <a:prstGeom prst="rect">
                      <a:avLst/>
                    </a:prstGeom>
                  </pic:spPr>
                </pic:pic>
              </a:graphicData>
            </a:graphic>
          </wp:inline>
        </w:drawing>
      </w:r>
    </w:p>
    <w:p w14:paraId="23D81B94">
      <w:pPr>
        <w:pStyle w:val="46"/>
        <w:jc w:val="center"/>
        <w:outlineLvl w:val="9"/>
        <w:rPr>
          <w:rFonts w:hint="default"/>
          <w:b/>
          <w:bCs/>
          <w:color w:val="auto"/>
          <w:highlight w:val="none"/>
          <w:lang w:val="en-US" w:eastAsia="zh-CN"/>
        </w:rPr>
        <w:sectPr>
          <w:pgSz w:w="16838" w:h="11906" w:orient="landscape"/>
          <w:pgMar w:top="1519" w:right="1440" w:bottom="1800" w:left="1440"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rFonts w:hint="default"/>
          <w:b/>
          <w:bCs/>
          <w:color w:val="auto"/>
          <w:highlight w:val="none"/>
          <w:lang w:val="en-US" w:eastAsia="zh-CN"/>
        </w:rPr>
        <w:drawing>
          <wp:inline distT="0" distB="0" distL="114300" distR="114300">
            <wp:extent cx="7708900" cy="5450840"/>
            <wp:effectExtent l="0" t="0" r="6350" b="16510"/>
            <wp:docPr id="25" name="图片 25" descr="黑龙江省燎泰新材料科技有限公司过渡期热源改造_2025年11月03日091644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黑龙江省燎泰新材料科技有限公司过渡期热源改造_2025年11月03日091644_分析报告_02"/>
                    <pic:cNvPicPr>
                      <a:picLocks noChangeAspect="1"/>
                    </pic:cNvPicPr>
                  </pic:nvPicPr>
                  <pic:blipFill>
                    <a:blip r:embed="rId83"/>
                    <a:stretch>
                      <a:fillRect/>
                    </a:stretch>
                  </pic:blipFill>
                  <pic:spPr>
                    <a:xfrm>
                      <a:off x="0" y="0"/>
                      <a:ext cx="7708900" cy="5450840"/>
                    </a:xfrm>
                    <a:prstGeom prst="rect">
                      <a:avLst/>
                    </a:prstGeom>
                  </pic:spPr>
                </pic:pic>
              </a:graphicData>
            </a:graphic>
          </wp:inline>
        </w:drawing>
      </w:r>
      <w:r>
        <w:rPr>
          <w:rFonts w:hint="default"/>
          <w:b/>
          <w:bCs/>
          <w:color w:val="auto"/>
          <w:highlight w:val="none"/>
          <w:lang w:val="en-US" w:eastAsia="zh-CN"/>
        </w:rPr>
        <w:drawing>
          <wp:inline distT="0" distB="0" distL="114300" distR="114300">
            <wp:extent cx="7708900" cy="5450840"/>
            <wp:effectExtent l="0" t="0" r="6350" b="16510"/>
            <wp:docPr id="27" name="图片 27" descr="黑龙江省燎泰新材料科技有限公司过渡期热源改造_2025年11月03日091644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黑龙江省燎泰新材料科技有限公司过渡期热源改造_2025年11月03日091644_分析报告_03"/>
                    <pic:cNvPicPr>
                      <a:picLocks noChangeAspect="1"/>
                    </pic:cNvPicPr>
                  </pic:nvPicPr>
                  <pic:blipFill>
                    <a:blip r:embed="rId84"/>
                    <a:stretch>
                      <a:fillRect/>
                    </a:stretch>
                  </pic:blipFill>
                  <pic:spPr>
                    <a:xfrm>
                      <a:off x="0" y="0"/>
                      <a:ext cx="7708900" cy="5450840"/>
                    </a:xfrm>
                    <a:prstGeom prst="rect">
                      <a:avLst/>
                    </a:prstGeom>
                  </pic:spPr>
                </pic:pic>
              </a:graphicData>
            </a:graphic>
          </wp:inline>
        </w:drawing>
      </w:r>
      <w:r>
        <w:rPr>
          <w:rFonts w:hint="default"/>
          <w:b/>
          <w:bCs/>
          <w:color w:val="auto"/>
          <w:highlight w:val="none"/>
          <w:lang w:val="en-US" w:eastAsia="zh-CN"/>
        </w:rPr>
        <w:drawing>
          <wp:inline distT="0" distB="0" distL="114300" distR="114300">
            <wp:extent cx="7708900" cy="5450840"/>
            <wp:effectExtent l="0" t="0" r="6350" b="16510"/>
            <wp:docPr id="32" name="图片 32" descr="黑龙江省燎泰新材料科技有限公司过渡期热源改造_2025年11月03日091644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黑龙江省燎泰新材料科技有限公司过渡期热源改造_2025年11月03日091644_分析报告_04"/>
                    <pic:cNvPicPr>
                      <a:picLocks noChangeAspect="1"/>
                    </pic:cNvPicPr>
                  </pic:nvPicPr>
                  <pic:blipFill>
                    <a:blip r:embed="rId85"/>
                    <a:stretch>
                      <a:fillRect/>
                    </a:stretch>
                  </pic:blipFill>
                  <pic:spPr>
                    <a:xfrm>
                      <a:off x="0" y="0"/>
                      <a:ext cx="7708900" cy="5450840"/>
                    </a:xfrm>
                    <a:prstGeom prst="rect">
                      <a:avLst/>
                    </a:prstGeom>
                  </pic:spPr>
                </pic:pic>
              </a:graphicData>
            </a:graphic>
          </wp:inline>
        </w:drawing>
      </w:r>
      <w:r>
        <w:rPr>
          <w:rFonts w:hint="default"/>
          <w:b/>
          <w:bCs/>
          <w:color w:val="auto"/>
          <w:highlight w:val="none"/>
          <w:lang w:val="en-US" w:eastAsia="zh-CN"/>
        </w:rPr>
        <w:drawing>
          <wp:inline distT="0" distB="0" distL="114300" distR="114300">
            <wp:extent cx="7708900" cy="5450840"/>
            <wp:effectExtent l="0" t="0" r="6350" b="16510"/>
            <wp:docPr id="33" name="图片 33" descr="黑龙江省燎泰新材料科技有限公司过渡期热源改造_2025年11月03日091644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黑龙江省燎泰新材料科技有限公司过渡期热源改造_2025年11月03日091644_分析报告_05"/>
                    <pic:cNvPicPr>
                      <a:picLocks noChangeAspect="1"/>
                    </pic:cNvPicPr>
                  </pic:nvPicPr>
                  <pic:blipFill>
                    <a:blip r:embed="rId86"/>
                    <a:stretch>
                      <a:fillRect/>
                    </a:stretch>
                  </pic:blipFill>
                  <pic:spPr>
                    <a:xfrm>
                      <a:off x="0" y="0"/>
                      <a:ext cx="7708900" cy="5450840"/>
                    </a:xfrm>
                    <a:prstGeom prst="rect">
                      <a:avLst/>
                    </a:prstGeom>
                  </pic:spPr>
                </pic:pic>
              </a:graphicData>
            </a:graphic>
          </wp:inline>
        </w:drawing>
      </w:r>
      <w:r>
        <w:rPr>
          <w:rFonts w:hint="default"/>
          <w:b/>
          <w:bCs/>
          <w:color w:val="auto"/>
          <w:highlight w:val="none"/>
          <w:lang w:val="en-US" w:eastAsia="zh-CN"/>
        </w:rPr>
        <w:drawing>
          <wp:inline distT="0" distB="0" distL="114300" distR="114300">
            <wp:extent cx="7708900" cy="5450840"/>
            <wp:effectExtent l="0" t="0" r="6350" b="16510"/>
            <wp:docPr id="34" name="图片 34" descr="黑龙江省燎泰新材料科技有限公司过渡期热源改造_2025年11月03日091644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黑龙江省燎泰新材料科技有限公司过渡期热源改造_2025年11月03日091644_分析报告_05"/>
                    <pic:cNvPicPr>
                      <a:picLocks noChangeAspect="1"/>
                    </pic:cNvPicPr>
                  </pic:nvPicPr>
                  <pic:blipFill>
                    <a:blip r:embed="rId86"/>
                    <a:stretch>
                      <a:fillRect/>
                    </a:stretch>
                  </pic:blipFill>
                  <pic:spPr>
                    <a:xfrm>
                      <a:off x="0" y="0"/>
                      <a:ext cx="7708900" cy="5450840"/>
                    </a:xfrm>
                    <a:prstGeom prst="rect">
                      <a:avLst/>
                    </a:prstGeom>
                  </pic:spPr>
                </pic:pic>
              </a:graphicData>
            </a:graphic>
          </wp:inline>
        </w:drawing>
      </w:r>
      <w:r>
        <w:rPr>
          <w:rFonts w:hint="default"/>
          <w:b/>
          <w:bCs/>
          <w:color w:val="auto"/>
          <w:highlight w:val="none"/>
          <w:lang w:val="en-US" w:eastAsia="zh-CN"/>
        </w:rPr>
        <w:drawing>
          <wp:inline distT="0" distB="0" distL="114300" distR="114300">
            <wp:extent cx="7708900" cy="5450840"/>
            <wp:effectExtent l="0" t="0" r="6350" b="16510"/>
            <wp:docPr id="35" name="图片 35" descr="黑龙江省燎泰新材料科技有限公司过渡期热源改造_2025年11月03日091644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黑龙江省燎泰新材料科技有限公司过渡期热源改造_2025年11月03日091644_分析报告_07"/>
                    <pic:cNvPicPr>
                      <a:picLocks noChangeAspect="1"/>
                    </pic:cNvPicPr>
                  </pic:nvPicPr>
                  <pic:blipFill>
                    <a:blip r:embed="rId87"/>
                    <a:stretch>
                      <a:fillRect/>
                    </a:stretch>
                  </pic:blipFill>
                  <pic:spPr>
                    <a:xfrm>
                      <a:off x="0" y="0"/>
                      <a:ext cx="7708900" cy="5450840"/>
                    </a:xfrm>
                    <a:prstGeom prst="rect">
                      <a:avLst/>
                    </a:prstGeom>
                  </pic:spPr>
                </pic:pic>
              </a:graphicData>
            </a:graphic>
          </wp:inline>
        </w:drawing>
      </w:r>
      <w:r>
        <w:rPr>
          <w:rFonts w:hint="default"/>
          <w:b/>
          <w:bCs/>
          <w:color w:val="auto"/>
          <w:highlight w:val="none"/>
          <w:lang w:val="en-US" w:eastAsia="zh-CN"/>
        </w:rPr>
        <w:drawing>
          <wp:inline distT="0" distB="0" distL="114300" distR="114300">
            <wp:extent cx="7708900" cy="5450840"/>
            <wp:effectExtent l="0" t="0" r="6350" b="16510"/>
            <wp:docPr id="36" name="图片 36" descr="黑龙江省燎泰新材料科技有限公司过渡期热源改造_2025年11月03日091644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黑龙江省燎泰新材料科技有限公司过渡期热源改造_2025年11月03日091644_分析报告_07"/>
                    <pic:cNvPicPr>
                      <a:picLocks noChangeAspect="1"/>
                    </pic:cNvPicPr>
                  </pic:nvPicPr>
                  <pic:blipFill>
                    <a:blip r:embed="rId87"/>
                    <a:stretch>
                      <a:fillRect/>
                    </a:stretch>
                  </pic:blipFill>
                  <pic:spPr>
                    <a:xfrm>
                      <a:off x="0" y="0"/>
                      <a:ext cx="7708900" cy="5450840"/>
                    </a:xfrm>
                    <a:prstGeom prst="rect">
                      <a:avLst/>
                    </a:prstGeom>
                  </pic:spPr>
                </pic:pic>
              </a:graphicData>
            </a:graphic>
          </wp:inline>
        </w:drawing>
      </w:r>
      <w:r>
        <w:rPr>
          <w:rFonts w:hint="default"/>
          <w:b/>
          <w:bCs/>
          <w:color w:val="auto"/>
          <w:highlight w:val="none"/>
          <w:lang w:val="en-US" w:eastAsia="zh-CN"/>
        </w:rPr>
        <w:drawing>
          <wp:inline distT="0" distB="0" distL="114300" distR="114300">
            <wp:extent cx="7708900" cy="5450840"/>
            <wp:effectExtent l="0" t="0" r="6350" b="16510"/>
            <wp:docPr id="37" name="图片 37" descr="黑龙江省燎泰新材料科技有限公司过渡期热源改造_2025年11月03日091644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黑龙江省燎泰新材料科技有限公司过渡期热源改造_2025年11月03日091644_分析报告_09"/>
                    <pic:cNvPicPr>
                      <a:picLocks noChangeAspect="1"/>
                    </pic:cNvPicPr>
                  </pic:nvPicPr>
                  <pic:blipFill>
                    <a:blip r:embed="rId88"/>
                    <a:stretch>
                      <a:fillRect/>
                    </a:stretch>
                  </pic:blipFill>
                  <pic:spPr>
                    <a:xfrm>
                      <a:off x="0" y="0"/>
                      <a:ext cx="7708900" cy="5450840"/>
                    </a:xfrm>
                    <a:prstGeom prst="rect">
                      <a:avLst/>
                    </a:prstGeom>
                  </pic:spPr>
                </pic:pic>
              </a:graphicData>
            </a:graphic>
          </wp:inline>
        </w:drawing>
      </w:r>
      <w:r>
        <w:rPr>
          <w:rFonts w:hint="default"/>
          <w:b/>
          <w:bCs/>
          <w:color w:val="auto"/>
          <w:highlight w:val="none"/>
          <w:lang w:val="en-US" w:eastAsia="zh-CN"/>
        </w:rPr>
        <w:drawing>
          <wp:inline distT="0" distB="0" distL="114300" distR="114300">
            <wp:extent cx="7708900" cy="5450840"/>
            <wp:effectExtent l="0" t="0" r="6350" b="16510"/>
            <wp:docPr id="39" name="图片 39" descr="黑龙江省燎泰新材料科技有限公司过渡期热源改造_2025年11月03日091644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黑龙江省燎泰新材料科技有限公司过渡期热源改造_2025年11月03日091644_分析报告_10"/>
                    <pic:cNvPicPr>
                      <a:picLocks noChangeAspect="1"/>
                    </pic:cNvPicPr>
                  </pic:nvPicPr>
                  <pic:blipFill>
                    <a:blip r:embed="rId89"/>
                    <a:stretch>
                      <a:fillRect/>
                    </a:stretch>
                  </pic:blipFill>
                  <pic:spPr>
                    <a:xfrm>
                      <a:off x="0" y="0"/>
                      <a:ext cx="7708900" cy="5450840"/>
                    </a:xfrm>
                    <a:prstGeom prst="rect">
                      <a:avLst/>
                    </a:prstGeom>
                  </pic:spPr>
                </pic:pic>
              </a:graphicData>
            </a:graphic>
          </wp:inline>
        </w:drawing>
      </w:r>
      <w:r>
        <w:rPr>
          <w:rFonts w:hint="default"/>
          <w:b/>
          <w:bCs/>
          <w:color w:val="auto"/>
          <w:highlight w:val="none"/>
          <w:lang w:val="en-US" w:eastAsia="zh-CN"/>
        </w:rPr>
        <w:drawing>
          <wp:inline distT="0" distB="0" distL="114300" distR="114300">
            <wp:extent cx="7708900" cy="5450840"/>
            <wp:effectExtent l="0" t="0" r="6350" b="16510"/>
            <wp:docPr id="40" name="图片 40" descr="黑龙江省燎泰新材料科技有限公司过渡期热源改造_2025年11月03日091644_分析报告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黑龙江省燎泰新材料科技有限公司过渡期热源改造_2025年11月03日091644_分析报告_12"/>
                    <pic:cNvPicPr>
                      <a:picLocks noChangeAspect="1"/>
                    </pic:cNvPicPr>
                  </pic:nvPicPr>
                  <pic:blipFill>
                    <a:blip r:embed="rId90"/>
                    <a:stretch>
                      <a:fillRect/>
                    </a:stretch>
                  </pic:blipFill>
                  <pic:spPr>
                    <a:xfrm>
                      <a:off x="0" y="0"/>
                      <a:ext cx="7708900" cy="5450840"/>
                    </a:xfrm>
                    <a:prstGeom prst="rect">
                      <a:avLst/>
                    </a:prstGeom>
                  </pic:spPr>
                </pic:pic>
              </a:graphicData>
            </a:graphic>
          </wp:inline>
        </w:drawing>
      </w:r>
    </w:p>
    <w:p w14:paraId="7727BB15">
      <w:pPr>
        <w:spacing w:line="240" w:lineRule="auto"/>
        <w:outlineLvl w:val="0"/>
        <w:rPr>
          <w:rFonts w:hint="eastAsia"/>
          <w:b/>
          <w:bCs w:val="0"/>
          <w:color w:val="auto"/>
          <w:highlight w:val="none"/>
          <w:lang w:val="en-US" w:eastAsia="zh-CN"/>
        </w:rPr>
      </w:pPr>
      <w:bookmarkStart w:id="37" w:name="_Toc13470"/>
      <w:r>
        <w:rPr>
          <w:rFonts w:hint="eastAsia"/>
          <w:b/>
          <w:bCs w:val="0"/>
          <w:color w:val="auto"/>
          <w:highlight w:val="none"/>
          <w:lang w:val="en-US" w:eastAsia="zh-CN"/>
        </w:rPr>
        <w:t>附件9 承诺函</w:t>
      </w:r>
      <w:bookmarkEnd w:id="37"/>
    </w:p>
    <w:p w14:paraId="07FA8F68">
      <w:pPr>
        <w:pStyle w:val="46"/>
        <w:rPr>
          <w:color w:val="auto"/>
          <w:highlight w:val="none"/>
        </w:rPr>
        <w:sectPr>
          <w:pgSz w:w="11906" w:h="16838"/>
          <w:pgMar w:top="1440" w:right="1800" w:bottom="1440" w:left="1519"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highlight w:val="none"/>
        </w:rPr>
        <w:drawing>
          <wp:inline distT="0" distB="0" distL="114300" distR="114300">
            <wp:extent cx="5447030" cy="7955915"/>
            <wp:effectExtent l="0" t="0" r="1270" b="6985"/>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pic:cNvPicPr>
                  </pic:nvPicPr>
                  <pic:blipFill>
                    <a:blip r:embed="rId91"/>
                    <a:stretch>
                      <a:fillRect/>
                    </a:stretch>
                  </pic:blipFill>
                  <pic:spPr>
                    <a:xfrm>
                      <a:off x="0" y="0"/>
                      <a:ext cx="5447030" cy="7955915"/>
                    </a:xfrm>
                    <a:prstGeom prst="rect">
                      <a:avLst/>
                    </a:prstGeom>
                    <a:noFill/>
                    <a:ln>
                      <a:noFill/>
                    </a:ln>
                  </pic:spPr>
                </pic:pic>
              </a:graphicData>
            </a:graphic>
          </wp:inline>
        </w:drawing>
      </w:r>
    </w:p>
    <w:p w14:paraId="67414D60">
      <w:pPr>
        <w:spacing w:line="240" w:lineRule="auto"/>
        <w:outlineLvl w:val="0"/>
        <w:rPr>
          <w:rFonts w:hint="eastAsia"/>
          <w:b/>
          <w:bCs w:val="0"/>
          <w:color w:val="auto"/>
          <w:highlight w:val="none"/>
          <w:lang w:val="en-US" w:eastAsia="zh-CN"/>
        </w:rPr>
      </w:pPr>
      <w:bookmarkStart w:id="38" w:name="_Toc19791"/>
      <w:r>
        <w:rPr>
          <w:rFonts w:hint="eastAsia"/>
          <w:b/>
          <w:bCs w:val="0"/>
          <w:color w:val="auto"/>
          <w:highlight w:val="none"/>
          <w:lang w:val="en-US" w:eastAsia="zh-CN"/>
        </w:rPr>
        <w:t>附件10 园区允许过渡期建设锅炉情况说明</w:t>
      </w:r>
      <w:bookmarkEnd w:id="38"/>
    </w:p>
    <w:p w14:paraId="132479E8">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outlineLvl w:val="9"/>
        <w:rPr>
          <w:highlight w:val="none"/>
        </w:rPr>
        <w:sectPr>
          <w:pgSz w:w="11906" w:h="16838"/>
          <w:pgMar w:top="1440" w:right="1800" w:bottom="1440" w:left="1519" w:header="851" w:footer="992" w:gutter="0"/>
          <w:pgBorders w:offsetFrom="page">
            <w:top w:val="none" w:sz="0" w:space="0"/>
            <w:left w:val="none" w:sz="0" w:space="0"/>
            <w:bottom w:val="none" w:sz="0" w:space="0"/>
            <w:right w:val="none" w:sz="0" w:space="0"/>
          </w:pgBorders>
          <w:pgNumType w:fmt="decimal"/>
          <w:cols w:space="720" w:num="1"/>
          <w:docGrid w:linePitch="312" w:charSpace="0"/>
        </w:sectPr>
      </w:pPr>
      <w:r>
        <w:rPr>
          <w:highlight w:val="none"/>
        </w:rPr>
        <w:drawing>
          <wp:inline distT="0" distB="0" distL="114300" distR="114300">
            <wp:extent cx="5452745" cy="8646795"/>
            <wp:effectExtent l="0" t="0" r="14605" b="1905"/>
            <wp:docPr id="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pic:cNvPicPr>
                      <a:picLocks noChangeAspect="1"/>
                    </pic:cNvPicPr>
                  </pic:nvPicPr>
                  <pic:blipFill>
                    <a:blip r:embed="rId92"/>
                    <a:stretch>
                      <a:fillRect/>
                    </a:stretch>
                  </pic:blipFill>
                  <pic:spPr>
                    <a:xfrm>
                      <a:off x="0" y="0"/>
                      <a:ext cx="5452745" cy="8646795"/>
                    </a:xfrm>
                    <a:prstGeom prst="rect">
                      <a:avLst/>
                    </a:prstGeom>
                    <a:noFill/>
                    <a:ln>
                      <a:noFill/>
                    </a:ln>
                  </pic:spPr>
                </pic:pic>
              </a:graphicData>
            </a:graphic>
          </wp:inline>
        </w:drawing>
      </w:r>
    </w:p>
    <w:p w14:paraId="1CBB7943">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rPr>
          <w:rFonts w:hint="default"/>
          <w:b/>
          <w:bCs/>
          <w:highlight w:val="none"/>
          <w:lang w:val="en-US" w:eastAsia="zh-CN"/>
        </w:rPr>
      </w:pPr>
      <w:r>
        <w:rPr>
          <w:rFonts w:hint="eastAsia"/>
          <w:b/>
          <w:bCs/>
          <w:highlight w:val="none"/>
          <w:lang w:val="en-US" w:eastAsia="zh-CN"/>
        </w:rPr>
        <w:t>附件12 沈阳焦煤鸡西盛隆矿业有限责任公司煤矸石电厂第三季度停产证明</w:t>
      </w:r>
    </w:p>
    <w:p w14:paraId="74BA2E12">
      <w:pPr>
        <w:pStyle w:val="2"/>
        <w:ind w:left="0" w:leftChars="0" w:firstLine="0" w:firstLineChars="0"/>
        <w:jc w:val="center"/>
        <w:rPr>
          <w:rFonts w:hint="default"/>
          <w:highlight w:val="none"/>
          <w:lang w:val="en-US" w:eastAsia="zh-CN"/>
        </w:rPr>
      </w:pPr>
      <w:r>
        <w:rPr>
          <w:highlight w:val="none"/>
        </w:rPr>
        <w:drawing>
          <wp:inline distT="0" distB="0" distL="114300" distR="114300">
            <wp:extent cx="9292590" cy="5594985"/>
            <wp:effectExtent l="0" t="0" r="3810" b="5715"/>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93"/>
                    <a:stretch>
                      <a:fillRect/>
                    </a:stretch>
                  </pic:blipFill>
                  <pic:spPr>
                    <a:xfrm>
                      <a:off x="0" y="0"/>
                      <a:ext cx="9292590" cy="5594985"/>
                    </a:xfrm>
                    <a:prstGeom prst="rect">
                      <a:avLst/>
                    </a:prstGeom>
                    <a:noFill/>
                    <a:ln>
                      <a:noFill/>
                    </a:ln>
                  </pic:spPr>
                </pic:pic>
              </a:graphicData>
            </a:graphic>
          </wp:inline>
        </w:drawing>
      </w:r>
    </w:p>
    <w:sectPr>
      <w:pgSz w:w="16838" w:h="11906" w:orient="landscape"/>
      <w:pgMar w:top="567" w:right="567" w:bottom="567" w:left="567" w:header="851" w:footer="992" w:gutter="0"/>
      <w:pgBorders w:offsetFrom="page">
        <w:top w:val="none" w:sz="0" w:space="0"/>
        <w:left w:val="none" w:sz="0" w:space="0"/>
        <w:bottom w:val="none" w:sz="0" w:space="0"/>
        <w:right w:val="none" w:sz="0" w:space="0"/>
      </w:pgBorders>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embedRegular r:id="rId1" w:fontKey="{5A80C588-951B-420F-B85C-BF7E6A0D52A9}"/>
  </w:font>
  <w:font w:name="华文宋体">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embedRegular r:id="rId2" w:fontKey="{68BC8E5F-095F-44B0-96C8-C66D8831BA33}"/>
  </w:font>
  <w:font w:name="WPSEMBED1">
    <w:panose1 w:val="02010609030101010101"/>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D6C882">
    <w:pPr>
      <w:pStyle w:val="22"/>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6A5395">
    <w:pPr>
      <w:pStyle w:val="22"/>
      <w:ind w:firstLine="360"/>
      <w:rPr>
        <w:rStyle w:val="41"/>
      </w:rPr>
    </w:pPr>
    <w:r>
      <w:fldChar w:fldCharType="begin"/>
    </w:r>
    <w:r>
      <w:rPr>
        <w:rStyle w:val="41"/>
      </w:rPr>
      <w:instrText xml:space="preserve">PAGE  </w:instrText>
    </w:r>
    <w:r>
      <w:fldChar w:fldCharType="end"/>
    </w:r>
  </w:p>
  <w:p w14:paraId="3165A50F">
    <w:pPr>
      <w:pStyle w:val="2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DCE200">
    <w:pPr>
      <w:pStyle w:val="2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F8787D">
    <w:pPr>
      <w:pStyle w:val="22"/>
      <w:ind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BB746FE">
                          <w:pPr>
                            <w:pStyle w:val="22"/>
                          </w:pPr>
                          <w:r>
                            <w:fldChar w:fldCharType="begin"/>
                          </w:r>
                          <w:r>
                            <w:instrText xml:space="preserve"> PAGE  \* MERGEFORMAT </w:instrText>
                          </w:r>
                          <w:r>
                            <w:fldChar w:fldCharType="separate"/>
                          </w:r>
                          <w:r>
                            <w:t>1</w:t>
                          </w:r>
                          <w:r>
                            <w:fldChar w:fldCharType="end"/>
                          </w:r>
                        </w:p>
                      </w:txbxContent>
                    </wps:txbx>
                    <wps:bodyPr vert="horz" wrap="none" lIns="0" tIns="0" rIns="0" bIns="0" anchor="t" anchorCtr="0" upright="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Z7ALt4BAAC/AwAADgAAAGRycy9lMm9Eb2MueG1srVPBjtMwEL0j8Q+W&#10;7zTZaoWqqOkKqBYhIUBa9gNcx2ks2R7LnjYpHwB/wIkLd76r38HYSbqwXPbAJRnPjN/MezNe3wzW&#10;sKMKUYOr+dWi5Ew5CY12+5rff759seIsonCNMOBUzU8q8pvN82fr3ldqCR2YRgVGIC5Wva95h+ir&#10;ooiyU1bEBXjlKNhCsALpGPZFE0RP6NYUy7J8WfQQGh9AqhjJux2DfEIMTwGEttVSbUEerHI4ogZl&#10;BBKl2Gkf+SZ327ZK4se2jQqZqTkxxfylImTv0rfYrEW1D8J3Wk4tiKe08IiTFdpR0QvUVqBgh6D/&#10;gbJaBojQ4kKCLUYiWRFicVU+0uauE15lLiR19BfR4/+DlR+OnwLTTc2vae5OWJr4+fu3849f559f&#10;2XXSp/exorQ7T4k4vIaBtmb2R3Im2kMbbPoTIUZxUvd0UVcNyGS6tFquViWFJMXmA+EXD9d9iPhW&#10;gWXJqHmg8WVVxfF9xDF1TknVHNxqY/IIjfvLQZjJU6Texx6ThcNumAjtoDkRH3oHVKeD8IWznrag&#10;5o6WnjPzzpHIaWFmI8zGbjaEk3Sx5sjZaL7BcbEOPuh9l1ctNRX9qwNSp5lAamOsPXVHc80STDuY&#10;FufPc856eHeb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AxnsAu3gEAAL8DAAAOAAAAAAAA&#10;AAEAIAAAAB4BAABkcnMvZTJvRG9jLnhtbFBLBQYAAAAABgAGAFkBAABuBQAAAAA=&#10;">
              <v:fill on="f" focussize="0,0"/>
              <v:stroke on="f"/>
              <v:imagedata o:title=""/>
              <o:lock v:ext="edit" aspectratio="f"/>
              <v:textbox inset="0mm,0mm,0mm,0mm" style="mso-fit-shape-to-text:t;">
                <w:txbxContent>
                  <w:p w14:paraId="5BB746FE">
                    <w:pPr>
                      <w:pStyle w:val="22"/>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490607">
    <w:pPr>
      <w:pStyle w:val="22"/>
      <w:ind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36C2C94">
                          <w:pPr>
                            <w:pStyle w:val="22"/>
                          </w:pPr>
                          <w:r>
                            <w:fldChar w:fldCharType="begin"/>
                          </w:r>
                          <w:r>
                            <w:instrText xml:space="preserve"> PAGE  \* MERGEFORMAT </w:instrText>
                          </w:r>
                          <w:r>
                            <w:fldChar w:fldCharType="separate"/>
                          </w:r>
                          <w:r>
                            <w:t>68</w:t>
                          </w:r>
                          <w:r>
                            <w:fldChar w:fldCharType="end"/>
                          </w:r>
                        </w:p>
                      </w:txbxContent>
                    </wps:txbx>
                    <wps:bodyPr vert="horz" wrap="none" lIns="0" tIns="0" rIns="0" bIns="0" anchor="t" anchorCtr="0" upright="0">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EKDz94BAAC/AwAADgAAAGRycy9lMm9Eb2MueG1srVPNjtMwEL4j8Q6W&#10;7zTZClCJmq6AahESAqSFB3Adp7HkP3mmTcoDwBtw4sKd5+pzMHaSLiyXPXBJxjPjb+b7Zry+Hqxh&#10;RxVBe1fzq0XJmXLSN9rta/75082TFWeAwjXCeKdqflLArzePH637UKml77xpVGQE4qDqQ807xFAV&#10;BchOWQELH5SjYOujFUjHuC+aKHpCt6ZYluXzovexCdFLBUDe7RjkE2J8CKBvWy3V1suDVQ5H1KiM&#10;QKIEnQ7AN7nbtlUSP7QtKGSm5sQU85eKkL1L32KzFtU+itBpObUgHtLCPU5WaEdFL1BbgYIdov4H&#10;ymoZPfgWF9LbYiSSFSEWV+U9bW47EVTmQlJDuIgO/w9Wvj9+jEw3NX/6gjMnLE38/P3b+cev88+v&#10;7FnSpw9QUdptoEQcXvmBtmb2AzkT7aGNNv2JEKM4qXu6qKsGZDJdWi1Xq5JCkmLzgfCLu+shAr5R&#10;3rJk1DzS+LKq4vgOcEydU1I152+0MXmExv3lIMzkKVLvY4/JwmE3TIR2vjkRH3oHVKfz8QtnPW1B&#10;zR0tPWfmrSOR08LMRpyN3WwIJ+lizZGz0XyN42IdQtT7Lq9aagrCywNSp5lAamOsPXVHc80STDuY&#10;FufPc866e3eb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BEQoPP3gEAAL8DAAAOAAAAAAAA&#10;AAEAIAAAAB4BAABkcnMvZTJvRG9jLnhtbFBLBQYAAAAABgAGAFkBAABuBQAAAAA=&#10;">
              <v:fill on="f" focussize="0,0"/>
              <v:stroke on="f"/>
              <v:imagedata o:title=""/>
              <o:lock v:ext="edit" aspectratio="f"/>
              <v:textbox inset="0mm,0mm,0mm,0mm" style="mso-fit-shape-to-text:t;">
                <w:txbxContent>
                  <w:p w14:paraId="736C2C94">
                    <w:pPr>
                      <w:pStyle w:val="22"/>
                    </w:pPr>
                    <w:r>
                      <w:fldChar w:fldCharType="begin"/>
                    </w:r>
                    <w:r>
                      <w:instrText xml:space="preserve"> PAGE  \* MERGEFORMAT </w:instrText>
                    </w:r>
                    <w:r>
                      <w:fldChar w:fldCharType="separate"/>
                    </w:r>
                    <w:r>
                      <w:t>68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0F142C">
    <w:pPr>
      <w:pStyle w:val="22"/>
      <w:ind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B036CBD">
                          <w:pPr>
                            <w:pStyle w:val="22"/>
                          </w:pPr>
                          <w:r>
                            <w:fldChar w:fldCharType="begin"/>
                          </w:r>
                          <w:r>
                            <w:instrText xml:space="preserve"> PAGE  \* MERGEFORMAT </w:instrText>
                          </w:r>
                          <w:r>
                            <w:fldChar w:fldCharType="separate"/>
                          </w:r>
                          <w:r>
                            <w:t>70</w:t>
                          </w:r>
                          <w:r>
                            <w:fldChar w:fldCharType="end"/>
                          </w:r>
                        </w:p>
                      </w:txbxContent>
                    </wps:txbx>
                    <wps:bodyPr vert="horz" wrap="none" lIns="0" tIns="0" rIns="0" bIns="0" anchor="t" anchorCtr="0" upright="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aVAvN4BAAC/AwAADgAAAGRycy9lMm9Eb2MueG1srVPNjtMwEL4j8Q6W&#10;7zTZSqyqqOkKqBYhIUBa9gFcx2ks+U+eaZPyAPAGnLhw57n6HIydpAvLZQ9ckvGM/c33fR6vbwZr&#10;2FFF0N7V/GpRcqac9I12+5rff759seIMULhGGO9UzU8K+M3m+bN1Hyq19J03jYqMQBxUfah5hxiq&#10;ogDZKStg4YNyVGx9tAJpGfdFE0VP6NYUy7K8LnofmxC9VACU3Y5FPiHGpwD6ttVSbb08WOVwRI3K&#10;CCRJ0OkAfJPZtq2S+LFtQSEzNSelmL/UhOJd+habtaj2UYROy4mCeAqFR5qs0I6aXqC2AgU7RP0P&#10;lNUyevAtLqS3xSgkO0IqrspH3tx1IqishayGcDEd/h+s/HD8FJluav6SLHHC0o2fv387//h1/vmV&#10;XSd/+gAVbbsLtBGH136gqZnzQMkke2ijTX8SxKhOUKeLu2pAJtOh1XK1KqkkqTYvCL94OB4i4Fvl&#10;LUtBzSNdX3ZVHN8DjlvnLamb87famHyFxv2VIMyUKRL3kWOKcNgNk6Cdb06kh94B9el8/MJZT1NQ&#10;c0dDz5l558hk4opzEOdgNwfCSTpYc+RsDN/gOFiHEPW+y6OWSEF4dUBimgUkGmPviR3da7ZgmsE0&#10;OH+u866Hd7f5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C1pUC83gEAAL8DAAAOAAAAAAAA&#10;AAEAIAAAAB4BAABkcnMvZTJvRG9jLnhtbFBLBQYAAAAABgAGAFkBAABuBQAAAAA=&#10;">
              <v:fill on="f" focussize="0,0"/>
              <v:stroke on="f"/>
              <v:imagedata o:title=""/>
              <o:lock v:ext="edit" aspectratio="f"/>
              <v:textbox inset="0mm,0mm,0mm,0mm" style="mso-fit-shape-to-text:t;">
                <w:txbxContent>
                  <w:p w14:paraId="7B036CBD">
                    <w:pPr>
                      <w:pStyle w:val="22"/>
                    </w:pPr>
                    <w:r>
                      <w:fldChar w:fldCharType="begin"/>
                    </w:r>
                    <w:r>
                      <w:instrText xml:space="preserve"> PAGE  \* MERGEFORMAT </w:instrText>
                    </w:r>
                    <w:r>
                      <w:fldChar w:fldCharType="separate"/>
                    </w:r>
                    <w:r>
                      <w:t>70</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DB9C6E">
    <w:pPr>
      <w:pStyle w:val="22"/>
      <w:ind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DF774D1">
                          <w:pPr>
                            <w:pStyle w:val="22"/>
                          </w:pPr>
                          <w:r>
                            <w:fldChar w:fldCharType="begin"/>
                          </w:r>
                          <w:r>
                            <w:instrText xml:space="preserve"> PAGE  \* MERGEFORMAT </w:instrText>
                          </w:r>
                          <w:r>
                            <w:fldChar w:fldCharType="separate"/>
                          </w:r>
                          <w:r>
                            <w:t>97</w:t>
                          </w:r>
                          <w:r>
                            <w:fldChar w:fldCharType="end"/>
                          </w:r>
                        </w:p>
                      </w:txbxContent>
                    </wps:txbx>
                    <wps:bodyPr vert="horz" wrap="none" lIns="0" tIns="0" rIns="0" bIns="0" anchor="t" anchorCtr="0"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HkDXd8BAAC/AwAADgAAAGRycy9lMm9Eb2MueG1srVPBjtMwEL0j8Q+W&#10;7zRpJaCqmq6AahESAqSFD3Adp7Fkeyx72qR8APwBJy7c+a5+x46dpAu7lz3sJRnPjN/MezNeX/XW&#10;sKMKUYOr+HxWcqachFq7fcW/fb1+seQsonC1MOBUxU8q8qvN82frzq/UAlowtQqMQFxcdb7iLaJf&#10;FUWUrbIizsArR8EGghVIx7Av6iA6QremWJTlq6KDUPsAUsVI3u0Q5CNieAwgNI2WagvyYJXDATUo&#10;I5AoxVb7yDe526ZREj83TVTITMWJKeYvFSF7l77FZi1W+yB8q+XYgnhMC/c4WaEdFb1AbQUKdgj6&#10;AZTVMkCEBmcSbDEQyYoQi3l5T5ubVniVuZDU0V9Ej08HKz8dvwSm64q/nHPmhKWJn3/9PP/+e/7z&#10;g71O+nQ+rijtxlMi9m+hp62Z/JGciXbfBJv+RIhRnNQ9XdRVPTKZLi0Xy2VJIUmx6UD4xd11HyK+&#10;V2BZMioeaHxZVXH8GHFInVJSNQfX2pg8QuP+cxBm8hSp96HHZGG/60dCO6hPxIfeAdVpIXznrKMt&#10;qLijpefMfHAkclqYyQiTsZsM4SRdrDhyNpjvcFisgw963+ZVS01F/+aA1GkmkNoYao/d0VyzBOMO&#10;psX595yz7t7d5h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wHkDXd8BAAC/AwAADgAAAAAA&#10;AAABACAAAAAeAQAAZHJzL2Uyb0RvYy54bWxQSwUGAAAAAAYABgBZAQAAbwUAAAAA&#10;">
              <v:fill on="f" focussize="0,0"/>
              <v:stroke on="f"/>
              <v:imagedata o:title=""/>
              <o:lock v:ext="edit" aspectratio="f"/>
              <v:textbox inset="0mm,0mm,0mm,0mm" style="mso-fit-shape-to-text:t;">
                <w:txbxContent>
                  <w:p w14:paraId="0DF774D1">
                    <w:pPr>
                      <w:pStyle w:val="22"/>
                    </w:pPr>
                    <w:r>
                      <w:fldChar w:fldCharType="begin"/>
                    </w:r>
                    <w:r>
                      <w:instrText xml:space="preserve"> PAGE  \* MERGEFORMAT </w:instrText>
                    </w:r>
                    <w:r>
                      <w:fldChar w:fldCharType="separate"/>
                    </w:r>
                    <w:r>
                      <w:t>97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093D1B">
    <w:pPr>
      <w:ind w:firstLine="0" w:firstLineChars="0"/>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B701CF">
    <w:pPr>
      <w:pStyle w:val="2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A58A83">
    <w:pPr>
      <w:pStyle w:val="23"/>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E96FBC"/>
    <w:multiLevelType w:val="singleLevel"/>
    <w:tmpl w:val="88E96FBC"/>
    <w:lvl w:ilvl="0" w:tentative="0">
      <w:start w:val="1"/>
      <w:numFmt w:val="decimal"/>
      <w:suff w:val="nothing"/>
      <w:lvlText w:val="（%1）"/>
      <w:lvlJc w:val="left"/>
    </w:lvl>
  </w:abstractNum>
  <w:abstractNum w:abstractNumId="1">
    <w:nsid w:val="B072D955"/>
    <w:multiLevelType w:val="singleLevel"/>
    <w:tmpl w:val="B072D955"/>
    <w:lvl w:ilvl="0" w:tentative="0">
      <w:start w:val="1"/>
      <w:numFmt w:val="bullet"/>
      <w:pStyle w:val="9"/>
      <w:lvlText w:val=""/>
      <w:lvlJc w:val="left"/>
      <w:pPr>
        <w:tabs>
          <w:tab w:val="left" w:pos="360"/>
        </w:tabs>
        <w:ind w:left="360" w:hanging="360"/>
      </w:pPr>
      <w:rPr>
        <w:rFonts w:hint="default" w:ascii="Wingdings" w:hAnsi="Wingdings"/>
      </w:rPr>
    </w:lvl>
  </w:abstractNum>
  <w:abstractNum w:abstractNumId="2">
    <w:nsid w:val="0E5D6063"/>
    <w:multiLevelType w:val="singleLevel"/>
    <w:tmpl w:val="0E5D6063"/>
    <w:lvl w:ilvl="0" w:tentative="0">
      <w:start w:val="1"/>
      <w:numFmt w:val="bullet"/>
      <w:pStyle w:val="18"/>
      <w:lvlText w:val=""/>
      <w:lvlJc w:val="left"/>
      <w:pPr>
        <w:tabs>
          <w:tab w:val="left" w:pos="2040"/>
        </w:tabs>
        <w:ind w:left="2040" w:hanging="360"/>
      </w:pPr>
      <w:rPr>
        <w:rFonts w:hint="default" w:ascii="Wingdings" w:hAnsi="Wingdings"/>
      </w:rPr>
    </w:lvl>
  </w:abstractNum>
  <w:abstractNum w:abstractNumId="3">
    <w:nsid w:val="2FBC2613"/>
    <w:multiLevelType w:val="singleLevel"/>
    <w:tmpl w:val="2FBC2613"/>
    <w:lvl w:ilvl="0" w:tentative="0">
      <w:start w:val="1"/>
      <w:numFmt w:val="decimal"/>
      <w:suff w:val="nothing"/>
      <w:lvlText w:val="%1、"/>
      <w:lvlJc w:val="left"/>
    </w:lvl>
  </w:abstractNum>
  <w:abstractNum w:abstractNumId="4">
    <w:nsid w:val="4164DA95"/>
    <w:multiLevelType w:val="singleLevel"/>
    <w:tmpl w:val="4164DA95"/>
    <w:lvl w:ilvl="0" w:tentative="0">
      <w:start w:val="1"/>
      <w:numFmt w:val="decimal"/>
      <w:suff w:val="nothing"/>
      <w:lvlText w:val="（%1）"/>
      <w:lvlJc w:val="left"/>
    </w:lvl>
  </w:abstractNum>
  <w:abstractNum w:abstractNumId="5">
    <w:nsid w:val="524A8F44"/>
    <w:multiLevelType w:val="singleLevel"/>
    <w:tmpl w:val="524A8F44"/>
    <w:lvl w:ilvl="0" w:tentative="0">
      <w:start w:val="1"/>
      <w:numFmt w:val="decimal"/>
      <w:suff w:val="nothing"/>
      <w:lvlText w:val="%1、"/>
      <w:lvlJc w:val="left"/>
    </w:lvl>
  </w:abstractNum>
  <w:abstractNum w:abstractNumId="6">
    <w:nsid w:val="53E85AE6"/>
    <w:multiLevelType w:val="singleLevel"/>
    <w:tmpl w:val="53E85AE6"/>
    <w:lvl w:ilvl="0" w:tentative="0">
      <w:start w:val="2"/>
      <w:numFmt w:val="chineseCounting"/>
      <w:suff w:val="nothing"/>
      <w:lvlText w:val="%1、"/>
      <w:lvlJc w:val="left"/>
      <w:rPr>
        <w:rFonts w:hint="eastAsia"/>
      </w:rPr>
    </w:lvl>
  </w:abstractNum>
  <w:num w:numId="1">
    <w:abstractNumId w:val="1"/>
  </w:num>
  <w:num w:numId="2">
    <w:abstractNumId w:val="2"/>
  </w:num>
  <w:num w:numId="3">
    <w:abstractNumId w:val="6"/>
  </w:num>
  <w:num w:numId="4">
    <w:abstractNumId w:val="0"/>
  </w:num>
  <w:num w:numId="5">
    <w:abstractNumId w:val="3"/>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k2MDNiMDNlYTVkZmQxMmFlNzdhMzZiYjJlOTlmM2UifQ=="/>
  </w:docVars>
  <w:rsids>
    <w:rsidRoot w:val="00172A27"/>
    <w:rsid w:val="00003236"/>
    <w:rsid w:val="000060B3"/>
    <w:rsid w:val="000172C8"/>
    <w:rsid w:val="00024231"/>
    <w:rsid w:val="00037513"/>
    <w:rsid w:val="0004364B"/>
    <w:rsid w:val="00061B1F"/>
    <w:rsid w:val="00072469"/>
    <w:rsid w:val="000733C4"/>
    <w:rsid w:val="00073ECC"/>
    <w:rsid w:val="00074783"/>
    <w:rsid w:val="0008070B"/>
    <w:rsid w:val="000810AC"/>
    <w:rsid w:val="00081A02"/>
    <w:rsid w:val="00082231"/>
    <w:rsid w:val="00086069"/>
    <w:rsid w:val="00087265"/>
    <w:rsid w:val="00091AC5"/>
    <w:rsid w:val="00092D38"/>
    <w:rsid w:val="0009352F"/>
    <w:rsid w:val="0009377B"/>
    <w:rsid w:val="000A20C9"/>
    <w:rsid w:val="000A29AF"/>
    <w:rsid w:val="000B058F"/>
    <w:rsid w:val="000B4467"/>
    <w:rsid w:val="000B4DB9"/>
    <w:rsid w:val="000C09AC"/>
    <w:rsid w:val="000C2B13"/>
    <w:rsid w:val="000C767F"/>
    <w:rsid w:val="000D5A44"/>
    <w:rsid w:val="000E3ED2"/>
    <w:rsid w:val="00114652"/>
    <w:rsid w:val="001203E5"/>
    <w:rsid w:val="00124346"/>
    <w:rsid w:val="00130C7C"/>
    <w:rsid w:val="00131F42"/>
    <w:rsid w:val="001357F1"/>
    <w:rsid w:val="00140FA8"/>
    <w:rsid w:val="00142FEB"/>
    <w:rsid w:val="00143A2D"/>
    <w:rsid w:val="00145A41"/>
    <w:rsid w:val="00151675"/>
    <w:rsid w:val="0015218A"/>
    <w:rsid w:val="00157435"/>
    <w:rsid w:val="00171932"/>
    <w:rsid w:val="00173291"/>
    <w:rsid w:val="00173B58"/>
    <w:rsid w:val="0017504D"/>
    <w:rsid w:val="0017671A"/>
    <w:rsid w:val="00177422"/>
    <w:rsid w:val="00184590"/>
    <w:rsid w:val="001870D1"/>
    <w:rsid w:val="0018781E"/>
    <w:rsid w:val="0019262D"/>
    <w:rsid w:val="00194BAF"/>
    <w:rsid w:val="001A01DE"/>
    <w:rsid w:val="001A190C"/>
    <w:rsid w:val="001A1B35"/>
    <w:rsid w:val="001A48A2"/>
    <w:rsid w:val="001A6F61"/>
    <w:rsid w:val="001B72B8"/>
    <w:rsid w:val="001C2B13"/>
    <w:rsid w:val="001C69B3"/>
    <w:rsid w:val="001D4F2B"/>
    <w:rsid w:val="001D5595"/>
    <w:rsid w:val="001D6C8B"/>
    <w:rsid w:val="001D7874"/>
    <w:rsid w:val="001D7F22"/>
    <w:rsid w:val="001F0F17"/>
    <w:rsid w:val="001F3347"/>
    <w:rsid w:val="001F69E4"/>
    <w:rsid w:val="001F6BD8"/>
    <w:rsid w:val="00201541"/>
    <w:rsid w:val="00205F31"/>
    <w:rsid w:val="002125B4"/>
    <w:rsid w:val="00213BDC"/>
    <w:rsid w:val="002155B8"/>
    <w:rsid w:val="00215FA6"/>
    <w:rsid w:val="00224839"/>
    <w:rsid w:val="002249B2"/>
    <w:rsid w:val="00226574"/>
    <w:rsid w:val="002278EC"/>
    <w:rsid w:val="00227F55"/>
    <w:rsid w:val="00230302"/>
    <w:rsid w:val="0023280E"/>
    <w:rsid w:val="002377D1"/>
    <w:rsid w:val="002467D9"/>
    <w:rsid w:val="002506BC"/>
    <w:rsid w:val="00253944"/>
    <w:rsid w:val="00254345"/>
    <w:rsid w:val="002602ED"/>
    <w:rsid w:val="00264557"/>
    <w:rsid w:val="002701D9"/>
    <w:rsid w:val="00276D2E"/>
    <w:rsid w:val="002805AB"/>
    <w:rsid w:val="00280650"/>
    <w:rsid w:val="00284204"/>
    <w:rsid w:val="00285373"/>
    <w:rsid w:val="00287B81"/>
    <w:rsid w:val="00291773"/>
    <w:rsid w:val="0029456E"/>
    <w:rsid w:val="002A168C"/>
    <w:rsid w:val="002A3DC7"/>
    <w:rsid w:val="002B49E2"/>
    <w:rsid w:val="002B4BB2"/>
    <w:rsid w:val="002B7B00"/>
    <w:rsid w:val="002B7C44"/>
    <w:rsid w:val="002C2B17"/>
    <w:rsid w:val="002C5701"/>
    <w:rsid w:val="002C5F61"/>
    <w:rsid w:val="002D0A5A"/>
    <w:rsid w:val="002D3DD0"/>
    <w:rsid w:val="002E1F3A"/>
    <w:rsid w:val="002E298A"/>
    <w:rsid w:val="00301978"/>
    <w:rsid w:val="0030332C"/>
    <w:rsid w:val="003051C2"/>
    <w:rsid w:val="003075BC"/>
    <w:rsid w:val="00310544"/>
    <w:rsid w:val="003120BC"/>
    <w:rsid w:val="00312296"/>
    <w:rsid w:val="00314F0E"/>
    <w:rsid w:val="00321D8E"/>
    <w:rsid w:val="00325928"/>
    <w:rsid w:val="00332863"/>
    <w:rsid w:val="0033350C"/>
    <w:rsid w:val="0033684D"/>
    <w:rsid w:val="00337B42"/>
    <w:rsid w:val="00341B42"/>
    <w:rsid w:val="0034348F"/>
    <w:rsid w:val="003507DF"/>
    <w:rsid w:val="00355E08"/>
    <w:rsid w:val="00356125"/>
    <w:rsid w:val="00356653"/>
    <w:rsid w:val="0035743F"/>
    <w:rsid w:val="00357BE2"/>
    <w:rsid w:val="0036170C"/>
    <w:rsid w:val="00366E0F"/>
    <w:rsid w:val="00373320"/>
    <w:rsid w:val="00373BF2"/>
    <w:rsid w:val="00377D06"/>
    <w:rsid w:val="00381A72"/>
    <w:rsid w:val="00384676"/>
    <w:rsid w:val="00387770"/>
    <w:rsid w:val="00390857"/>
    <w:rsid w:val="003936DF"/>
    <w:rsid w:val="003A4BF3"/>
    <w:rsid w:val="003A5379"/>
    <w:rsid w:val="003B3F2A"/>
    <w:rsid w:val="003B419F"/>
    <w:rsid w:val="003B420D"/>
    <w:rsid w:val="003C6C16"/>
    <w:rsid w:val="003D3E8A"/>
    <w:rsid w:val="003D794D"/>
    <w:rsid w:val="003E3058"/>
    <w:rsid w:val="003E76A9"/>
    <w:rsid w:val="003F0809"/>
    <w:rsid w:val="003F64B8"/>
    <w:rsid w:val="003F6A8C"/>
    <w:rsid w:val="003F755C"/>
    <w:rsid w:val="0040210F"/>
    <w:rsid w:val="00406F01"/>
    <w:rsid w:val="00410556"/>
    <w:rsid w:val="00414D62"/>
    <w:rsid w:val="00416D50"/>
    <w:rsid w:val="00416FD5"/>
    <w:rsid w:val="00417772"/>
    <w:rsid w:val="00420E6A"/>
    <w:rsid w:val="00425A9E"/>
    <w:rsid w:val="00426D6B"/>
    <w:rsid w:val="00431E6C"/>
    <w:rsid w:val="00433CE7"/>
    <w:rsid w:val="00435B20"/>
    <w:rsid w:val="00452738"/>
    <w:rsid w:val="00456091"/>
    <w:rsid w:val="0046290C"/>
    <w:rsid w:val="00466321"/>
    <w:rsid w:val="0047037F"/>
    <w:rsid w:val="00484B9B"/>
    <w:rsid w:val="00485120"/>
    <w:rsid w:val="004855F6"/>
    <w:rsid w:val="0048661E"/>
    <w:rsid w:val="00494670"/>
    <w:rsid w:val="004A3823"/>
    <w:rsid w:val="004B17F3"/>
    <w:rsid w:val="004D38E9"/>
    <w:rsid w:val="004D521E"/>
    <w:rsid w:val="004E6946"/>
    <w:rsid w:val="004F1AD8"/>
    <w:rsid w:val="00500573"/>
    <w:rsid w:val="005034E2"/>
    <w:rsid w:val="005039CB"/>
    <w:rsid w:val="0050558F"/>
    <w:rsid w:val="00505EC0"/>
    <w:rsid w:val="0050615C"/>
    <w:rsid w:val="00506286"/>
    <w:rsid w:val="00510813"/>
    <w:rsid w:val="00511990"/>
    <w:rsid w:val="00511DE0"/>
    <w:rsid w:val="00514870"/>
    <w:rsid w:val="00514B9B"/>
    <w:rsid w:val="00517F02"/>
    <w:rsid w:val="00524303"/>
    <w:rsid w:val="005258A2"/>
    <w:rsid w:val="005276CB"/>
    <w:rsid w:val="00531AF3"/>
    <w:rsid w:val="005401AE"/>
    <w:rsid w:val="00542403"/>
    <w:rsid w:val="00542E07"/>
    <w:rsid w:val="00545424"/>
    <w:rsid w:val="0055447B"/>
    <w:rsid w:val="00554A7B"/>
    <w:rsid w:val="0055572C"/>
    <w:rsid w:val="00556975"/>
    <w:rsid w:val="0056106A"/>
    <w:rsid w:val="005720AE"/>
    <w:rsid w:val="00581B8B"/>
    <w:rsid w:val="0059172E"/>
    <w:rsid w:val="00594D77"/>
    <w:rsid w:val="005969E4"/>
    <w:rsid w:val="005A06B7"/>
    <w:rsid w:val="005A0AAB"/>
    <w:rsid w:val="005A1759"/>
    <w:rsid w:val="005A1FDE"/>
    <w:rsid w:val="005A68A7"/>
    <w:rsid w:val="005B5534"/>
    <w:rsid w:val="005D36AB"/>
    <w:rsid w:val="005D64C9"/>
    <w:rsid w:val="00601B03"/>
    <w:rsid w:val="00617CC3"/>
    <w:rsid w:val="0063331D"/>
    <w:rsid w:val="006352CC"/>
    <w:rsid w:val="006377A6"/>
    <w:rsid w:val="00637A3D"/>
    <w:rsid w:val="006411EF"/>
    <w:rsid w:val="00650B23"/>
    <w:rsid w:val="00660580"/>
    <w:rsid w:val="0066143E"/>
    <w:rsid w:val="006664CF"/>
    <w:rsid w:val="006748B8"/>
    <w:rsid w:val="00677229"/>
    <w:rsid w:val="006775C3"/>
    <w:rsid w:val="00677E69"/>
    <w:rsid w:val="006823FE"/>
    <w:rsid w:val="00687021"/>
    <w:rsid w:val="00691E36"/>
    <w:rsid w:val="0069290A"/>
    <w:rsid w:val="00693724"/>
    <w:rsid w:val="0069775A"/>
    <w:rsid w:val="00697813"/>
    <w:rsid w:val="006A1276"/>
    <w:rsid w:val="006A1809"/>
    <w:rsid w:val="006A22B1"/>
    <w:rsid w:val="006A3EE8"/>
    <w:rsid w:val="006A72BF"/>
    <w:rsid w:val="006B03F2"/>
    <w:rsid w:val="006B37DC"/>
    <w:rsid w:val="006B4F68"/>
    <w:rsid w:val="006B529E"/>
    <w:rsid w:val="006B531E"/>
    <w:rsid w:val="006C0592"/>
    <w:rsid w:val="006C272E"/>
    <w:rsid w:val="006C38F9"/>
    <w:rsid w:val="006C5479"/>
    <w:rsid w:val="006D13B5"/>
    <w:rsid w:val="006D2458"/>
    <w:rsid w:val="006D474F"/>
    <w:rsid w:val="006E12FF"/>
    <w:rsid w:val="006E152D"/>
    <w:rsid w:val="006E37C7"/>
    <w:rsid w:val="006E607E"/>
    <w:rsid w:val="00706C5D"/>
    <w:rsid w:val="007115DC"/>
    <w:rsid w:val="00717AD2"/>
    <w:rsid w:val="00717FC5"/>
    <w:rsid w:val="00732922"/>
    <w:rsid w:val="007465BA"/>
    <w:rsid w:val="00750CCB"/>
    <w:rsid w:val="0075162E"/>
    <w:rsid w:val="00754034"/>
    <w:rsid w:val="00756556"/>
    <w:rsid w:val="007618C4"/>
    <w:rsid w:val="0076736C"/>
    <w:rsid w:val="00767980"/>
    <w:rsid w:val="00770B19"/>
    <w:rsid w:val="0077463F"/>
    <w:rsid w:val="007768C8"/>
    <w:rsid w:val="00781C1D"/>
    <w:rsid w:val="007836EA"/>
    <w:rsid w:val="00784CDA"/>
    <w:rsid w:val="00786642"/>
    <w:rsid w:val="007906C4"/>
    <w:rsid w:val="007940EA"/>
    <w:rsid w:val="007967E8"/>
    <w:rsid w:val="007A2170"/>
    <w:rsid w:val="007A22BF"/>
    <w:rsid w:val="007A3323"/>
    <w:rsid w:val="007B72B8"/>
    <w:rsid w:val="007B7A58"/>
    <w:rsid w:val="007C21B5"/>
    <w:rsid w:val="007C48C5"/>
    <w:rsid w:val="007E4BD2"/>
    <w:rsid w:val="0080071F"/>
    <w:rsid w:val="00801393"/>
    <w:rsid w:val="00802F88"/>
    <w:rsid w:val="0080571F"/>
    <w:rsid w:val="00810CF9"/>
    <w:rsid w:val="00810D80"/>
    <w:rsid w:val="008120B6"/>
    <w:rsid w:val="0081293E"/>
    <w:rsid w:val="00813266"/>
    <w:rsid w:val="00815465"/>
    <w:rsid w:val="00817E9A"/>
    <w:rsid w:val="008232FC"/>
    <w:rsid w:val="008306BD"/>
    <w:rsid w:val="00830B9B"/>
    <w:rsid w:val="00831666"/>
    <w:rsid w:val="00831A80"/>
    <w:rsid w:val="00831ECF"/>
    <w:rsid w:val="00833743"/>
    <w:rsid w:val="008340A4"/>
    <w:rsid w:val="00834AF3"/>
    <w:rsid w:val="00857B54"/>
    <w:rsid w:val="0087135F"/>
    <w:rsid w:val="00872D94"/>
    <w:rsid w:val="00880364"/>
    <w:rsid w:val="00887896"/>
    <w:rsid w:val="00891592"/>
    <w:rsid w:val="00891E9E"/>
    <w:rsid w:val="008A2F68"/>
    <w:rsid w:val="008A48EA"/>
    <w:rsid w:val="008A5AFB"/>
    <w:rsid w:val="008B4FA6"/>
    <w:rsid w:val="008B5282"/>
    <w:rsid w:val="008B7C17"/>
    <w:rsid w:val="008C2D01"/>
    <w:rsid w:val="008C40E6"/>
    <w:rsid w:val="008C6F40"/>
    <w:rsid w:val="008D07DB"/>
    <w:rsid w:val="008D0F7A"/>
    <w:rsid w:val="008D5D1F"/>
    <w:rsid w:val="008D68E4"/>
    <w:rsid w:val="008D734E"/>
    <w:rsid w:val="008E0506"/>
    <w:rsid w:val="008E0CFF"/>
    <w:rsid w:val="008E5D6B"/>
    <w:rsid w:val="008E76F0"/>
    <w:rsid w:val="008E7BB9"/>
    <w:rsid w:val="008F15FE"/>
    <w:rsid w:val="008F2D29"/>
    <w:rsid w:val="008F4057"/>
    <w:rsid w:val="008F5187"/>
    <w:rsid w:val="008F60D8"/>
    <w:rsid w:val="00901125"/>
    <w:rsid w:val="0090239C"/>
    <w:rsid w:val="00902727"/>
    <w:rsid w:val="0090312B"/>
    <w:rsid w:val="0091736D"/>
    <w:rsid w:val="00923AC9"/>
    <w:rsid w:val="00924AE9"/>
    <w:rsid w:val="0093037A"/>
    <w:rsid w:val="0094154D"/>
    <w:rsid w:val="0094714D"/>
    <w:rsid w:val="0095155F"/>
    <w:rsid w:val="00954429"/>
    <w:rsid w:val="009563CE"/>
    <w:rsid w:val="009664C0"/>
    <w:rsid w:val="00976328"/>
    <w:rsid w:val="0097680D"/>
    <w:rsid w:val="00982438"/>
    <w:rsid w:val="0098404C"/>
    <w:rsid w:val="00985283"/>
    <w:rsid w:val="00995992"/>
    <w:rsid w:val="0099684F"/>
    <w:rsid w:val="009A03E5"/>
    <w:rsid w:val="009A0F3B"/>
    <w:rsid w:val="009A0F81"/>
    <w:rsid w:val="009A1BB4"/>
    <w:rsid w:val="009A2628"/>
    <w:rsid w:val="009A3200"/>
    <w:rsid w:val="009B0897"/>
    <w:rsid w:val="009B7BD9"/>
    <w:rsid w:val="009B7EB2"/>
    <w:rsid w:val="009C7DD5"/>
    <w:rsid w:val="009E227D"/>
    <w:rsid w:val="009E5019"/>
    <w:rsid w:val="009F004C"/>
    <w:rsid w:val="009F7B58"/>
    <w:rsid w:val="00A04F1B"/>
    <w:rsid w:val="00A0501B"/>
    <w:rsid w:val="00A14947"/>
    <w:rsid w:val="00A16E83"/>
    <w:rsid w:val="00A22653"/>
    <w:rsid w:val="00A226FF"/>
    <w:rsid w:val="00A32A83"/>
    <w:rsid w:val="00A368DB"/>
    <w:rsid w:val="00A423AA"/>
    <w:rsid w:val="00A44AD2"/>
    <w:rsid w:val="00A53EC6"/>
    <w:rsid w:val="00A55C0F"/>
    <w:rsid w:val="00A60DC3"/>
    <w:rsid w:val="00A70155"/>
    <w:rsid w:val="00A8713F"/>
    <w:rsid w:val="00A90BA1"/>
    <w:rsid w:val="00A91E36"/>
    <w:rsid w:val="00A97A9A"/>
    <w:rsid w:val="00AA0671"/>
    <w:rsid w:val="00AA2531"/>
    <w:rsid w:val="00AB1E09"/>
    <w:rsid w:val="00AB2FA2"/>
    <w:rsid w:val="00AB5330"/>
    <w:rsid w:val="00AB7747"/>
    <w:rsid w:val="00AB7ED2"/>
    <w:rsid w:val="00AC14CE"/>
    <w:rsid w:val="00AC2A56"/>
    <w:rsid w:val="00AD055E"/>
    <w:rsid w:val="00AD47A7"/>
    <w:rsid w:val="00AD7501"/>
    <w:rsid w:val="00AF0CBF"/>
    <w:rsid w:val="00AF257F"/>
    <w:rsid w:val="00AF33CF"/>
    <w:rsid w:val="00AF4D50"/>
    <w:rsid w:val="00AF6179"/>
    <w:rsid w:val="00B00C56"/>
    <w:rsid w:val="00B035C1"/>
    <w:rsid w:val="00B11A0D"/>
    <w:rsid w:val="00B1295A"/>
    <w:rsid w:val="00B207F5"/>
    <w:rsid w:val="00B20A45"/>
    <w:rsid w:val="00B22C5C"/>
    <w:rsid w:val="00B24F30"/>
    <w:rsid w:val="00B257F9"/>
    <w:rsid w:val="00B31ABF"/>
    <w:rsid w:val="00B33BE3"/>
    <w:rsid w:val="00B3768C"/>
    <w:rsid w:val="00B51FDD"/>
    <w:rsid w:val="00B53B5D"/>
    <w:rsid w:val="00B6055E"/>
    <w:rsid w:val="00B62014"/>
    <w:rsid w:val="00B6317D"/>
    <w:rsid w:val="00B7577B"/>
    <w:rsid w:val="00B7723F"/>
    <w:rsid w:val="00B80534"/>
    <w:rsid w:val="00B81ABC"/>
    <w:rsid w:val="00B8433C"/>
    <w:rsid w:val="00B87491"/>
    <w:rsid w:val="00B91D44"/>
    <w:rsid w:val="00BA29E9"/>
    <w:rsid w:val="00BA7142"/>
    <w:rsid w:val="00BB237C"/>
    <w:rsid w:val="00BB41A3"/>
    <w:rsid w:val="00BC32DC"/>
    <w:rsid w:val="00BC35B6"/>
    <w:rsid w:val="00BC65DD"/>
    <w:rsid w:val="00BD1B51"/>
    <w:rsid w:val="00BD3CE6"/>
    <w:rsid w:val="00BD4596"/>
    <w:rsid w:val="00BE1405"/>
    <w:rsid w:val="00BE312D"/>
    <w:rsid w:val="00BF1C20"/>
    <w:rsid w:val="00BF4FB1"/>
    <w:rsid w:val="00C067DE"/>
    <w:rsid w:val="00C10578"/>
    <w:rsid w:val="00C135BC"/>
    <w:rsid w:val="00C15C95"/>
    <w:rsid w:val="00C2170B"/>
    <w:rsid w:val="00C21C33"/>
    <w:rsid w:val="00C23EB9"/>
    <w:rsid w:val="00C2596A"/>
    <w:rsid w:val="00C27537"/>
    <w:rsid w:val="00C328FE"/>
    <w:rsid w:val="00C33507"/>
    <w:rsid w:val="00C42026"/>
    <w:rsid w:val="00C4409D"/>
    <w:rsid w:val="00C44E72"/>
    <w:rsid w:val="00C45A06"/>
    <w:rsid w:val="00C47E5B"/>
    <w:rsid w:val="00C60D54"/>
    <w:rsid w:val="00C61E4B"/>
    <w:rsid w:val="00C64BFF"/>
    <w:rsid w:val="00C704E9"/>
    <w:rsid w:val="00C737BD"/>
    <w:rsid w:val="00C74A45"/>
    <w:rsid w:val="00C763C9"/>
    <w:rsid w:val="00C80057"/>
    <w:rsid w:val="00C80869"/>
    <w:rsid w:val="00C82232"/>
    <w:rsid w:val="00C82913"/>
    <w:rsid w:val="00C859A3"/>
    <w:rsid w:val="00C865A1"/>
    <w:rsid w:val="00C972B1"/>
    <w:rsid w:val="00C976F1"/>
    <w:rsid w:val="00CA2CCE"/>
    <w:rsid w:val="00CA43FD"/>
    <w:rsid w:val="00CA7EF8"/>
    <w:rsid w:val="00CB0014"/>
    <w:rsid w:val="00CB78BF"/>
    <w:rsid w:val="00CC42B3"/>
    <w:rsid w:val="00CC489B"/>
    <w:rsid w:val="00CD2BCD"/>
    <w:rsid w:val="00CD3A4C"/>
    <w:rsid w:val="00CD6220"/>
    <w:rsid w:val="00CE01A3"/>
    <w:rsid w:val="00CE10E9"/>
    <w:rsid w:val="00CE2910"/>
    <w:rsid w:val="00CE47EA"/>
    <w:rsid w:val="00CE5393"/>
    <w:rsid w:val="00CF36BE"/>
    <w:rsid w:val="00CF4CC9"/>
    <w:rsid w:val="00CF6000"/>
    <w:rsid w:val="00D003F3"/>
    <w:rsid w:val="00D00C42"/>
    <w:rsid w:val="00D02137"/>
    <w:rsid w:val="00D02955"/>
    <w:rsid w:val="00D0364F"/>
    <w:rsid w:val="00D06834"/>
    <w:rsid w:val="00D1660E"/>
    <w:rsid w:val="00D2588B"/>
    <w:rsid w:val="00D308ED"/>
    <w:rsid w:val="00D339BE"/>
    <w:rsid w:val="00D36D86"/>
    <w:rsid w:val="00D428AA"/>
    <w:rsid w:val="00D50A34"/>
    <w:rsid w:val="00D53EFA"/>
    <w:rsid w:val="00D553E8"/>
    <w:rsid w:val="00D6190C"/>
    <w:rsid w:val="00D76F9B"/>
    <w:rsid w:val="00D94A7C"/>
    <w:rsid w:val="00D95896"/>
    <w:rsid w:val="00DB2983"/>
    <w:rsid w:val="00DC1257"/>
    <w:rsid w:val="00DC3DC0"/>
    <w:rsid w:val="00DC5B2B"/>
    <w:rsid w:val="00DC5BFC"/>
    <w:rsid w:val="00DD318D"/>
    <w:rsid w:val="00DF252B"/>
    <w:rsid w:val="00DF2E12"/>
    <w:rsid w:val="00DF2F17"/>
    <w:rsid w:val="00DF514A"/>
    <w:rsid w:val="00DF6690"/>
    <w:rsid w:val="00DF6804"/>
    <w:rsid w:val="00E0358D"/>
    <w:rsid w:val="00E04323"/>
    <w:rsid w:val="00E04675"/>
    <w:rsid w:val="00E070A2"/>
    <w:rsid w:val="00E26243"/>
    <w:rsid w:val="00E2656A"/>
    <w:rsid w:val="00E32413"/>
    <w:rsid w:val="00E32DC9"/>
    <w:rsid w:val="00E412D0"/>
    <w:rsid w:val="00E50736"/>
    <w:rsid w:val="00E5141D"/>
    <w:rsid w:val="00E56322"/>
    <w:rsid w:val="00E60982"/>
    <w:rsid w:val="00E60D4F"/>
    <w:rsid w:val="00E61030"/>
    <w:rsid w:val="00E62C62"/>
    <w:rsid w:val="00E63036"/>
    <w:rsid w:val="00E654C1"/>
    <w:rsid w:val="00E65D97"/>
    <w:rsid w:val="00E72A5A"/>
    <w:rsid w:val="00E73354"/>
    <w:rsid w:val="00E778E0"/>
    <w:rsid w:val="00E9242D"/>
    <w:rsid w:val="00E9605A"/>
    <w:rsid w:val="00EA148C"/>
    <w:rsid w:val="00EB0B25"/>
    <w:rsid w:val="00EB0B8D"/>
    <w:rsid w:val="00EB5255"/>
    <w:rsid w:val="00EB5C47"/>
    <w:rsid w:val="00EC5499"/>
    <w:rsid w:val="00ED0639"/>
    <w:rsid w:val="00ED7304"/>
    <w:rsid w:val="00EF4755"/>
    <w:rsid w:val="00EF4F2C"/>
    <w:rsid w:val="00EF7135"/>
    <w:rsid w:val="00F004BA"/>
    <w:rsid w:val="00F027DB"/>
    <w:rsid w:val="00F112EC"/>
    <w:rsid w:val="00F14A7A"/>
    <w:rsid w:val="00F22985"/>
    <w:rsid w:val="00F3383E"/>
    <w:rsid w:val="00F378B6"/>
    <w:rsid w:val="00F465A7"/>
    <w:rsid w:val="00F50B7C"/>
    <w:rsid w:val="00F550E6"/>
    <w:rsid w:val="00F6343B"/>
    <w:rsid w:val="00F64C8E"/>
    <w:rsid w:val="00F74345"/>
    <w:rsid w:val="00F74EF3"/>
    <w:rsid w:val="00F76060"/>
    <w:rsid w:val="00F77E22"/>
    <w:rsid w:val="00F80A0A"/>
    <w:rsid w:val="00F82B19"/>
    <w:rsid w:val="00F9212D"/>
    <w:rsid w:val="00F965DA"/>
    <w:rsid w:val="00FA406A"/>
    <w:rsid w:val="00FB503A"/>
    <w:rsid w:val="00FB516C"/>
    <w:rsid w:val="00FD0236"/>
    <w:rsid w:val="00FD18F4"/>
    <w:rsid w:val="00FD2B06"/>
    <w:rsid w:val="00FD3915"/>
    <w:rsid w:val="00FD54DB"/>
    <w:rsid w:val="00FD619F"/>
    <w:rsid w:val="00FE3760"/>
    <w:rsid w:val="00FF095A"/>
    <w:rsid w:val="00FF68A3"/>
    <w:rsid w:val="010867C9"/>
    <w:rsid w:val="01290F7E"/>
    <w:rsid w:val="01300A27"/>
    <w:rsid w:val="01460A76"/>
    <w:rsid w:val="015D1E09"/>
    <w:rsid w:val="01663F90"/>
    <w:rsid w:val="01666B5F"/>
    <w:rsid w:val="017C59C2"/>
    <w:rsid w:val="01A9280E"/>
    <w:rsid w:val="01B90ABA"/>
    <w:rsid w:val="01CF21B0"/>
    <w:rsid w:val="02064377"/>
    <w:rsid w:val="021A2D94"/>
    <w:rsid w:val="023B2CD8"/>
    <w:rsid w:val="0256613B"/>
    <w:rsid w:val="02697903"/>
    <w:rsid w:val="02995CE7"/>
    <w:rsid w:val="02C22A03"/>
    <w:rsid w:val="02C9569D"/>
    <w:rsid w:val="02E24107"/>
    <w:rsid w:val="02E30E4D"/>
    <w:rsid w:val="02F96569"/>
    <w:rsid w:val="036850EB"/>
    <w:rsid w:val="0372606E"/>
    <w:rsid w:val="037635EA"/>
    <w:rsid w:val="038F7C57"/>
    <w:rsid w:val="03A339C4"/>
    <w:rsid w:val="03B46A51"/>
    <w:rsid w:val="03BF588C"/>
    <w:rsid w:val="03C017BA"/>
    <w:rsid w:val="03C62363"/>
    <w:rsid w:val="03D07BE1"/>
    <w:rsid w:val="03D1684D"/>
    <w:rsid w:val="03EA7B21"/>
    <w:rsid w:val="03EF5C41"/>
    <w:rsid w:val="04184EE5"/>
    <w:rsid w:val="04285347"/>
    <w:rsid w:val="04454295"/>
    <w:rsid w:val="04741F14"/>
    <w:rsid w:val="047857D5"/>
    <w:rsid w:val="047A4A97"/>
    <w:rsid w:val="04840C27"/>
    <w:rsid w:val="04D203B0"/>
    <w:rsid w:val="04D45D6E"/>
    <w:rsid w:val="04E13EAC"/>
    <w:rsid w:val="04F263D9"/>
    <w:rsid w:val="050302DF"/>
    <w:rsid w:val="05150D0F"/>
    <w:rsid w:val="051C20D1"/>
    <w:rsid w:val="05485182"/>
    <w:rsid w:val="05512885"/>
    <w:rsid w:val="05595109"/>
    <w:rsid w:val="056015BF"/>
    <w:rsid w:val="05AC2477"/>
    <w:rsid w:val="05D73596"/>
    <w:rsid w:val="05DD7067"/>
    <w:rsid w:val="05F83EAE"/>
    <w:rsid w:val="05FC5C90"/>
    <w:rsid w:val="06091BEB"/>
    <w:rsid w:val="060F5438"/>
    <w:rsid w:val="06371BBC"/>
    <w:rsid w:val="063D54C5"/>
    <w:rsid w:val="063E7D85"/>
    <w:rsid w:val="064236D8"/>
    <w:rsid w:val="06471ACB"/>
    <w:rsid w:val="064D0B68"/>
    <w:rsid w:val="065C17E8"/>
    <w:rsid w:val="06636A09"/>
    <w:rsid w:val="06654933"/>
    <w:rsid w:val="06654AE8"/>
    <w:rsid w:val="068E2C6F"/>
    <w:rsid w:val="069E1A1A"/>
    <w:rsid w:val="06B0795D"/>
    <w:rsid w:val="06BE122C"/>
    <w:rsid w:val="06D87510"/>
    <w:rsid w:val="06DA1C43"/>
    <w:rsid w:val="06F80762"/>
    <w:rsid w:val="070237CC"/>
    <w:rsid w:val="07091CFF"/>
    <w:rsid w:val="07246295"/>
    <w:rsid w:val="07260B5E"/>
    <w:rsid w:val="07293586"/>
    <w:rsid w:val="07295285"/>
    <w:rsid w:val="073F33A8"/>
    <w:rsid w:val="074A6A54"/>
    <w:rsid w:val="07636392"/>
    <w:rsid w:val="076A6353"/>
    <w:rsid w:val="076A7D33"/>
    <w:rsid w:val="0776775C"/>
    <w:rsid w:val="07770C56"/>
    <w:rsid w:val="077D1FAE"/>
    <w:rsid w:val="07BB4CCE"/>
    <w:rsid w:val="07E31BCF"/>
    <w:rsid w:val="07EB4288"/>
    <w:rsid w:val="07F8081C"/>
    <w:rsid w:val="08030D99"/>
    <w:rsid w:val="080B2D42"/>
    <w:rsid w:val="081748E2"/>
    <w:rsid w:val="081E77D0"/>
    <w:rsid w:val="08402FB0"/>
    <w:rsid w:val="0891753F"/>
    <w:rsid w:val="089E4348"/>
    <w:rsid w:val="08AA054E"/>
    <w:rsid w:val="08AB74B7"/>
    <w:rsid w:val="08AC711D"/>
    <w:rsid w:val="08B9275D"/>
    <w:rsid w:val="08BC0E66"/>
    <w:rsid w:val="08F82719"/>
    <w:rsid w:val="08F96C82"/>
    <w:rsid w:val="09074462"/>
    <w:rsid w:val="09105520"/>
    <w:rsid w:val="092217DD"/>
    <w:rsid w:val="093A7294"/>
    <w:rsid w:val="0950494E"/>
    <w:rsid w:val="0966210B"/>
    <w:rsid w:val="097A1C21"/>
    <w:rsid w:val="098344E6"/>
    <w:rsid w:val="09877907"/>
    <w:rsid w:val="099C655D"/>
    <w:rsid w:val="09A22484"/>
    <w:rsid w:val="09B74ED1"/>
    <w:rsid w:val="09BF2DCD"/>
    <w:rsid w:val="09EC589B"/>
    <w:rsid w:val="0A006EBA"/>
    <w:rsid w:val="0A0540CC"/>
    <w:rsid w:val="0A0D5232"/>
    <w:rsid w:val="0A163DFC"/>
    <w:rsid w:val="0A177C1C"/>
    <w:rsid w:val="0A1C1B29"/>
    <w:rsid w:val="0A201028"/>
    <w:rsid w:val="0A263993"/>
    <w:rsid w:val="0A2D3AC2"/>
    <w:rsid w:val="0A616ED6"/>
    <w:rsid w:val="0A760186"/>
    <w:rsid w:val="0A9B4E2F"/>
    <w:rsid w:val="0AA755DF"/>
    <w:rsid w:val="0ABC03A3"/>
    <w:rsid w:val="0AC920E4"/>
    <w:rsid w:val="0ACA117A"/>
    <w:rsid w:val="0ACC1910"/>
    <w:rsid w:val="0AE57F39"/>
    <w:rsid w:val="0B120344"/>
    <w:rsid w:val="0B120D44"/>
    <w:rsid w:val="0B340EA0"/>
    <w:rsid w:val="0B4932C3"/>
    <w:rsid w:val="0BB208A1"/>
    <w:rsid w:val="0BC746FC"/>
    <w:rsid w:val="0BD27BF6"/>
    <w:rsid w:val="0BEF322F"/>
    <w:rsid w:val="0BFA2D2F"/>
    <w:rsid w:val="0BFC18E3"/>
    <w:rsid w:val="0C05226C"/>
    <w:rsid w:val="0C1E2E71"/>
    <w:rsid w:val="0C2F1E06"/>
    <w:rsid w:val="0C3B3C7D"/>
    <w:rsid w:val="0C8A10DB"/>
    <w:rsid w:val="0C8E4631"/>
    <w:rsid w:val="0C9D239C"/>
    <w:rsid w:val="0CA52046"/>
    <w:rsid w:val="0CAB2EAE"/>
    <w:rsid w:val="0CB90E13"/>
    <w:rsid w:val="0CD52054"/>
    <w:rsid w:val="0CE7033B"/>
    <w:rsid w:val="0CEA6E40"/>
    <w:rsid w:val="0CF11954"/>
    <w:rsid w:val="0D1362C7"/>
    <w:rsid w:val="0D1403B2"/>
    <w:rsid w:val="0D227EC5"/>
    <w:rsid w:val="0D2968DE"/>
    <w:rsid w:val="0D3F1EEE"/>
    <w:rsid w:val="0D621C7D"/>
    <w:rsid w:val="0D6413A9"/>
    <w:rsid w:val="0D6E6802"/>
    <w:rsid w:val="0D720D1E"/>
    <w:rsid w:val="0D84706A"/>
    <w:rsid w:val="0DB86830"/>
    <w:rsid w:val="0DBF37F9"/>
    <w:rsid w:val="0DC1607F"/>
    <w:rsid w:val="0DE87E11"/>
    <w:rsid w:val="0E021F8C"/>
    <w:rsid w:val="0E3D0C6E"/>
    <w:rsid w:val="0E600EA9"/>
    <w:rsid w:val="0E73034D"/>
    <w:rsid w:val="0E7856C7"/>
    <w:rsid w:val="0E790BB9"/>
    <w:rsid w:val="0E9B4BB8"/>
    <w:rsid w:val="0EAF7D9C"/>
    <w:rsid w:val="0EB65B0F"/>
    <w:rsid w:val="0EBF25A6"/>
    <w:rsid w:val="0ED767DC"/>
    <w:rsid w:val="0EDB687C"/>
    <w:rsid w:val="0EE96B98"/>
    <w:rsid w:val="0EF10B71"/>
    <w:rsid w:val="0F094B6F"/>
    <w:rsid w:val="0F13775A"/>
    <w:rsid w:val="0F157EEA"/>
    <w:rsid w:val="0F457629"/>
    <w:rsid w:val="0F5F45FE"/>
    <w:rsid w:val="0F61376D"/>
    <w:rsid w:val="0F7E381E"/>
    <w:rsid w:val="0F887398"/>
    <w:rsid w:val="0F8F47A8"/>
    <w:rsid w:val="0F983509"/>
    <w:rsid w:val="0F9A112B"/>
    <w:rsid w:val="0F9D3180"/>
    <w:rsid w:val="0FBE309A"/>
    <w:rsid w:val="0FEA0047"/>
    <w:rsid w:val="100844F6"/>
    <w:rsid w:val="104C2584"/>
    <w:rsid w:val="106D2F64"/>
    <w:rsid w:val="108C5181"/>
    <w:rsid w:val="10B63710"/>
    <w:rsid w:val="10BD72C7"/>
    <w:rsid w:val="10E26C0C"/>
    <w:rsid w:val="10F10820"/>
    <w:rsid w:val="10F46657"/>
    <w:rsid w:val="110D5972"/>
    <w:rsid w:val="111C2F7A"/>
    <w:rsid w:val="11452919"/>
    <w:rsid w:val="116377AF"/>
    <w:rsid w:val="11665CA1"/>
    <w:rsid w:val="11C216D3"/>
    <w:rsid w:val="11D16950"/>
    <w:rsid w:val="11DD2D71"/>
    <w:rsid w:val="12256CAD"/>
    <w:rsid w:val="12324BD9"/>
    <w:rsid w:val="12403AD9"/>
    <w:rsid w:val="12451BBE"/>
    <w:rsid w:val="124F4BAE"/>
    <w:rsid w:val="127D54E3"/>
    <w:rsid w:val="1282472F"/>
    <w:rsid w:val="12A60C13"/>
    <w:rsid w:val="12A91AF5"/>
    <w:rsid w:val="12AF5DFA"/>
    <w:rsid w:val="12B01B9D"/>
    <w:rsid w:val="12B71E90"/>
    <w:rsid w:val="12B72DB9"/>
    <w:rsid w:val="12C62CAF"/>
    <w:rsid w:val="12E10B94"/>
    <w:rsid w:val="12EE1C08"/>
    <w:rsid w:val="1304431A"/>
    <w:rsid w:val="130703CD"/>
    <w:rsid w:val="131840B3"/>
    <w:rsid w:val="1332117A"/>
    <w:rsid w:val="133E04D1"/>
    <w:rsid w:val="136141C9"/>
    <w:rsid w:val="13951726"/>
    <w:rsid w:val="139A11EF"/>
    <w:rsid w:val="13A762FD"/>
    <w:rsid w:val="13A9243A"/>
    <w:rsid w:val="13B970D0"/>
    <w:rsid w:val="13EC7FAA"/>
    <w:rsid w:val="13F5371E"/>
    <w:rsid w:val="13FE664D"/>
    <w:rsid w:val="140E0234"/>
    <w:rsid w:val="14373358"/>
    <w:rsid w:val="14396509"/>
    <w:rsid w:val="143D47C6"/>
    <w:rsid w:val="14434DD1"/>
    <w:rsid w:val="145A657E"/>
    <w:rsid w:val="14624318"/>
    <w:rsid w:val="147748BC"/>
    <w:rsid w:val="14BB63E8"/>
    <w:rsid w:val="14DD2C3C"/>
    <w:rsid w:val="14E44334"/>
    <w:rsid w:val="14FB22E6"/>
    <w:rsid w:val="151503C0"/>
    <w:rsid w:val="15226E2D"/>
    <w:rsid w:val="152504A9"/>
    <w:rsid w:val="15377A08"/>
    <w:rsid w:val="154E4847"/>
    <w:rsid w:val="159C4635"/>
    <w:rsid w:val="15AE5C33"/>
    <w:rsid w:val="15B047E5"/>
    <w:rsid w:val="15C56000"/>
    <w:rsid w:val="15E76D5B"/>
    <w:rsid w:val="15EF6763"/>
    <w:rsid w:val="16087E1D"/>
    <w:rsid w:val="16095CCF"/>
    <w:rsid w:val="16114D0A"/>
    <w:rsid w:val="1636219B"/>
    <w:rsid w:val="164B5DE4"/>
    <w:rsid w:val="16531CFB"/>
    <w:rsid w:val="166C7CB8"/>
    <w:rsid w:val="16B125E7"/>
    <w:rsid w:val="16B72D18"/>
    <w:rsid w:val="16D20E9B"/>
    <w:rsid w:val="170C7B07"/>
    <w:rsid w:val="170D3A96"/>
    <w:rsid w:val="17126B58"/>
    <w:rsid w:val="172A58BB"/>
    <w:rsid w:val="17546E02"/>
    <w:rsid w:val="17577289"/>
    <w:rsid w:val="175C3F04"/>
    <w:rsid w:val="175F366B"/>
    <w:rsid w:val="17613B7A"/>
    <w:rsid w:val="176E0C2C"/>
    <w:rsid w:val="17701D14"/>
    <w:rsid w:val="17721666"/>
    <w:rsid w:val="17735226"/>
    <w:rsid w:val="17AF0AEF"/>
    <w:rsid w:val="17C517A1"/>
    <w:rsid w:val="17C97F2D"/>
    <w:rsid w:val="18097B5B"/>
    <w:rsid w:val="180B401D"/>
    <w:rsid w:val="183236C3"/>
    <w:rsid w:val="183408CF"/>
    <w:rsid w:val="1847640E"/>
    <w:rsid w:val="184C62A3"/>
    <w:rsid w:val="187D3872"/>
    <w:rsid w:val="189F624C"/>
    <w:rsid w:val="18A47A76"/>
    <w:rsid w:val="18DF21CB"/>
    <w:rsid w:val="19153B64"/>
    <w:rsid w:val="1945116D"/>
    <w:rsid w:val="19645810"/>
    <w:rsid w:val="19904874"/>
    <w:rsid w:val="199827F0"/>
    <w:rsid w:val="199B7F69"/>
    <w:rsid w:val="19D37B4F"/>
    <w:rsid w:val="19E05946"/>
    <w:rsid w:val="19E1017F"/>
    <w:rsid w:val="19E22226"/>
    <w:rsid w:val="19F91BA8"/>
    <w:rsid w:val="1A1175D1"/>
    <w:rsid w:val="1A182C08"/>
    <w:rsid w:val="1A1C66C0"/>
    <w:rsid w:val="1A331172"/>
    <w:rsid w:val="1A42393B"/>
    <w:rsid w:val="1A5747A5"/>
    <w:rsid w:val="1A59335E"/>
    <w:rsid w:val="1A5C2AF6"/>
    <w:rsid w:val="1A5D6F31"/>
    <w:rsid w:val="1A630246"/>
    <w:rsid w:val="1A7235DA"/>
    <w:rsid w:val="1A92760D"/>
    <w:rsid w:val="1A96543D"/>
    <w:rsid w:val="1A976860"/>
    <w:rsid w:val="1A9E49DD"/>
    <w:rsid w:val="1AA7213B"/>
    <w:rsid w:val="1AAD45DE"/>
    <w:rsid w:val="1ABA5EC8"/>
    <w:rsid w:val="1ACD3016"/>
    <w:rsid w:val="1AE325CA"/>
    <w:rsid w:val="1AF7627B"/>
    <w:rsid w:val="1AF831C3"/>
    <w:rsid w:val="1B03508B"/>
    <w:rsid w:val="1B046F80"/>
    <w:rsid w:val="1B0A1B40"/>
    <w:rsid w:val="1B1531FC"/>
    <w:rsid w:val="1B1905E9"/>
    <w:rsid w:val="1B24437D"/>
    <w:rsid w:val="1B3267B5"/>
    <w:rsid w:val="1B40161D"/>
    <w:rsid w:val="1B441859"/>
    <w:rsid w:val="1B522B5E"/>
    <w:rsid w:val="1B6225F9"/>
    <w:rsid w:val="1B6606B1"/>
    <w:rsid w:val="1B8555F2"/>
    <w:rsid w:val="1B8E2EC4"/>
    <w:rsid w:val="1B992192"/>
    <w:rsid w:val="1BA736D7"/>
    <w:rsid w:val="1BAD1694"/>
    <w:rsid w:val="1BD55245"/>
    <w:rsid w:val="1BE717DE"/>
    <w:rsid w:val="1BE92F0C"/>
    <w:rsid w:val="1BF0073E"/>
    <w:rsid w:val="1C031B3A"/>
    <w:rsid w:val="1C205197"/>
    <w:rsid w:val="1C32334A"/>
    <w:rsid w:val="1C376A21"/>
    <w:rsid w:val="1C4E5A1B"/>
    <w:rsid w:val="1C5B7FB2"/>
    <w:rsid w:val="1C5C7FF6"/>
    <w:rsid w:val="1C5E7925"/>
    <w:rsid w:val="1C634FB9"/>
    <w:rsid w:val="1C916D0A"/>
    <w:rsid w:val="1CD6444F"/>
    <w:rsid w:val="1CDB47CB"/>
    <w:rsid w:val="1CFD070F"/>
    <w:rsid w:val="1D2C60E4"/>
    <w:rsid w:val="1D543DA2"/>
    <w:rsid w:val="1D5F6196"/>
    <w:rsid w:val="1D607642"/>
    <w:rsid w:val="1D6132A5"/>
    <w:rsid w:val="1D635BEB"/>
    <w:rsid w:val="1D88007A"/>
    <w:rsid w:val="1D8D6D69"/>
    <w:rsid w:val="1D8E56D5"/>
    <w:rsid w:val="1D911E78"/>
    <w:rsid w:val="1D95202E"/>
    <w:rsid w:val="1DAD68B4"/>
    <w:rsid w:val="1DBD340A"/>
    <w:rsid w:val="1DF2075D"/>
    <w:rsid w:val="1DFB5D40"/>
    <w:rsid w:val="1E0E6763"/>
    <w:rsid w:val="1E1570DE"/>
    <w:rsid w:val="1E226714"/>
    <w:rsid w:val="1E2908E7"/>
    <w:rsid w:val="1E324005"/>
    <w:rsid w:val="1E606046"/>
    <w:rsid w:val="1E641501"/>
    <w:rsid w:val="1E6B2BF2"/>
    <w:rsid w:val="1E7A43DA"/>
    <w:rsid w:val="1EA82FFE"/>
    <w:rsid w:val="1EB012FF"/>
    <w:rsid w:val="1EBE708C"/>
    <w:rsid w:val="1EC82BCC"/>
    <w:rsid w:val="1ED645E7"/>
    <w:rsid w:val="1EEB326A"/>
    <w:rsid w:val="1F0423D1"/>
    <w:rsid w:val="1F11463E"/>
    <w:rsid w:val="1F1F0C24"/>
    <w:rsid w:val="1F2127CD"/>
    <w:rsid w:val="1F300909"/>
    <w:rsid w:val="1F3B1FFC"/>
    <w:rsid w:val="1F4324C7"/>
    <w:rsid w:val="1F451771"/>
    <w:rsid w:val="1F83778A"/>
    <w:rsid w:val="1F84517F"/>
    <w:rsid w:val="1F861D90"/>
    <w:rsid w:val="1F9C5DA0"/>
    <w:rsid w:val="1FA152CA"/>
    <w:rsid w:val="1FC54A80"/>
    <w:rsid w:val="1FD45061"/>
    <w:rsid w:val="1FD55731"/>
    <w:rsid w:val="1FE7539E"/>
    <w:rsid w:val="1FEB5C4B"/>
    <w:rsid w:val="1FFC753C"/>
    <w:rsid w:val="2016308A"/>
    <w:rsid w:val="203F5D2D"/>
    <w:rsid w:val="204549CB"/>
    <w:rsid w:val="204C261F"/>
    <w:rsid w:val="204D5AF5"/>
    <w:rsid w:val="20671BE0"/>
    <w:rsid w:val="206E4856"/>
    <w:rsid w:val="20750AEE"/>
    <w:rsid w:val="208970CB"/>
    <w:rsid w:val="208C6A3B"/>
    <w:rsid w:val="20963CB8"/>
    <w:rsid w:val="209E0C68"/>
    <w:rsid w:val="20A53730"/>
    <w:rsid w:val="20A81A1B"/>
    <w:rsid w:val="20B07FB6"/>
    <w:rsid w:val="20B441AC"/>
    <w:rsid w:val="20B646FB"/>
    <w:rsid w:val="20C63571"/>
    <w:rsid w:val="20CA24A2"/>
    <w:rsid w:val="20ED67A3"/>
    <w:rsid w:val="20F008ED"/>
    <w:rsid w:val="21052EB3"/>
    <w:rsid w:val="211F0A7F"/>
    <w:rsid w:val="21213A63"/>
    <w:rsid w:val="213B74B1"/>
    <w:rsid w:val="214E52F3"/>
    <w:rsid w:val="215A0888"/>
    <w:rsid w:val="215A2310"/>
    <w:rsid w:val="215C01BC"/>
    <w:rsid w:val="21612C00"/>
    <w:rsid w:val="21793E98"/>
    <w:rsid w:val="217A4BBD"/>
    <w:rsid w:val="217F3513"/>
    <w:rsid w:val="21863EB8"/>
    <w:rsid w:val="219E4563"/>
    <w:rsid w:val="21A8288A"/>
    <w:rsid w:val="21D75FCF"/>
    <w:rsid w:val="21DE318A"/>
    <w:rsid w:val="21DF4E18"/>
    <w:rsid w:val="21E11254"/>
    <w:rsid w:val="21EE5ADE"/>
    <w:rsid w:val="21EF5B80"/>
    <w:rsid w:val="22087549"/>
    <w:rsid w:val="22131D3A"/>
    <w:rsid w:val="2219214C"/>
    <w:rsid w:val="22576990"/>
    <w:rsid w:val="22667476"/>
    <w:rsid w:val="227B4BD4"/>
    <w:rsid w:val="22882321"/>
    <w:rsid w:val="22BD1A49"/>
    <w:rsid w:val="22E04820"/>
    <w:rsid w:val="22E63661"/>
    <w:rsid w:val="22EA5E9B"/>
    <w:rsid w:val="22F47480"/>
    <w:rsid w:val="22F60012"/>
    <w:rsid w:val="22FF1876"/>
    <w:rsid w:val="23417FB4"/>
    <w:rsid w:val="23565B95"/>
    <w:rsid w:val="23835679"/>
    <w:rsid w:val="23863EB6"/>
    <w:rsid w:val="23C72311"/>
    <w:rsid w:val="23DE1C48"/>
    <w:rsid w:val="23F7122B"/>
    <w:rsid w:val="23F93549"/>
    <w:rsid w:val="240210CD"/>
    <w:rsid w:val="24414D43"/>
    <w:rsid w:val="24511A45"/>
    <w:rsid w:val="246E05DA"/>
    <w:rsid w:val="248554CD"/>
    <w:rsid w:val="249246E6"/>
    <w:rsid w:val="24963975"/>
    <w:rsid w:val="24BF09F7"/>
    <w:rsid w:val="24D06096"/>
    <w:rsid w:val="24D61335"/>
    <w:rsid w:val="24D74947"/>
    <w:rsid w:val="24D85DC1"/>
    <w:rsid w:val="24DB4282"/>
    <w:rsid w:val="24E24C38"/>
    <w:rsid w:val="24F10547"/>
    <w:rsid w:val="25082082"/>
    <w:rsid w:val="250E45B1"/>
    <w:rsid w:val="2515011E"/>
    <w:rsid w:val="251B39DB"/>
    <w:rsid w:val="251C5519"/>
    <w:rsid w:val="25287243"/>
    <w:rsid w:val="252D53FE"/>
    <w:rsid w:val="256479C6"/>
    <w:rsid w:val="25A2482D"/>
    <w:rsid w:val="25A90B0A"/>
    <w:rsid w:val="25E04F5A"/>
    <w:rsid w:val="25EC2D81"/>
    <w:rsid w:val="260333D3"/>
    <w:rsid w:val="2611108C"/>
    <w:rsid w:val="261E217E"/>
    <w:rsid w:val="26284522"/>
    <w:rsid w:val="26321B73"/>
    <w:rsid w:val="265B7A3B"/>
    <w:rsid w:val="2661244A"/>
    <w:rsid w:val="268C3924"/>
    <w:rsid w:val="2691167F"/>
    <w:rsid w:val="26A530D5"/>
    <w:rsid w:val="26D273CF"/>
    <w:rsid w:val="26D5763B"/>
    <w:rsid w:val="26FA33CA"/>
    <w:rsid w:val="274B5418"/>
    <w:rsid w:val="27534EED"/>
    <w:rsid w:val="277057A2"/>
    <w:rsid w:val="278A4A25"/>
    <w:rsid w:val="27933CD0"/>
    <w:rsid w:val="27A20992"/>
    <w:rsid w:val="27B11CCB"/>
    <w:rsid w:val="27BD725A"/>
    <w:rsid w:val="27CA37EF"/>
    <w:rsid w:val="27CF7F00"/>
    <w:rsid w:val="280A304D"/>
    <w:rsid w:val="280C59E4"/>
    <w:rsid w:val="280D3CB7"/>
    <w:rsid w:val="28273D82"/>
    <w:rsid w:val="28524E45"/>
    <w:rsid w:val="28565E54"/>
    <w:rsid w:val="28613050"/>
    <w:rsid w:val="288427F2"/>
    <w:rsid w:val="289C0A39"/>
    <w:rsid w:val="28E15EFF"/>
    <w:rsid w:val="28E83CAF"/>
    <w:rsid w:val="290D6316"/>
    <w:rsid w:val="291B5FC8"/>
    <w:rsid w:val="29206EB8"/>
    <w:rsid w:val="293D6F46"/>
    <w:rsid w:val="29593039"/>
    <w:rsid w:val="29595666"/>
    <w:rsid w:val="295F32F9"/>
    <w:rsid w:val="29736389"/>
    <w:rsid w:val="29874881"/>
    <w:rsid w:val="29890A5A"/>
    <w:rsid w:val="299C73FB"/>
    <w:rsid w:val="29AA5CD0"/>
    <w:rsid w:val="29CB6716"/>
    <w:rsid w:val="29CD08C2"/>
    <w:rsid w:val="29DC68FB"/>
    <w:rsid w:val="29E325E0"/>
    <w:rsid w:val="29EE7784"/>
    <w:rsid w:val="2A314286"/>
    <w:rsid w:val="2A3479E3"/>
    <w:rsid w:val="2A420242"/>
    <w:rsid w:val="2A452503"/>
    <w:rsid w:val="2A476ABE"/>
    <w:rsid w:val="2A4D5827"/>
    <w:rsid w:val="2A773A72"/>
    <w:rsid w:val="2A7A3C32"/>
    <w:rsid w:val="2A810432"/>
    <w:rsid w:val="2A842608"/>
    <w:rsid w:val="2A9769F6"/>
    <w:rsid w:val="2A9847A9"/>
    <w:rsid w:val="2A9A42EB"/>
    <w:rsid w:val="2A9B6C9D"/>
    <w:rsid w:val="2AA76D2F"/>
    <w:rsid w:val="2ACE1068"/>
    <w:rsid w:val="2AFE7B18"/>
    <w:rsid w:val="2B072BE4"/>
    <w:rsid w:val="2B0A3367"/>
    <w:rsid w:val="2B234F0D"/>
    <w:rsid w:val="2B356FA1"/>
    <w:rsid w:val="2B454771"/>
    <w:rsid w:val="2B611EFD"/>
    <w:rsid w:val="2B682F41"/>
    <w:rsid w:val="2B7365F7"/>
    <w:rsid w:val="2B913161"/>
    <w:rsid w:val="2B936F03"/>
    <w:rsid w:val="2BA748D0"/>
    <w:rsid w:val="2BA936A8"/>
    <w:rsid w:val="2BDD26D5"/>
    <w:rsid w:val="2BE03CF2"/>
    <w:rsid w:val="2C0733A9"/>
    <w:rsid w:val="2C113D11"/>
    <w:rsid w:val="2C1A42E8"/>
    <w:rsid w:val="2C1F4178"/>
    <w:rsid w:val="2C295603"/>
    <w:rsid w:val="2C315A5A"/>
    <w:rsid w:val="2C4B1C25"/>
    <w:rsid w:val="2C4B3942"/>
    <w:rsid w:val="2C6A18D9"/>
    <w:rsid w:val="2CB217E3"/>
    <w:rsid w:val="2CBD29B0"/>
    <w:rsid w:val="2CF843FD"/>
    <w:rsid w:val="2D1A7254"/>
    <w:rsid w:val="2D2D5F77"/>
    <w:rsid w:val="2D790641"/>
    <w:rsid w:val="2D81217C"/>
    <w:rsid w:val="2D8208A3"/>
    <w:rsid w:val="2D9E56F5"/>
    <w:rsid w:val="2DBA28CE"/>
    <w:rsid w:val="2DCD3447"/>
    <w:rsid w:val="2DE04014"/>
    <w:rsid w:val="2DE43670"/>
    <w:rsid w:val="2DE72470"/>
    <w:rsid w:val="2DEA1E2C"/>
    <w:rsid w:val="2DEB4B31"/>
    <w:rsid w:val="2DF46AB8"/>
    <w:rsid w:val="2E055C28"/>
    <w:rsid w:val="2E2B600A"/>
    <w:rsid w:val="2E2D7726"/>
    <w:rsid w:val="2E30624D"/>
    <w:rsid w:val="2E4A4FA4"/>
    <w:rsid w:val="2E5806CC"/>
    <w:rsid w:val="2E667F96"/>
    <w:rsid w:val="2E756942"/>
    <w:rsid w:val="2E7669E3"/>
    <w:rsid w:val="2E8226AB"/>
    <w:rsid w:val="2E8D600E"/>
    <w:rsid w:val="2E910F9F"/>
    <w:rsid w:val="2E970A54"/>
    <w:rsid w:val="2E9E03AD"/>
    <w:rsid w:val="2EDD7E41"/>
    <w:rsid w:val="2EE3638F"/>
    <w:rsid w:val="2EF305A3"/>
    <w:rsid w:val="2EFA572F"/>
    <w:rsid w:val="2F1131E6"/>
    <w:rsid w:val="2F551940"/>
    <w:rsid w:val="2F64219A"/>
    <w:rsid w:val="2F883999"/>
    <w:rsid w:val="2FA32719"/>
    <w:rsid w:val="2FA75995"/>
    <w:rsid w:val="2FAD27F0"/>
    <w:rsid w:val="2FBA04FC"/>
    <w:rsid w:val="2FD065E6"/>
    <w:rsid w:val="2FD96870"/>
    <w:rsid w:val="2FDE5857"/>
    <w:rsid w:val="302A47C7"/>
    <w:rsid w:val="30335488"/>
    <w:rsid w:val="30580BC9"/>
    <w:rsid w:val="308E18D5"/>
    <w:rsid w:val="309249F7"/>
    <w:rsid w:val="30E92438"/>
    <w:rsid w:val="31105E7F"/>
    <w:rsid w:val="311E2ED7"/>
    <w:rsid w:val="31315A06"/>
    <w:rsid w:val="315619EE"/>
    <w:rsid w:val="315C449C"/>
    <w:rsid w:val="31703102"/>
    <w:rsid w:val="318A21B6"/>
    <w:rsid w:val="31996BCE"/>
    <w:rsid w:val="31A25EFF"/>
    <w:rsid w:val="31AC0AD4"/>
    <w:rsid w:val="31B82709"/>
    <w:rsid w:val="31BA1B94"/>
    <w:rsid w:val="31C20893"/>
    <w:rsid w:val="31CD7FB6"/>
    <w:rsid w:val="31D05482"/>
    <w:rsid w:val="31E337DF"/>
    <w:rsid w:val="3225408E"/>
    <w:rsid w:val="32282AFE"/>
    <w:rsid w:val="3229451B"/>
    <w:rsid w:val="32400B34"/>
    <w:rsid w:val="32454E0D"/>
    <w:rsid w:val="324F4DC0"/>
    <w:rsid w:val="326B0BB5"/>
    <w:rsid w:val="327227C1"/>
    <w:rsid w:val="32983F19"/>
    <w:rsid w:val="3299130F"/>
    <w:rsid w:val="329A6510"/>
    <w:rsid w:val="329E6876"/>
    <w:rsid w:val="32A76D49"/>
    <w:rsid w:val="32AA36D6"/>
    <w:rsid w:val="32BA29DD"/>
    <w:rsid w:val="32C136BE"/>
    <w:rsid w:val="32C8370C"/>
    <w:rsid w:val="32CA6D9F"/>
    <w:rsid w:val="32DB5CD7"/>
    <w:rsid w:val="32FC42B7"/>
    <w:rsid w:val="330C16E5"/>
    <w:rsid w:val="331C631F"/>
    <w:rsid w:val="33296CA7"/>
    <w:rsid w:val="333015F2"/>
    <w:rsid w:val="333773D4"/>
    <w:rsid w:val="334B6320"/>
    <w:rsid w:val="334C079D"/>
    <w:rsid w:val="33557385"/>
    <w:rsid w:val="335711A5"/>
    <w:rsid w:val="33877693"/>
    <w:rsid w:val="33A25C0F"/>
    <w:rsid w:val="33A80923"/>
    <w:rsid w:val="33BD5E72"/>
    <w:rsid w:val="33D934D4"/>
    <w:rsid w:val="33FE2F6A"/>
    <w:rsid w:val="340E07E5"/>
    <w:rsid w:val="34235BF7"/>
    <w:rsid w:val="34336383"/>
    <w:rsid w:val="343F6DF9"/>
    <w:rsid w:val="34757159"/>
    <w:rsid w:val="348424FD"/>
    <w:rsid w:val="34A46F07"/>
    <w:rsid w:val="34B82A8C"/>
    <w:rsid w:val="34C1184D"/>
    <w:rsid w:val="34C920C6"/>
    <w:rsid w:val="34FA1A35"/>
    <w:rsid w:val="34FA4F3C"/>
    <w:rsid w:val="350A489C"/>
    <w:rsid w:val="350B3333"/>
    <w:rsid w:val="351121C1"/>
    <w:rsid w:val="35212AE3"/>
    <w:rsid w:val="35251E29"/>
    <w:rsid w:val="35265D3D"/>
    <w:rsid w:val="355D6871"/>
    <w:rsid w:val="356B742C"/>
    <w:rsid w:val="356D7D9E"/>
    <w:rsid w:val="3588463C"/>
    <w:rsid w:val="358C5FA8"/>
    <w:rsid w:val="35951697"/>
    <w:rsid w:val="35970EF6"/>
    <w:rsid w:val="35AB4451"/>
    <w:rsid w:val="35B55468"/>
    <w:rsid w:val="35C15DF1"/>
    <w:rsid w:val="35D64F26"/>
    <w:rsid w:val="35E804F5"/>
    <w:rsid w:val="35F511BE"/>
    <w:rsid w:val="3605537E"/>
    <w:rsid w:val="36074A7F"/>
    <w:rsid w:val="36271489"/>
    <w:rsid w:val="3641505C"/>
    <w:rsid w:val="365219E1"/>
    <w:rsid w:val="36712378"/>
    <w:rsid w:val="367A375C"/>
    <w:rsid w:val="368C7F57"/>
    <w:rsid w:val="36923549"/>
    <w:rsid w:val="36977C6B"/>
    <w:rsid w:val="36B75FBF"/>
    <w:rsid w:val="36BD0C45"/>
    <w:rsid w:val="36BF2268"/>
    <w:rsid w:val="36C079A4"/>
    <w:rsid w:val="36C43473"/>
    <w:rsid w:val="36C6458F"/>
    <w:rsid w:val="36E71C9A"/>
    <w:rsid w:val="36EF6B43"/>
    <w:rsid w:val="36F37BB4"/>
    <w:rsid w:val="36F56754"/>
    <w:rsid w:val="37011928"/>
    <w:rsid w:val="371D2ADC"/>
    <w:rsid w:val="37294C4E"/>
    <w:rsid w:val="37550A06"/>
    <w:rsid w:val="37566220"/>
    <w:rsid w:val="376F1C80"/>
    <w:rsid w:val="378A06BB"/>
    <w:rsid w:val="378C32AC"/>
    <w:rsid w:val="37B27B48"/>
    <w:rsid w:val="37B426A4"/>
    <w:rsid w:val="37C22663"/>
    <w:rsid w:val="37D766CE"/>
    <w:rsid w:val="37E00298"/>
    <w:rsid w:val="37E6149A"/>
    <w:rsid w:val="37F561C3"/>
    <w:rsid w:val="380A1955"/>
    <w:rsid w:val="381470B3"/>
    <w:rsid w:val="381D7270"/>
    <w:rsid w:val="38385519"/>
    <w:rsid w:val="38567186"/>
    <w:rsid w:val="38590FF7"/>
    <w:rsid w:val="385C4B90"/>
    <w:rsid w:val="386B7DEF"/>
    <w:rsid w:val="387115AC"/>
    <w:rsid w:val="38853DEF"/>
    <w:rsid w:val="38961245"/>
    <w:rsid w:val="389E0B7E"/>
    <w:rsid w:val="38B302F9"/>
    <w:rsid w:val="38BC1F81"/>
    <w:rsid w:val="38BF4E5C"/>
    <w:rsid w:val="38D86F16"/>
    <w:rsid w:val="38DF57B3"/>
    <w:rsid w:val="38F12CD3"/>
    <w:rsid w:val="38F15E2F"/>
    <w:rsid w:val="38F94775"/>
    <w:rsid w:val="390B5AA7"/>
    <w:rsid w:val="392971ED"/>
    <w:rsid w:val="392A3C5D"/>
    <w:rsid w:val="392E0D8E"/>
    <w:rsid w:val="392F2C4B"/>
    <w:rsid w:val="39325651"/>
    <w:rsid w:val="396D1F0F"/>
    <w:rsid w:val="397D464B"/>
    <w:rsid w:val="39803344"/>
    <w:rsid w:val="39916B44"/>
    <w:rsid w:val="39A34951"/>
    <w:rsid w:val="39B24D12"/>
    <w:rsid w:val="39CC6575"/>
    <w:rsid w:val="39DC5ADB"/>
    <w:rsid w:val="39E37FD5"/>
    <w:rsid w:val="39EC6471"/>
    <w:rsid w:val="3A01033C"/>
    <w:rsid w:val="3A2B695F"/>
    <w:rsid w:val="3A2D77DA"/>
    <w:rsid w:val="3A344255"/>
    <w:rsid w:val="3A5D0F3A"/>
    <w:rsid w:val="3A865FA2"/>
    <w:rsid w:val="3A872856"/>
    <w:rsid w:val="3A8E0536"/>
    <w:rsid w:val="3A992026"/>
    <w:rsid w:val="3A9A0908"/>
    <w:rsid w:val="3AC07AA6"/>
    <w:rsid w:val="3AC26C7E"/>
    <w:rsid w:val="3ADB6940"/>
    <w:rsid w:val="3AF82852"/>
    <w:rsid w:val="3AFB0F35"/>
    <w:rsid w:val="3B3748EF"/>
    <w:rsid w:val="3B3763D1"/>
    <w:rsid w:val="3B38684A"/>
    <w:rsid w:val="3B3D4B50"/>
    <w:rsid w:val="3B604598"/>
    <w:rsid w:val="3B6A75AA"/>
    <w:rsid w:val="3B7C716A"/>
    <w:rsid w:val="3BA23236"/>
    <w:rsid w:val="3BAA78CC"/>
    <w:rsid w:val="3BAF12F6"/>
    <w:rsid w:val="3BB3088C"/>
    <w:rsid w:val="3BC0184D"/>
    <w:rsid w:val="3BC10E58"/>
    <w:rsid w:val="3BC208CA"/>
    <w:rsid w:val="3C082077"/>
    <w:rsid w:val="3C157400"/>
    <w:rsid w:val="3C2F6E1E"/>
    <w:rsid w:val="3C376A68"/>
    <w:rsid w:val="3C4F64BA"/>
    <w:rsid w:val="3C58488B"/>
    <w:rsid w:val="3C5B58E7"/>
    <w:rsid w:val="3C766A18"/>
    <w:rsid w:val="3C7C0CEA"/>
    <w:rsid w:val="3C902AC7"/>
    <w:rsid w:val="3CA619C8"/>
    <w:rsid w:val="3CA813CD"/>
    <w:rsid w:val="3CA9691F"/>
    <w:rsid w:val="3CAB2902"/>
    <w:rsid w:val="3CC2196E"/>
    <w:rsid w:val="3CCA5744"/>
    <w:rsid w:val="3CCE2AD3"/>
    <w:rsid w:val="3CDA245A"/>
    <w:rsid w:val="3D0819C7"/>
    <w:rsid w:val="3D0A791C"/>
    <w:rsid w:val="3D1E06B7"/>
    <w:rsid w:val="3D790817"/>
    <w:rsid w:val="3D7A1A80"/>
    <w:rsid w:val="3D7D4AE2"/>
    <w:rsid w:val="3DBB693C"/>
    <w:rsid w:val="3DBC6467"/>
    <w:rsid w:val="3DCF4EA0"/>
    <w:rsid w:val="3E073C93"/>
    <w:rsid w:val="3E2238C4"/>
    <w:rsid w:val="3E2F3683"/>
    <w:rsid w:val="3E3314C3"/>
    <w:rsid w:val="3E660D33"/>
    <w:rsid w:val="3E9410B0"/>
    <w:rsid w:val="3E967927"/>
    <w:rsid w:val="3E98782D"/>
    <w:rsid w:val="3E9F613B"/>
    <w:rsid w:val="3EAE5A4E"/>
    <w:rsid w:val="3EB00999"/>
    <w:rsid w:val="3EDA0523"/>
    <w:rsid w:val="3EE1055C"/>
    <w:rsid w:val="3EE13230"/>
    <w:rsid w:val="3EFE7CDA"/>
    <w:rsid w:val="3F0E2CA6"/>
    <w:rsid w:val="3F1366B5"/>
    <w:rsid w:val="3F3571AC"/>
    <w:rsid w:val="3F490242"/>
    <w:rsid w:val="3F7660DD"/>
    <w:rsid w:val="3F780403"/>
    <w:rsid w:val="3F891C2A"/>
    <w:rsid w:val="3FB032C6"/>
    <w:rsid w:val="3FB23F93"/>
    <w:rsid w:val="3FBD2D80"/>
    <w:rsid w:val="3FC94FEB"/>
    <w:rsid w:val="3FE545D3"/>
    <w:rsid w:val="3FFB5B15"/>
    <w:rsid w:val="3FFD2BEF"/>
    <w:rsid w:val="4004790F"/>
    <w:rsid w:val="402D7889"/>
    <w:rsid w:val="40456EC3"/>
    <w:rsid w:val="405502F9"/>
    <w:rsid w:val="405C5BA6"/>
    <w:rsid w:val="405F5752"/>
    <w:rsid w:val="4069101A"/>
    <w:rsid w:val="40693846"/>
    <w:rsid w:val="406B0186"/>
    <w:rsid w:val="407A6407"/>
    <w:rsid w:val="40854E6B"/>
    <w:rsid w:val="409262FC"/>
    <w:rsid w:val="40B208BE"/>
    <w:rsid w:val="40C005C6"/>
    <w:rsid w:val="40C03386"/>
    <w:rsid w:val="40CF02AB"/>
    <w:rsid w:val="40D65F15"/>
    <w:rsid w:val="40DA5738"/>
    <w:rsid w:val="40EA3C11"/>
    <w:rsid w:val="40F11DC2"/>
    <w:rsid w:val="411068AA"/>
    <w:rsid w:val="41223652"/>
    <w:rsid w:val="41367327"/>
    <w:rsid w:val="41386CA8"/>
    <w:rsid w:val="41513586"/>
    <w:rsid w:val="41641E0C"/>
    <w:rsid w:val="4186432B"/>
    <w:rsid w:val="41A50BA0"/>
    <w:rsid w:val="41D617B7"/>
    <w:rsid w:val="41DF4DF4"/>
    <w:rsid w:val="41E954FB"/>
    <w:rsid w:val="41F914D4"/>
    <w:rsid w:val="4200449D"/>
    <w:rsid w:val="42096B41"/>
    <w:rsid w:val="423A3BCC"/>
    <w:rsid w:val="42430EC0"/>
    <w:rsid w:val="424E57D2"/>
    <w:rsid w:val="425278D3"/>
    <w:rsid w:val="42873C60"/>
    <w:rsid w:val="428F1B58"/>
    <w:rsid w:val="42B26C49"/>
    <w:rsid w:val="42C3423D"/>
    <w:rsid w:val="42C44BB0"/>
    <w:rsid w:val="42D55C6E"/>
    <w:rsid w:val="42F70A4F"/>
    <w:rsid w:val="42FD5A3B"/>
    <w:rsid w:val="430330BE"/>
    <w:rsid w:val="432A12C5"/>
    <w:rsid w:val="432E2B24"/>
    <w:rsid w:val="433A6FE6"/>
    <w:rsid w:val="43480868"/>
    <w:rsid w:val="4350713C"/>
    <w:rsid w:val="435C2BBB"/>
    <w:rsid w:val="436653E0"/>
    <w:rsid w:val="438065BE"/>
    <w:rsid w:val="438A0EF7"/>
    <w:rsid w:val="43BE0520"/>
    <w:rsid w:val="43C4431A"/>
    <w:rsid w:val="43C86FAA"/>
    <w:rsid w:val="43CD0FA0"/>
    <w:rsid w:val="43D00D85"/>
    <w:rsid w:val="43D06EB8"/>
    <w:rsid w:val="44041103"/>
    <w:rsid w:val="441F3E1D"/>
    <w:rsid w:val="4429387E"/>
    <w:rsid w:val="44351627"/>
    <w:rsid w:val="443F369A"/>
    <w:rsid w:val="44710869"/>
    <w:rsid w:val="44821D53"/>
    <w:rsid w:val="44A02F03"/>
    <w:rsid w:val="44B566D8"/>
    <w:rsid w:val="44B951CC"/>
    <w:rsid w:val="44C36623"/>
    <w:rsid w:val="44CD14E0"/>
    <w:rsid w:val="44DA3BDA"/>
    <w:rsid w:val="44E16052"/>
    <w:rsid w:val="44E946BA"/>
    <w:rsid w:val="44F20B0B"/>
    <w:rsid w:val="44F66736"/>
    <w:rsid w:val="44FF2FDA"/>
    <w:rsid w:val="451236AE"/>
    <w:rsid w:val="45124348"/>
    <w:rsid w:val="4529113C"/>
    <w:rsid w:val="452E5F4C"/>
    <w:rsid w:val="452F697A"/>
    <w:rsid w:val="45324AF5"/>
    <w:rsid w:val="453A6303"/>
    <w:rsid w:val="45564501"/>
    <w:rsid w:val="45612018"/>
    <w:rsid w:val="456816EC"/>
    <w:rsid w:val="458946E9"/>
    <w:rsid w:val="459C6CE8"/>
    <w:rsid w:val="45A47C0E"/>
    <w:rsid w:val="45C4595F"/>
    <w:rsid w:val="4603688D"/>
    <w:rsid w:val="460904A2"/>
    <w:rsid w:val="460F308D"/>
    <w:rsid w:val="4611016B"/>
    <w:rsid w:val="461E3474"/>
    <w:rsid w:val="46210CE8"/>
    <w:rsid w:val="46577FD6"/>
    <w:rsid w:val="4676339E"/>
    <w:rsid w:val="468C5C3B"/>
    <w:rsid w:val="46A309FA"/>
    <w:rsid w:val="46A3314C"/>
    <w:rsid w:val="46B307EE"/>
    <w:rsid w:val="46C928C3"/>
    <w:rsid w:val="46D304B9"/>
    <w:rsid w:val="46D955A7"/>
    <w:rsid w:val="46D97A51"/>
    <w:rsid w:val="46E9257A"/>
    <w:rsid w:val="46FA34DF"/>
    <w:rsid w:val="47067B9F"/>
    <w:rsid w:val="47133957"/>
    <w:rsid w:val="473577F9"/>
    <w:rsid w:val="474E51F3"/>
    <w:rsid w:val="47552FB3"/>
    <w:rsid w:val="47694F04"/>
    <w:rsid w:val="47722122"/>
    <w:rsid w:val="47A07E0C"/>
    <w:rsid w:val="47A91369"/>
    <w:rsid w:val="47B966BC"/>
    <w:rsid w:val="47DA1C29"/>
    <w:rsid w:val="48221E3C"/>
    <w:rsid w:val="484E4028"/>
    <w:rsid w:val="486D7A14"/>
    <w:rsid w:val="4870272E"/>
    <w:rsid w:val="487D037C"/>
    <w:rsid w:val="48921F28"/>
    <w:rsid w:val="48AB4F23"/>
    <w:rsid w:val="48B658AC"/>
    <w:rsid w:val="48BD28B3"/>
    <w:rsid w:val="49112400"/>
    <w:rsid w:val="49237EA8"/>
    <w:rsid w:val="49344400"/>
    <w:rsid w:val="494A21D1"/>
    <w:rsid w:val="49544B61"/>
    <w:rsid w:val="496A193C"/>
    <w:rsid w:val="497D154B"/>
    <w:rsid w:val="497F1F6E"/>
    <w:rsid w:val="499D6B4B"/>
    <w:rsid w:val="49A11142"/>
    <w:rsid w:val="49A37E83"/>
    <w:rsid w:val="49D51923"/>
    <w:rsid w:val="49DC7715"/>
    <w:rsid w:val="49E25E62"/>
    <w:rsid w:val="49F2609F"/>
    <w:rsid w:val="4A023139"/>
    <w:rsid w:val="4A287C92"/>
    <w:rsid w:val="4A33679C"/>
    <w:rsid w:val="4A531577"/>
    <w:rsid w:val="4A775F7C"/>
    <w:rsid w:val="4A7B576F"/>
    <w:rsid w:val="4A8A2340"/>
    <w:rsid w:val="4AA960C4"/>
    <w:rsid w:val="4AAD73FA"/>
    <w:rsid w:val="4AB12490"/>
    <w:rsid w:val="4AC156BC"/>
    <w:rsid w:val="4AD0278D"/>
    <w:rsid w:val="4AE90738"/>
    <w:rsid w:val="4AF561A9"/>
    <w:rsid w:val="4AF87D03"/>
    <w:rsid w:val="4B463B32"/>
    <w:rsid w:val="4B5A3DEF"/>
    <w:rsid w:val="4B87023F"/>
    <w:rsid w:val="4B872C5E"/>
    <w:rsid w:val="4BA53ED7"/>
    <w:rsid w:val="4BA84145"/>
    <w:rsid w:val="4BBC00C6"/>
    <w:rsid w:val="4BC34673"/>
    <w:rsid w:val="4BC943E4"/>
    <w:rsid w:val="4BD8010B"/>
    <w:rsid w:val="4BEC3E43"/>
    <w:rsid w:val="4C1C2621"/>
    <w:rsid w:val="4C2D28C3"/>
    <w:rsid w:val="4C325336"/>
    <w:rsid w:val="4C3C44EB"/>
    <w:rsid w:val="4C4A0649"/>
    <w:rsid w:val="4C4A325A"/>
    <w:rsid w:val="4C5749C8"/>
    <w:rsid w:val="4C5F280A"/>
    <w:rsid w:val="4C64273C"/>
    <w:rsid w:val="4C68224E"/>
    <w:rsid w:val="4C7E5ECA"/>
    <w:rsid w:val="4C876AA5"/>
    <w:rsid w:val="4C89602F"/>
    <w:rsid w:val="4C8C75D8"/>
    <w:rsid w:val="4CAA190D"/>
    <w:rsid w:val="4CAB73DF"/>
    <w:rsid w:val="4CB23F88"/>
    <w:rsid w:val="4CC640AF"/>
    <w:rsid w:val="4CC95028"/>
    <w:rsid w:val="4CDC3E03"/>
    <w:rsid w:val="4CF41227"/>
    <w:rsid w:val="4D0E00FB"/>
    <w:rsid w:val="4D176606"/>
    <w:rsid w:val="4D1F22ED"/>
    <w:rsid w:val="4D2567E7"/>
    <w:rsid w:val="4D3076E0"/>
    <w:rsid w:val="4D324036"/>
    <w:rsid w:val="4D3818CA"/>
    <w:rsid w:val="4D554927"/>
    <w:rsid w:val="4D5A6C0B"/>
    <w:rsid w:val="4D6F7566"/>
    <w:rsid w:val="4D7F1FBF"/>
    <w:rsid w:val="4DBD4CAA"/>
    <w:rsid w:val="4DC81938"/>
    <w:rsid w:val="4DDC5CDE"/>
    <w:rsid w:val="4DEC4FB0"/>
    <w:rsid w:val="4DF12F98"/>
    <w:rsid w:val="4E075D8A"/>
    <w:rsid w:val="4E185931"/>
    <w:rsid w:val="4E9A3EA0"/>
    <w:rsid w:val="4EC00FAD"/>
    <w:rsid w:val="4EC3027C"/>
    <w:rsid w:val="4EE20DC3"/>
    <w:rsid w:val="4EED703B"/>
    <w:rsid w:val="4F3E2B89"/>
    <w:rsid w:val="4F676250"/>
    <w:rsid w:val="4F6B64A4"/>
    <w:rsid w:val="4F86399B"/>
    <w:rsid w:val="4F8C7FFF"/>
    <w:rsid w:val="4F94690C"/>
    <w:rsid w:val="4F9843DC"/>
    <w:rsid w:val="4F9B247B"/>
    <w:rsid w:val="4FA53375"/>
    <w:rsid w:val="4FAF1E73"/>
    <w:rsid w:val="4FC62A8C"/>
    <w:rsid w:val="4FC76DCC"/>
    <w:rsid w:val="4FE20F0D"/>
    <w:rsid w:val="4FE51552"/>
    <w:rsid w:val="500238BF"/>
    <w:rsid w:val="5008564A"/>
    <w:rsid w:val="503C6765"/>
    <w:rsid w:val="504D2202"/>
    <w:rsid w:val="50504C4B"/>
    <w:rsid w:val="506D0D24"/>
    <w:rsid w:val="50736AF1"/>
    <w:rsid w:val="5076405B"/>
    <w:rsid w:val="50862BBE"/>
    <w:rsid w:val="509C6E7C"/>
    <w:rsid w:val="50EF080A"/>
    <w:rsid w:val="50F52F01"/>
    <w:rsid w:val="514F6BF7"/>
    <w:rsid w:val="515D758B"/>
    <w:rsid w:val="5162104E"/>
    <w:rsid w:val="51896E68"/>
    <w:rsid w:val="51B56A75"/>
    <w:rsid w:val="51F06E3E"/>
    <w:rsid w:val="51FB38BE"/>
    <w:rsid w:val="52137977"/>
    <w:rsid w:val="522E62CD"/>
    <w:rsid w:val="525810D0"/>
    <w:rsid w:val="52904AFC"/>
    <w:rsid w:val="529138CC"/>
    <w:rsid w:val="52C062CC"/>
    <w:rsid w:val="53020DB7"/>
    <w:rsid w:val="53A039CC"/>
    <w:rsid w:val="53A1505A"/>
    <w:rsid w:val="53CA3948"/>
    <w:rsid w:val="53E47E6C"/>
    <w:rsid w:val="53FC2150"/>
    <w:rsid w:val="54063E08"/>
    <w:rsid w:val="5427683E"/>
    <w:rsid w:val="543437E8"/>
    <w:rsid w:val="545A70EC"/>
    <w:rsid w:val="5474748E"/>
    <w:rsid w:val="549F5E92"/>
    <w:rsid w:val="54A90FAB"/>
    <w:rsid w:val="54AB41D2"/>
    <w:rsid w:val="54C32227"/>
    <w:rsid w:val="54F73313"/>
    <w:rsid w:val="54F80955"/>
    <w:rsid w:val="55050EF8"/>
    <w:rsid w:val="552A032B"/>
    <w:rsid w:val="553D4623"/>
    <w:rsid w:val="555170A7"/>
    <w:rsid w:val="55541946"/>
    <w:rsid w:val="55666ED8"/>
    <w:rsid w:val="557E1A2A"/>
    <w:rsid w:val="5587536D"/>
    <w:rsid w:val="55933A8C"/>
    <w:rsid w:val="559B174B"/>
    <w:rsid w:val="55A15F72"/>
    <w:rsid w:val="55CE0CF4"/>
    <w:rsid w:val="55F07F0E"/>
    <w:rsid w:val="55F427CF"/>
    <w:rsid w:val="55F42FF2"/>
    <w:rsid w:val="56150435"/>
    <w:rsid w:val="562A2CE9"/>
    <w:rsid w:val="563C6E39"/>
    <w:rsid w:val="56491A3B"/>
    <w:rsid w:val="5659306C"/>
    <w:rsid w:val="56875F18"/>
    <w:rsid w:val="56B22A9C"/>
    <w:rsid w:val="56CC6A03"/>
    <w:rsid w:val="56F31707"/>
    <w:rsid w:val="5707051B"/>
    <w:rsid w:val="57210934"/>
    <w:rsid w:val="572859E6"/>
    <w:rsid w:val="573F5DB1"/>
    <w:rsid w:val="574C257C"/>
    <w:rsid w:val="57614CFF"/>
    <w:rsid w:val="577077E9"/>
    <w:rsid w:val="577C30E0"/>
    <w:rsid w:val="5788784B"/>
    <w:rsid w:val="57B72A76"/>
    <w:rsid w:val="57BE563F"/>
    <w:rsid w:val="57C2787C"/>
    <w:rsid w:val="57C3426C"/>
    <w:rsid w:val="57CE1F93"/>
    <w:rsid w:val="58101989"/>
    <w:rsid w:val="58275F2F"/>
    <w:rsid w:val="5836771A"/>
    <w:rsid w:val="583C7A8D"/>
    <w:rsid w:val="58497555"/>
    <w:rsid w:val="584C68E6"/>
    <w:rsid w:val="58692CBA"/>
    <w:rsid w:val="587972C4"/>
    <w:rsid w:val="588743D1"/>
    <w:rsid w:val="5887701A"/>
    <w:rsid w:val="589A792A"/>
    <w:rsid w:val="58B35501"/>
    <w:rsid w:val="58C139F4"/>
    <w:rsid w:val="58C63F41"/>
    <w:rsid w:val="58D63878"/>
    <w:rsid w:val="58E95558"/>
    <w:rsid w:val="59511B4A"/>
    <w:rsid w:val="595E6675"/>
    <w:rsid w:val="597E4543"/>
    <w:rsid w:val="598147D3"/>
    <w:rsid w:val="59845BCA"/>
    <w:rsid w:val="598D3F90"/>
    <w:rsid w:val="59936EDC"/>
    <w:rsid w:val="599635D2"/>
    <w:rsid w:val="59C0439F"/>
    <w:rsid w:val="59D50177"/>
    <w:rsid w:val="59D93841"/>
    <w:rsid w:val="5A480656"/>
    <w:rsid w:val="5A5377BA"/>
    <w:rsid w:val="5A6E45B7"/>
    <w:rsid w:val="5A812A69"/>
    <w:rsid w:val="5A893E45"/>
    <w:rsid w:val="5A9F1062"/>
    <w:rsid w:val="5AAE5BF0"/>
    <w:rsid w:val="5ABB7C64"/>
    <w:rsid w:val="5ABE2233"/>
    <w:rsid w:val="5ACF0364"/>
    <w:rsid w:val="5ADE54D7"/>
    <w:rsid w:val="5AE84ACF"/>
    <w:rsid w:val="5B061E54"/>
    <w:rsid w:val="5B335E53"/>
    <w:rsid w:val="5B5F1291"/>
    <w:rsid w:val="5B63742B"/>
    <w:rsid w:val="5B7401DE"/>
    <w:rsid w:val="5B882D47"/>
    <w:rsid w:val="5B9200CE"/>
    <w:rsid w:val="5B9D5815"/>
    <w:rsid w:val="5BC36E68"/>
    <w:rsid w:val="5BDF5D95"/>
    <w:rsid w:val="5BE03D67"/>
    <w:rsid w:val="5BED78CD"/>
    <w:rsid w:val="5BFC4F87"/>
    <w:rsid w:val="5BFE7528"/>
    <w:rsid w:val="5C4E0805"/>
    <w:rsid w:val="5C964D33"/>
    <w:rsid w:val="5C9930B4"/>
    <w:rsid w:val="5CA04D2D"/>
    <w:rsid w:val="5CA45A32"/>
    <w:rsid w:val="5CB642DE"/>
    <w:rsid w:val="5CBA25E8"/>
    <w:rsid w:val="5CBF3A85"/>
    <w:rsid w:val="5CE047DB"/>
    <w:rsid w:val="5D052DB6"/>
    <w:rsid w:val="5D0D2190"/>
    <w:rsid w:val="5D234810"/>
    <w:rsid w:val="5D3850E2"/>
    <w:rsid w:val="5D3D68EA"/>
    <w:rsid w:val="5D7E59F8"/>
    <w:rsid w:val="5D98436E"/>
    <w:rsid w:val="5DFF2DE1"/>
    <w:rsid w:val="5E0228E4"/>
    <w:rsid w:val="5E2467F1"/>
    <w:rsid w:val="5E5A0423"/>
    <w:rsid w:val="5E674DC9"/>
    <w:rsid w:val="5EA44A4C"/>
    <w:rsid w:val="5EA958DC"/>
    <w:rsid w:val="5EAB4345"/>
    <w:rsid w:val="5EC1019F"/>
    <w:rsid w:val="5ED47ECF"/>
    <w:rsid w:val="5EE934B9"/>
    <w:rsid w:val="5F024D2B"/>
    <w:rsid w:val="5F0E6CD2"/>
    <w:rsid w:val="5F1A2B43"/>
    <w:rsid w:val="5F1C25A7"/>
    <w:rsid w:val="5F2160EC"/>
    <w:rsid w:val="5F341239"/>
    <w:rsid w:val="5F422B99"/>
    <w:rsid w:val="5F477882"/>
    <w:rsid w:val="5F4910A4"/>
    <w:rsid w:val="5F70213D"/>
    <w:rsid w:val="5F8E0DD0"/>
    <w:rsid w:val="5FB51493"/>
    <w:rsid w:val="5FB837BB"/>
    <w:rsid w:val="5FBB4D1D"/>
    <w:rsid w:val="5FCD25D0"/>
    <w:rsid w:val="5FE502A1"/>
    <w:rsid w:val="5FF16360"/>
    <w:rsid w:val="5FF91A19"/>
    <w:rsid w:val="60185CDD"/>
    <w:rsid w:val="604B7C3C"/>
    <w:rsid w:val="605A6092"/>
    <w:rsid w:val="608A02F3"/>
    <w:rsid w:val="609D6352"/>
    <w:rsid w:val="60A52CFD"/>
    <w:rsid w:val="60C8256A"/>
    <w:rsid w:val="60CC405A"/>
    <w:rsid w:val="60DF1247"/>
    <w:rsid w:val="60E60C51"/>
    <w:rsid w:val="60FB6339"/>
    <w:rsid w:val="61075236"/>
    <w:rsid w:val="61497B2C"/>
    <w:rsid w:val="614F25AA"/>
    <w:rsid w:val="61740AD9"/>
    <w:rsid w:val="61891E39"/>
    <w:rsid w:val="61923B97"/>
    <w:rsid w:val="619B73E2"/>
    <w:rsid w:val="61B76886"/>
    <w:rsid w:val="61DC685D"/>
    <w:rsid w:val="61E215D8"/>
    <w:rsid w:val="61E21FA9"/>
    <w:rsid w:val="61F54084"/>
    <w:rsid w:val="620E3A5E"/>
    <w:rsid w:val="621B3775"/>
    <w:rsid w:val="622D2C8B"/>
    <w:rsid w:val="62343D48"/>
    <w:rsid w:val="62364782"/>
    <w:rsid w:val="623709E5"/>
    <w:rsid w:val="62796BBA"/>
    <w:rsid w:val="62B95DAA"/>
    <w:rsid w:val="62C83944"/>
    <w:rsid w:val="62D03090"/>
    <w:rsid w:val="62F20323"/>
    <w:rsid w:val="62F276B1"/>
    <w:rsid w:val="63072935"/>
    <w:rsid w:val="63234EDD"/>
    <w:rsid w:val="63550DA9"/>
    <w:rsid w:val="63642674"/>
    <w:rsid w:val="63694076"/>
    <w:rsid w:val="638A4CF2"/>
    <w:rsid w:val="6394356A"/>
    <w:rsid w:val="639440E0"/>
    <w:rsid w:val="63A56719"/>
    <w:rsid w:val="63C61B2C"/>
    <w:rsid w:val="63D01F2A"/>
    <w:rsid w:val="63D40BE9"/>
    <w:rsid w:val="63E401E0"/>
    <w:rsid w:val="63EE44F8"/>
    <w:rsid w:val="63F460D4"/>
    <w:rsid w:val="64102431"/>
    <w:rsid w:val="64167AB3"/>
    <w:rsid w:val="64484C89"/>
    <w:rsid w:val="64594476"/>
    <w:rsid w:val="647864C3"/>
    <w:rsid w:val="648C3241"/>
    <w:rsid w:val="64A5243A"/>
    <w:rsid w:val="64A860F4"/>
    <w:rsid w:val="64D51F90"/>
    <w:rsid w:val="64DC259F"/>
    <w:rsid w:val="64E74293"/>
    <w:rsid w:val="64F531DE"/>
    <w:rsid w:val="65216E1C"/>
    <w:rsid w:val="65373578"/>
    <w:rsid w:val="65491655"/>
    <w:rsid w:val="654C1410"/>
    <w:rsid w:val="655509A6"/>
    <w:rsid w:val="655A3DBF"/>
    <w:rsid w:val="655D0A3C"/>
    <w:rsid w:val="655D4741"/>
    <w:rsid w:val="657505AD"/>
    <w:rsid w:val="65775CE1"/>
    <w:rsid w:val="657D3F8C"/>
    <w:rsid w:val="65906A86"/>
    <w:rsid w:val="65A4132B"/>
    <w:rsid w:val="65BB4BEA"/>
    <w:rsid w:val="65C15AE7"/>
    <w:rsid w:val="65D069AC"/>
    <w:rsid w:val="65D23352"/>
    <w:rsid w:val="65F02653"/>
    <w:rsid w:val="660E3C5F"/>
    <w:rsid w:val="661B1AC2"/>
    <w:rsid w:val="6635475A"/>
    <w:rsid w:val="663F08DD"/>
    <w:rsid w:val="664178E5"/>
    <w:rsid w:val="6668443D"/>
    <w:rsid w:val="668D3DA1"/>
    <w:rsid w:val="66A445CD"/>
    <w:rsid w:val="66B303E4"/>
    <w:rsid w:val="66B6348E"/>
    <w:rsid w:val="66BF3C86"/>
    <w:rsid w:val="671F124A"/>
    <w:rsid w:val="67241EB6"/>
    <w:rsid w:val="674F3E6F"/>
    <w:rsid w:val="67602B04"/>
    <w:rsid w:val="677A33C6"/>
    <w:rsid w:val="6798370E"/>
    <w:rsid w:val="679B6FCF"/>
    <w:rsid w:val="67A44D54"/>
    <w:rsid w:val="67A57D4D"/>
    <w:rsid w:val="67AF75D1"/>
    <w:rsid w:val="67CA10E9"/>
    <w:rsid w:val="67F22010"/>
    <w:rsid w:val="67F3323F"/>
    <w:rsid w:val="680E64EC"/>
    <w:rsid w:val="68101EB6"/>
    <w:rsid w:val="68160FA6"/>
    <w:rsid w:val="681F6961"/>
    <w:rsid w:val="68610A2F"/>
    <w:rsid w:val="68805514"/>
    <w:rsid w:val="68840009"/>
    <w:rsid w:val="68AE0E23"/>
    <w:rsid w:val="68B90E46"/>
    <w:rsid w:val="68CF2E67"/>
    <w:rsid w:val="68D15979"/>
    <w:rsid w:val="69316E2F"/>
    <w:rsid w:val="694E2071"/>
    <w:rsid w:val="69766163"/>
    <w:rsid w:val="697A3B33"/>
    <w:rsid w:val="698955CA"/>
    <w:rsid w:val="699C4A92"/>
    <w:rsid w:val="69A23A2D"/>
    <w:rsid w:val="69C4382B"/>
    <w:rsid w:val="69D44760"/>
    <w:rsid w:val="69D60195"/>
    <w:rsid w:val="69D83854"/>
    <w:rsid w:val="69F52A27"/>
    <w:rsid w:val="6A0A3065"/>
    <w:rsid w:val="6A244F80"/>
    <w:rsid w:val="6A3F7E58"/>
    <w:rsid w:val="6A520EC7"/>
    <w:rsid w:val="6A7E0B45"/>
    <w:rsid w:val="6A820763"/>
    <w:rsid w:val="6A994AE2"/>
    <w:rsid w:val="6AA66F7C"/>
    <w:rsid w:val="6AB10BD3"/>
    <w:rsid w:val="6AB12D99"/>
    <w:rsid w:val="6AE34DE1"/>
    <w:rsid w:val="6AF25099"/>
    <w:rsid w:val="6AF87E20"/>
    <w:rsid w:val="6B322639"/>
    <w:rsid w:val="6B576161"/>
    <w:rsid w:val="6B6100CB"/>
    <w:rsid w:val="6B7B3B40"/>
    <w:rsid w:val="6BAB7E58"/>
    <w:rsid w:val="6BB47915"/>
    <w:rsid w:val="6C04436B"/>
    <w:rsid w:val="6C404415"/>
    <w:rsid w:val="6C4B73F8"/>
    <w:rsid w:val="6C4E659A"/>
    <w:rsid w:val="6C62760D"/>
    <w:rsid w:val="6C636C38"/>
    <w:rsid w:val="6C742106"/>
    <w:rsid w:val="6C7B7312"/>
    <w:rsid w:val="6C8167B5"/>
    <w:rsid w:val="6CA41FF3"/>
    <w:rsid w:val="6CB21D21"/>
    <w:rsid w:val="6CDE344F"/>
    <w:rsid w:val="6CE43E11"/>
    <w:rsid w:val="6CE56E71"/>
    <w:rsid w:val="6CF65614"/>
    <w:rsid w:val="6D1C561D"/>
    <w:rsid w:val="6D257D4A"/>
    <w:rsid w:val="6D3E0BDB"/>
    <w:rsid w:val="6D4C1A7F"/>
    <w:rsid w:val="6D536BAA"/>
    <w:rsid w:val="6D6249E7"/>
    <w:rsid w:val="6D8667CE"/>
    <w:rsid w:val="6D8810AE"/>
    <w:rsid w:val="6DAD7CA3"/>
    <w:rsid w:val="6DB34098"/>
    <w:rsid w:val="6DB545B6"/>
    <w:rsid w:val="6DB66549"/>
    <w:rsid w:val="6DE02FB4"/>
    <w:rsid w:val="6DFF059B"/>
    <w:rsid w:val="6E1811A2"/>
    <w:rsid w:val="6E211F2B"/>
    <w:rsid w:val="6E2163FE"/>
    <w:rsid w:val="6E2D1323"/>
    <w:rsid w:val="6E514CED"/>
    <w:rsid w:val="6E5B161E"/>
    <w:rsid w:val="6E632992"/>
    <w:rsid w:val="6E643FCD"/>
    <w:rsid w:val="6E8D4441"/>
    <w:rsid w:val="6EA47239"/>
    <w:rsid w:val="6EAA19AE"/>
    <w:rsid w:val="6EAD7EF0"/>
    <w:rsid w:val="6EB43055"/>
    <w:rsid w:val="6EB563D5"/>
    <w:rsid w:val="6ED421B0"/>
    <w:rsid w:val="6ED43FCC"/>
    <w:rsid w:val="6ED92677"/>
    <w:rsid w:val="6EEB45FF"/>
    <w:rsid w:val="6F225983"/>
    <w:rsid w:val="6F2D2B98"/>
    <w:rsid w:val="6F3A54CF"/>
    <w:rsid w:val="6F3B2175"/>
    <w:rsid w:val="6F684CE3"/>
    <w:rsid w:val="6F927D49"/>
    <w:rsid w:val="6F990653"/>
    <w:rsid w:val="6FE963F8"/>
    <w:rsid w:val="6FEF206C"/>
    <w:rsid w:val="6FF2592F"/>
    <w:rsid w:val="6FF95FC5"/>
    <w:rsid w:val="6FFB385C"/>
    <w:rsid w:val="6FFC5590"/>
    <w:rsid w:val="702C64C3"/>
    <w:rsid w:val="70550631"/>
    <w:rsid w:val="706D1DD0"/>
    <w:rsid w:val="707709B0"/>
    <w:rsid w:val="70815EAF"/>
    <w:rsid w:val="70856B87"/>
    <w:rsid w:val="709C2434"/>
    <w:rsid w:val="70AD66BA"/>
    <w:rsid w:val="70D527EE"/>
    <w:rsid w:val="70F92088"/>
    <w:rsid w:val="710D1F4B"/>
    <w:rsid w:val="71475197"/>
    <w:rsid w:val="714C7BC5"/>
    <w:rsid w:val="715055ED"/>
    <w:rsid w:val="7152179F"/>
    <w:rsid w:val="715B5300"/>
    <w:rsid w:val="717160B8"/>
    <w:rsid w:val="71847067"/>
    <w:rsid w:val="718E603F"/>
    <w:rsid w:val="719654E0"/>
    <w:rsid w:val="7197149A"/>
    <w:rsid w:val="71A67ECD"/>
    <w:rsid w:val="71A71273"/>
    <w:rsid w:val="71A722DE"/>
    <w:rsid w:val="71C3602A"/>
    <w:rsid w:val="71C8627B"/>
    <w:rsid w:val="71CA5019"/>
    <w:rsid w:val="71CB0A8F"/>
    <w:rsid w:val="71D27F8A"/>
    <w:rsid w:val="71EC17EA"/>
    <w:rsid w:val="71FB09CF"/>
    <w:rsid w:val="72035CCB"/>
    <w:rsid w:val="72210E8B"/>
    <w:rsid w:val="72287BB2"/>
    <w:rsid w:val="722F09F5"/>
    <w:rsid w:val="72345C8F"/>
    <w:rsid w:val="72352D15"/>
    <w:rsid w:val="724816AF"/>
    <w:rsid w:val="72553024"/>
    <w:rsid w:val="728B76C7"/>
    <w:rsid w:val="72A808CE"/>
    <w:rsid w:val="72BB015E"/>
    <w:rsid w:val="72E14E43"/>
    <w:rsid w:val="73010267"/>
    <w:rsid w:val="73122968"/>
    <w:rsid w:val="73124E05"/>
    <w:rsid w:val="731F5D5E"/>
    <w:rsid w:val="732F7BB3"/>
    <w:rsid w:val="733439D7"/>
    <w:rsid w:val="735769E0"/>
    <w:rsid w:val="73610D05"/>
    <w:rsid w:val="736E01C2"/>
    <w:rsid w:val="73803C8C"/>
    <w:rsid w:val="73920B2B"/>
    <w:rsid w:val="739D5F65"/>
    <w:rsid w:val="73AA76C3"/>
    <w:rsid w:val="73C51AD5"/>
    <w:rsid w:val="73C649FF"/>
    <w:rsid w:val="73D131F4"/>
    <w:rsid w:val="73DE3E07"/>
    <w:rsid w:val="73F9696E"/>
    <w:rsid w:val="741E530E"/>
    <w:rsid w:val="741E793C"/>
    <w:rsid w:val="74365CEE"/>
    <w:rsid w:val="745354C8"/>
    <w:rsid w:val="745E3944"/>
    <w:rsid w:val="745F2280"/>
    <w:rsid w:val="74755226"/>
    <w:rsid w:val="747669A3"/>
    <w:rsid w:val="74CB3654"/>
    <w:rsid w:val="74DE2737"/>
    <w:rsid w:val="74EC5D3B"/>
    <w:rsid w:val="74EE4752"/>
    <w:rsid w:val="75271E9E"/>
    <w:rsid w:val="75494DAE"/>
    <w:rsid w:val="754A01B9"/>
    <w:rsid w:val="75790340"/>
    <w:rsid w:val="75842A89"/>
    <w:rsid w:val="758B2419"/>
    <w:rsid w:val="759479F6"/>
    <w:rsid w:val="75D0384E"/>
    <w:rsid w:val="75D417DC"/>
    <w:rsid w:val="75E8379C"/>
    <w:rsid w:val="75FF758E"/>
    <w:rsid w:val="76017432"/>
    <w:rsid w:val="7607051D"/>
    <w:rsid w:val="760B58AA"/>
    <w:rsid w:val="76112AEB"/>
    <w:rsid w:val="7618711C"/>
    <w:rsid w:val="761E4C44"/>
    <w:rsid w:val="761F4A26"/>
    <w:rsid w:val="761F7CB8"/>
    <w:rsid w:val="76265C1A"/>
    <w:rsid w:val="762A1B21"/>
    <w:rsid w:val="7635099D"/>
    <w:rsid w:val="76514558"/>
    <w:rsid w:val="768238DD"/>
    <w:rsid w:val="769030B5"/>
    <w:rsid w:val="77106A9B"/>
    <w:rsid w:val="771B501D"/>
    <w:rsid w:val="776053F3"/>
    <w:rsid w:val="77762421"/>
    <w:rsid w:val="77774B2A"/>
    <w:rsid w:val="77885C49"/>
    <w:rsid w:val="778B6351"/>
    <w:rsid w:val="779A541A"/>
    <w:rsid w:val="779D2DAD"/>
    <w:rsid w:val="77A0012D"/>
    <w:rsid w:val="77A13454"/>
    <w:rsid w:val="77B56B1F"/>
    <w:rsid w:val="77D5220E"/>
    <w:rsid w:val="77DC54A3"/>
    <w:rsid w:val="77E141C3"/>
    <w:rsid w:val="77E92200"/>
    <w:rsid w:val="77FF5588"/>
    <w:rsid w:val="780F09F4"/>
    <w:rsid w:val="785B6DA1"/>
    <w:rsid w:val="78885037"/>
    <w:rsid w:val="78A55FBD"/>
    <w:rsid w:val="78A90480"/>
    <w:rsid w:val="78C00935"/>
    <w:rsid w:val="78D45603"/>
    <w:rsid w:val="78F4782D"/>
    <w:rsid w:val="791F5D67"/>
    <w:rsid w:val="7922128C"/>
    <w:rsid w:val="79236323"/>
    <w:rsid w:val="792D1F94"/>
    <w:rsid w:val="79306721"/>
    <w:rsid w:val="7940368F"/>
    <w:rsid w:val="79522462"/>
    <w:rsid w:val="796653B0"/>
    <w:rsid w:val="797C1A84"/>
    <w:rsid w:val="798E263E"/>
    <w:rsid w:val="79945603"/>
    <w:rsid w:val="79AE1080"/>
    <w:rsid w:val="79D566AA"/>
    <w:rsid w:val="79F91D7C"/>
    <w:rsid w:val="7A0642F2"/>
    <w:rsid w:val="7A216263"/>
    <w:rsid w:val="7A364017"/>
    <w:rsid w:val="7A3B58BD"/>
    <w:rsid w:val="7A55285F"/>
    <w:rsid w:val="7A64589D"/>
    <w:rsid w:val="7A747699"/>
    <w:rsid w:val="7A7F6EF2"/>
    <w:rsid w:val="7A8265E1"/>
    <w:rsid w:val="7A8A4B16"/>
    <w:rsid w:val="7A933949"/>
    <w:rsid w:val="7AB45BBF"/>
    <w:rsid w:val="7AB718AF"/>
    <w:rsid w:val="7ACE4BAF"/>
    <w:rsid w:val="7B0320BB"/>
    <w:rsid w:val="7B0912C4"/>
    <w:rsid w:val="7B482A53"/>
    <w:rsid w:val="7B4A3E77"/>
    <w:rsid w:val="7B535CF3"/>
    <w:rsid w:val="7B5A29D7"/>
    <w:rsid w:val="7B686D42"/>
    <w:rsid w:val="7B712CBB"/>
    <w:rsid w:val="7B79673B"/>
    <w:rsid w:val="7B841746"/>
    <w:rsid w:val="7B8B6F6F"/>
    <w:rsid w:val="7B967E93"/>
    <w:rsid w:val="7BC96724"/>
    <w:rsid w:val="7C045E47"/>
    <w:rsid w:val="7C156B31"/>
    <w:rsid w:val="7C4C4E83"/>
    <w:rsid w:val="7C6C5AC7"/>
    <w:rsid w:val="7C8A0685"/>
    <w:rsid w:val="7CC6544B"/>
    <w:rsid w:val="7CD05733"/>
    <w:rsid w:val="7CD11DEB"/>
    <w:rsid w:val="7D0239FF"/>
    <w:rsid w:val="7D0E2DC4"/>
    <w:rsid w:val="7D0F6292"/>
    <w:rsid w:val="7D213F67"/>
    <w:rsid w:val="7D2949FE"/>
    <w:rsid w:val="7D366025"/>
    <w:rsid w:val="7D4416E7"/>
    <w:rsid w:val="7D5E40CD"/>
    <w:rsid w:val="7D702FEA"/>
    <w:rsid w:val="7D707897"/>
    <w:rsid w:val="7DC73BEA"/>
    <w:rsid w:val="7DCD56F2"/>
    <w:rsid w:val="7DE45683"/>
    <w:rsid w:val="7DEA63FC"/>
    <w:rsid w:val="7DED696A"/>
    <w:rsid w:val="7DEF72F3"/>
    <w:rsid w:val="7E2236B7"/>
    <w:rsid w:val="7E2F3B8A"/>
    <w:rsid w:val="7E6B1EE9"/>
    <w:rsid w:val="7E6B6D02"/>
    <w:rsid w:val="7E897751"/>
    <w:rsid w:val="7E941052"/>
    <w:rsid w:val="7E962BB7"/>
    <w:rsid w:val="7E992FF9"/>
    <w:rsid w:val="7EB531AF"/>
    <w:rsid w:val="7EDD15CA"/>
    <w:rsid w:val="7EEA248D"/>
    <w:rsid w:val="7EEF35BD"/>
    <w:rsid w:val="7F001CE7"/>
    <w:rsid w:val="7F3D50A1"/>
    <w:rsid w:val="7F551B0F"/>
    <w:rsid w:val="7F777D64"/>
    <w:rsid w:val="7F952830"/>
    <w:rsid w:val="7FAD0148"/>
    <w:rsid w:val="7FB66B42"/>
    <w:rsid w:val="7FD34ADC"/>
    <w:rsid w:val="7FE47E50"/>
    <w:rsid w:val="7FF44CE4"/>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qFormat="1" w:uiPriority="39" w:semiHidden="0" w:name="toc 9"/>
    <w:lsdException w:qFormat="1"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adjustRightInd w:val="0"/>
      <w:snapToGrid w:val="0"/>
      <w:spacing w:line="360" w:lineRule="auto"/>
      <w:ind w:firstLine="480" w:firstLineChars="200"/>
      <w:jc w:val="both"/>
    </w:pPr>
    <w:rPr>
      <w:rFonts w:ascii="宋体" w:hAnsi="宋体" w:eastAsia="宋体" w:cs="宋体"/>
      <w:bCs/>
      <w:kern w:val="2"/>
      <w:sz w:val="24"/>
      <w:szCs w:val="24"/>
      <w:lang w:val="en-US" w:eastAsia="zh-CN" w:bidi="ar-SA"/>
    </w:rPr>
  </w:style>
  <w:style w:type="paragraph" w:styleId="4">
    <w:name w:val="heading 1"/>
    <w:basedOn w:val="1"/>
    <w:next w:val="1"/>
    <w:autoRedefine/>
    <w:qFormat/>
    <w:uiPriority w:val="0"/>
    <w:pPr>
      <w:widowControl/>
      <w:adjustRightInd/>
      <w:snapToGrid/>
      <w:spacing w:line="240" w:lineRule="auto"/>
      <w:ind w:firstLine="0" w:firstLineChars="0"/>
      <w:jc w:val="center"/>
      <w:outlineLvl w:val="0"/>
    </w:pPr>
    <w:rPr>
      <w:rFonts w:ascii="黑体" w:hAnsi="黑体" w:eastAsia="黑体" w:cs="Times New Roman"/>
      <w:bCs w:val="0"/>
      <w:snapToGrid w:val="0"/>
      <w:kern w:val="0"/>
      <w:sz w:val="30"/>
      <w:szCs w:val="30"/>
    </w:rPr>
  </w:style>
  <w:style w:type="paragraph" w:styleId="5">
    <w:name w:val="heading 2"/>
    <w:basedOn w:val="1"/>
    <w:next w:val="1"/>
    <w:autoRedefine/>
    <w:qFormat/>
    <w:uiPriority w:val="9"/>
    <w:pPr>
      <w:keepNext/>
      <w:keepLines/>
      <w:spacing w:before="260" w:after="260" w:line="416" w:lineRule="auto"/>
      <w:outlineLvl w:val="1"/>
    </w:pPr>
    <w:rPr>
      <w:rFonts w:ascii="Cambria" w:hAnsi="Cambria" w:eastAsia="宋体" w:cs="Times New Roman"/>
      <w:b/>
      <w:sz w:val="32"/>
      <w:szCs w:val="32"/>
    </w:rPr>
  </w:style>
  <w:style w:type="paragraph" w:styleId="6">
    <w:name w:val="heading 3"/>
    <w:basedOn w:val="1"/>
    <w:next w:val="1"/>
    <w:semiHidden/>
    <w:unhideWhenUsed/>
    <w:qFormat/>
    <w:uiPriority w:val="0"/>
    <w:pPr>
      <w:spacing w:before="0" w:beforeAutospacing="1" w:after="0" w:afterAutospacing="1"/>
      <w:jc w:val="left"/>
    </w:pPr>
    <w:rPr>
      <w:rFonts w:hint="eastAsia" w:ascii="宋体" w:hAnsi="宋体" w:eastAsia="宋体" w:cs="宋体"/>
      <w:b/>
      <w:color w:val="auto"/>
      <w:kern w:val="0"/>
      <w:sz w:val="27"/>
      <w:szCs w:val="27"/>
      <w:lang w:val="en-US" w:eastAsia="zh-CN" w:bidi="ar"/>
    </w:rPr>
  </w:style>
  <w:style w:type="paragraph" w:styleId="7">
    <w:name w:val="heading 4"/>
    <w:basedOn w:val="1"/>
    <w:next w:val="1"/>
    <w:autoRedefine/>
    <w:qFormat/>
    <w:uiPriority w:val="0"/>
    <w:pPr>
      <w:keepNext/>
      <w:keepLines/>
      <w:spacing w:before="280" w:beforeLines="0" w:beforeAutospacing="0" w:after="290" w:afterLines="0" w:afterAutospacing="0" w:line="372" w:lineRule="auto"/>
      <w:jc w:val="center"/>
      <w:outlineLvl w:val="3"/>
    </w:pPr>
    <w:rPr>
      <w:rFonts w:ascii="Times New Roman" w:hAnsi="Times New Roman" w:eastAsia="宋体"/>
      <w:b/>
    </w:rPr>
  </w:style>
  <w:style w:type="character" w:default="1" w:styleId="39">
    <w:name w:val="Default Paragraph Font"/>
    <w:autoRedefine/>
    <w:semiHidden/>
    <w:qFormat/>
    <w:uiPriority w:val="0"/>
  </w:style>
  <w:style w:type="table" w:default="1" w:styleId="37">
    <w:name w:val="Normal Table"/>
    <w:autoRedefine/>
    <w:semiHidden/>
    <w:qFormat/>
    <w:uiPriority w:val="0"/>
    <w:tblPr>
      <w:tblCellMar>
        <w:top w:w="0" w:type="dxa"/>
        <w:left w:w="108" w:type="dxa"/>
        <w:bottom w:w="0" w:type="dxa"/>
        <w:right w:w="108" w:type="dxa"/>
      </w:tblCellMar>
    </w:tblPr>
  </w:style>
  <w:style w:type="paragraph" w:styleId="2">
    <w:name w:val="Body Text First Indent 2"/>
    <w:basedOn w:val="3"/>
    <w:next w:val="1"/>
    <w:autoRedefine/>
    <w:qFormat/>
    <w:uiPriority w:val="0"/>
    <w:pPr>
      <w:ind w:firstLine="420" w:firstLineChars="200"/>
    </w:pPr>
  </w:style>
  <w:style w:type="paragraph" w:styleId="3">
    <w:name w:val="Body Text Indent"/>
    <w:basedOn w:val="1"/>
    <w:next w:val="2"/>
    <w:link w:val="52"/>
    <w:autoRedefine/>
    <w:qFormat/>
    <w:uiPriority w:val="0"/>
    <w:pPr>
      <w:spacing w:after="120"/>
      <w:ind w:left="420" w:leftChars="200"/>
    </w:pPr>
    <w:rPr>
      <w:rFonts w:ascii="Times New Roman" w:hAnsi="Times New Roman" w:cs="Times New Roman"/>
      <w:bCs w:val="0"/>
      <w:kern w:val="0"/>
      <w:szCs w:val="20"/>
    </w:rPr>
  </w:style>
  <w:style w:type="paragraph" w:styleId="8">
    <w:name w:val="Normal Indent"/>
    <w:basedOn w:val="1"/>
    <w:autoRedefine/>
    <w:unhideWhenUsed/>
    <w:qFormat/>
    <w:uiPriority w:val="0"/>
    <w:pPr>
      <w:spacing w:line="520" w:lineRule="exact"/>
      <w:ind w:firstLine="624"/>
    </w:pPr>
    <w:rPr>
      <w:rFonts w:ascii="Calibri" w:hAnsi="Calibri" w:eastAsia="宋体" w:cs="Times New Roman"/>
      <w:sz w:val="28"/>
      <w:szCs w:val="22"/>
    </w:rPr>
  </w:style>
  <w:style w:type="paragraph" w:styleId="9">
    <w:name w:val="List Bullet"/>
    <w:basedOn w:val="1"/>
    <w:autoRedefine/>
    <w:qFormat/>
    <w:uiPriority w:val="0"/>
    <w:pPr>
      <w:numPr>
        <w:ilvl w:val="0"/>
        <w:numId w:val="1"/>
      </w:numPr>
    </w:pPr>
  </w:style>
  <w:style w:type="paragraph" w:styleId="10">
    <w:name w:val="Document Map"/>
    <w:basedOn w:val="1"/>
    <w:link w:val="50"/>
    <w:autoRedefine/>
    <w:qFormat/>
    <w:uiPriority w:val="0"/>
    <w:rPr>
      <w:rFonts w:hAnsi="Times New Roman" w:cs="Times New Roman"/>
      <w:bCs w:val="0"/>
      <w:sz w:val="18"/>
      <w:szCs w:val="18"/>
    </w:rPr>
  </w:style>
  <w:style w:type="paragraph" w:styleId="11">
    <w:name w:val="toa heading"/>
    <w:basedOn w:val="1"/>
    <w:next w:val="1"/>
    <w:autoRedefine/>
    <w:semiHidden/>
    <w:qFormat/>
    <w:uiPriority w:val="0"/>
    <w:pPr>
      <w:spacing w:before="120"/>
    </w:pPr>
    <w:rPr>
      <w:rFonts w:ascii="Arial" w:hAnsi="宋体" w:cs="宋体"/>
      <w:kern w:val="0"/>
      <w:sz w:val="24"/>
      <w:szCs w:val="20"/>
    </w:rPr>
  </w:style>
  <w:style w:type="paragraph" w:styleId="12">
    <w:name w:val="annotation text"/>
    <w:basedOn w:val="1"/>
    <w:link w:val="51"/>
    <w:autoRedefine/>
    <w:semiHidden/>
    <w:qFormat/>
    <w:uiPriority w:val="0"/>
    <w:pPr>
      <w:jc w:val="left"/>
    </w:pPr>
    <w:rPr>
      <w:rFonts w:ascii="Times New Roman" w:hAnsi="Times New Roman" w:cs="Times New Roman"/>
      <w:bCs w:val="0"/>
      <w:kern w:val="0"/>
      <w:szCs w:val="20"/>
    </w:rPr>
  </w:style>
  <w:style w:type="paragraph" w:styleId="13">
    <w:name w:val="Body Text"/>
    <w:basedOn w:val="1"/>
    <w:next w:val="14"/>
    <w:link w:val="49"/>
    <w:autoRedefine/>
    <w:qFormat/>
    <w:uiPriority w:val="0"/>
    <w:pPr>
      <w:widowControl/>
      <w:snapToGrid w:val="0"/>
      <w:spacing w:before="60" w:after="160" w:line="259" w:lineRule="auto"/>
      <w:ind w:right="113"/>
    </w:pPr>
    <w:rPr>
      <w:rFonts w:ascii="Times New Roman" w:hAnsi="Times New Roman" w:cs="Times New Roman"/>
      <w:bCs w:val="0"/>
      <w:kern w:val="0"/>
      <w:sz w:val="18"/>
      <w:szCs w:val="20"/>
    </w:rPr>
  </w:style>
  <w:style w:type="paragraph" w:customStyle="1" w:styleId="14">
    <w:name w:val="Normal (Web)1"/>
    <w:basedOn w:val="1"/>
    <w:next w:val="15"/>
    <w:autoRedefine/>
    <w:qFormat/>
    <w:uiPriority w:val="0"/>
    <w:pPr>
      <w:widowControl/>
    </w:pPr>
    <w:rPr>
      <w:rFonts w:ascii="宋体" w:eastAsia="宋体" w:cs="Times New Roman"/>
      <w:sz w:val="24"/>
      <w:szCs w:val="21"/>
    </w:rPr>
  </w:style>
  <w:style w:type="paragraph" w:customStyle="1" w:styleId="15">
    <w:name w:val="Date1"/>
    <w:basedOn w:val="1"/>
    <w:next w:val="1"/>
    <w:autoRedefine/>
    <w:qFormat/>
    <w:uiPriority w:val="0"/>
    <w:pPr>
      <w:ind w:left="2500" w:leftChars="2500"/>
    </w:pPr>
  </w:style>
  <w:style w:type="paragraph" w:styleId="16">
    <w:name w:val="Block Text"/>
    <w:basedOn w:val="1"/>
    <w:next w:val="1"/>
    <w:autoRedefine/>
    <w:qFormat/>
    <w:uiPriority w:val="0"/>
    <w:pPr>
      <w:spacing w:after="120"/>
      <w:ind w:left="1440" w:leftChars="700" w:rightChars="700"/>
    </w:pPr>
    <w:rPr>
      <w:szCs w:val="21"/>
    </w:rPr>
  </w:style>
  <w:style w:type="paragraph" w:styleId="17">
    <w:name w:val="Plain Text"/>
    <w:basedOn w:val="1"/>
    <w:autoRedefine/>
    <w:qFormat/>
    <w:uiPriority w:val="0"/>
    <w:rPr>
      <w:rFonts w:ascii="宋体" w:hAnsi="Courier New" w:eastAsia="仿宋_GB2312"/>
      <w:kern w:val="0"/>
      <w:sz w:val="28"/>
      <w:szCs w:val="20"/>
    </w:rPr>
  </w:style>
  <w:style w:type="paragraph" w:styleId="18">
    <w:name w:val="List Bullet 5"/>
    <w:basedOn w:val="1"/>
    <w:autoRedefine/>
    <w:qFormat/>
    <w:uiPriority w:val="0"/>
    <w:pPr>
      <w:numPr>
        <w:ilvl w:val="0"/>
        <w:numId w:val="2"/>
      </w:numPr>
    </w:pPr>
  </w:style>
  <w:style w:type="paragraph" w:styleId="19">
    <w:name w:val="Date"/>
    <w:basedOn w:val="1"/>
    <w:next w:val="1"/>
    <w:link w:val="53"/>
    <w:autoRedefine/>
    <w:qFormat/>
    <w:uiPriority w:val="0"/>
    <w:pPr>
      <w:ind w:left="100" w:leftChars="2500"/>
    </w:pPr>
    <w:rPr>
      <w:rFonts w:ascii="Times New Roman" w:hAnsi="Times New Roman" w:cs="Times New Roman"/>
      <w:bCs w:val="0"/>
      <w:kern w:val="0"/>
      <w:szCs w:val="20"/>
    </w:rPr>
  </w:style>
  <w:style w:type="paragraph" w:styleId="20">
    <w:name w:val="Body Text Indent 2"/>
    <w:basedOn w:val="1"/>
    <w:autoRedefine/>
    <w:qFormat/>
    <w:uiPriority w:val="0"/>
    <w:pPr>
      <w:spacing w:after="120" w:afterLines="0" w:line="480" w:lineRule="auto"/>
      <w:ind w:left="420" w:leftChars="200"/>
    </w:pPr>
    <w:rPr>
      <w:kern w:val="0"/>
      <w:sz w:val="28"/>
      <w:szCs w:val="20"/>
    </w:rPr>
  </w:style>
  <w:style w:type="paragraph" w:styleId="21">
    <w:name w:val="Balloon Text"/>
    <w:basedOn w:val="1"/>
    <w:link w:val="54"/>
    <w:autoRedefine/>
    <w:semiHidden/>
    <w:qFormat/>
    <w:uiPriority w:val="0"/>
    <w:rPr>
      <w:rFonts w:ascii="Times New Roman" w:hAnsi="Times New Roman" w:cs="Times New Roman"/>
      <w:bCs w:val="0"/>
      <w:kern w:val="0"/>
      <w:sz w:val="18"/>
      <w:szCs w:val="20"/>
    </w:rPr>
  </w:style>
  <w:style w:type="paragraph" w:styleId="22">
    <w:name w:val="footer"/>
    <w:basedOn w:val="1"/>
    <w:link w:val="55"/>
    <w:autoRedefine/>
    <w:qFormat/>
    <w:uiPriority w:val="99"/>
    <w:pPr>
      <w:tabs>
        <w:tab w:val="center" w:pos="4153"/>
        <w:tab w:val="right" w:pos="8306"/>
      </w:tabs>
      <w:snapToGrid w:val="0"/>
      <w:jc w:val="left"/>
    </w:pPr>
    <w:rPr>
      <w:rFonts w:ascii="Times New Roman" w:hAnsi="Times New Roman" w:cs="Times New Roman"/>
      <w:bCs w:val="0"/>
      <w:kern w:val="0"/>
      <w:sz w:val="18"/>
      <w:szCs w:val="20"/>
    </w:rPr>
  </w:style>
  <w:style w:type="paragraph" w:styleId="23">
    <w:name w:val="header"/>
    <w:basedOn w:val="1"/>
    <w:link w:val="56"/>
    <w:autoRedefine/>
    <w:qFormat/>
    <w:uiPriority w:val="0"/>
    <w:pPr>
      <w:pBdr>
        <w:bottom w:val="single" w:color="auto" w:sz="6" w:space="1"/>
      </w:pBdr>
      <w:tabs>
        <w:tab w:val="center" w:pos="4153"/>
        <w:tab w:val="right" w:pos="8306"/>
      </w:tabs>
      <w:snapToGrid w:val="0"/>
      <w:jc w:val="center"/>
    </w:pPr>
    <w:rPr>
      <w:rFonts w:ascii="Times New Roman" w:hAnsi="Times New Roman" w:cs="Times New Roman"/>
      <w:bCs w:val="0"/>
      <w:kern w:val="0"/>
      <w:sz w:val="18"/>
      <w:szCs w:val="20"/>
    </w:rPr>
  </w:style>
  <w:style w:type="paragraph" w:styleId="24">
    <w:name w:val="toc 1"/>
    <w:basedOn w:val="1"/>
    <w:next w:val="1"/>
    <w:autoRedefine/>
    <w:qFormat/>
    <w:uiPriority w:val="39"/>
  </w:style>
  <w:style w:type="paragraph" w:styleId="25">
    <w:name w:val="Subtitle"/>
    <w:basedOn w:val="1"/>
    <w:next w:val="1"/>
    <w:autoRedefine/>
    <w:qFormat/>
    <w:uiPriority w:val="0"/>
    <w:pPr>
      <w:adjustRightInd w:val="0"/>
      <w:snapToGrid w:val="0"/>
      <w:spacing w:before="60"/>
      <w:ind w:firstLine="200" w:firstLineChars="200"/>
      <w:jc w:val="left"/>
    </w:pPr>
    <w:rPr>
      <w:b/>
      <w:kern w:val="28"/>
      <w:sz w:val="24"/>
      <w:szCs w:val="32"/>
    </w:rPr>
  </w:style>
  <w:style w:type="paragraph" w:styleId="26">
    <w:name w:val="List"/>
    <w:basedOn w:val="1"/>
    <w:autoRedefine/>
    <w:qFormat/>
    <w:uiPriority w:val="0"/>
    <w:pPr>
      <w:spacing w:line="360" w:lineRule="exact"/>
      <w:jc w:val="center"/>
    </w:pPr>
    <w:rPr>
      <w:rFonts w:ascii="仿宋_GB2312" w:eastAsia="仿宋_GB2312"/>
      <w:sz w:val="24"/>
      <w:szCs w:val="20"/>
    </w:rPr>
  </w:style>
  <w:style w:type="paragraph" w:styleId="27">
    <w:name w:val="table of figures"/>
    <w:basedOn w:val="1"/>
    <w:next w:val="1"/>
    <w:autoRedefine/>
    <w:qFormat/>
    <w:uiPriority w:val="0"/>
    <w:pPr>
      <w:autoSpaceDE w:val="0"/>
      <w:autoSpaceDN w:val="0"/>
      <w:spacing w:line="360" w:lineRule="auto"/>
      <w:ind w:left="200" w:leftChars="200" w:hanging="200" w:hangingChars="200"/>
    </w:pPr>
    <w:rPr>
      <w:sz w:val="28"/>
      <w:szCs w:val="20"/>
    </w:rPr>
  </w:style>
  <w:style w:type="paragraph" w:styleId="28">
    <w:name w:val="toc 2"/>
    <w:basedOn w:val="1"/>
    <w:next w:val="1"/>
    <w:autoRedefine/>
    <w:unhideWhenUsed/>
    <w:qFormat/>
    <w:uiPriority w:val="39"/>
    <w:pPr>
      <w:widowControl/>
      <w:spacing w:after="100" w:afterLines="0" w:line="276" w:lineRule="auto"/>
      <w:ind w:left="220"/>
      <w:jc w:val="left"/>
    </w:pPr>
    <w:rPr>
      <w:rFonts w:ascii="Calibri" w:hAnsi="Calibri" w:eastAsia="宋体" w:cs="Times New Roman"/>
      <w:kern w:val="0"/>
      <w:sz w:val="22"/>
      <w:szCs w:val="22"/>
    </w:rPr>
  </w:style>
  <w:style w:type="paragraph" w:styleId="29">
    <w:name w:val="toc 9"/>
    <w:basedOn w:val="1"/>
    <w:next w:val="1"/>
    <w:autoRedefine/>
    <w:unhideWhenUsed/>
    <w:qFormat/>
    <w:uiPriority w:val="39"/>
    <w:pPr>
      <w:ind w:left="1680"/>
      <w:jc w:val="left"/>
    </w:pPr>
    <w:rPr>
      <w:rFonts w:ascii="Calibri" w:hAnsi="Calibri" w:cs="Calibri"/>
      <w:sz w:val="20"/>
      <w:szCs w:val="20"/>
    </w:rPr>
  </w:style>
  <w:style w:type="paragraph" w:styleId="30">
    <w:name w:val="Body Text 2"/>
    <w:basedOn w:val="1"/>
    <w:autoRedefine/>
    <w:unhideWhenUsed/>
    <w:qFormat/>
    <w:uiPriority w:val="0"/>
    <w:pPr>
      <w:spacing w:after="120" w:line="480" w:lineRule="auto"/>
    </w:pPr>
  </w:style>
  <w:style w:type="paragraph" w:styleId="31">
    <w:name w:val="Message Header"/>
    <w:basedOn w:val="1"/>
    <w:link w:val="57"/>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mbria" w:hAnsi="Cambria" w:eastAsia="宋体" w:cs="Times New Roman"/>
    </w:rPr>
  </w:style>
  <w:style w:type="paragraph" w:styleId="32">
    <w:name w:val="HTML Preformatted"/>
    <w:basedOn w:val="1"/>
    <w:autoRedefine/>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33">
    <w:name w:val="Normal (Web)"/>
    <w:basedOn w:val="1"/>
    <w:link w:val="58"/>
    <w:autoRedefine/>
    <w:qFormat/>
    <w:uiPriority w:val="0"/>
    <w:pPr>
      <w:widowControl/>
      <w:spacing w:before="100" w:beforeAutospacing="1" w:after="100" w:afterAutospacing="1"/>
      <w:jc w:val="left"/>
    </w:pPr>
    <w:rPr>
      <w:rFonts w:cs="Times New Roman"/>
      <w:bCs w:val="0"/>
      <w:kern w:val="0"/>
      <w:szCs w:val="20"/>
    </w:rPr>
  </w:style>
  <w:style w:type="paragraph" w:styleId="34">
    <w:name w:val="Title"/>
    <w:basedOn w:val="1"/>
    <w:next w:val="1"/>
    <w:autoRedefine/>
    <w:qFormat/>
    <w:uiPriority w:val="0"/>
    <w:pPr>
      <w:pageBreakBefore/>
      <w:jc w:val="left"/>
      <w:outlineLvl w:val="0"/>
    </w:pPr>
    <w:rPr>
      <w:rFonts w:ascii="Cambria" w:hAnsi="Cambria"/>
      <w:b/>
      <w:sz w:val="32"/>
      <w:szCs w:val="32"/>
    </w:rPr>
  </w:style>
  <w:style w:type="paragraph" w:styleId="35">
    <w:name w:val="annotation subject"/>
    <w:basedOn w:val="12"/>
    <w:next w:val="12"/>
    <w:link w:val="59"/>
    <w:autoRedefine/>
    <w:semiHidden/>
    <w:qFormat/>
    <w:uiPriority w:val="0"/>
    <w:rPr>
      <w:b/>
      <w:kern w:val="2"/>
    </w:rPr>
  </w:style>
  <w:style w:type="paragraph" w:styleId="36">
    <w:name w:val="Body Text First Indent"/>
    <w:basedOn w:val="1"/>
    <w:next w:val="1"/>
    <w:autoRedefine/>
    <w:qFormat/>
    <w:uiPriority w:val="0"/>
    <w:pPr>
      <w:spacing w:after="120"/>
      <w:ind w:firstLine="420" w:firstLineChars="100"/>
    </w:pPr>
  </w:style>
  <w:style w:type="table" w:styleId="38">
    <w:name w:val="Table Grid"/>
    <w:basedOn w:val="37"/>
    <w:autoRedefine/>
    <w:qFormat/>
    <w:uiPriority w:val="99"/>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autoRedefine/>
    <w:qFormat/>
    <w:uiPriority w:val="0"/>
    <w:rPr>
      <w:rFonts w:ascii="Times New Roman" w:hAnsi="Times New Roman" w:eastAsia="宋体" w:cs="Times New Roman"/>
      <w:b/>
      <w:bCs/>
      <w:kern w:val="0"/>
      <w:sz w:val="24"/>
      <w:szCs w:val="20"/>
    </w:rPr>
  </w:style>
  <w:style w:type="character" w:styleId="41">
    <w:name w:val="page number"/>
    <w:basedOn w:val="39"/>
    <w:autoRedefine/>
    <w:qFormat/>
    <w:uiPriority w:val="0"/>
  </w:style>
  <w:style w:type="character" w:styleId="42">
    <w:name w:val="Hyperlink"/>
    <w:autoRedefine/>
    <w:unhideWhenUsed/>
    <w:qFormat/>
    <w:uiPriority w:val="99"/>
    <w:rPr>
      <w:color w:val="0000FF"/>
      <w:u w:val="single"/>
    </w:rPr>
  </w:style>
  <w:style w:type="character" w:styleId="43">
    <w:name w:val="annotation reference"/>
    <w:autoRedefine/>
    <w:semiHidden/>
    <w:qFormat/>
    <w:uiPriority w:val="0"/>
    <w:rPr>
      <w:sz w:val="21"/>
    </w:rPr>
  </w:style>
  <w:style w:type="paragraph" w:customStyle="1" w:styleId="44">
    <w:name w:val="xl27"/>
    <w:basedOn w:val="1"/>
    <w:next w:val="45"/>
    <w:autoRedefine/>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45">
    <w:name w:val="A正文"/>
    <w:basedOn w:val="1"/>
    <w:next w:val="13"/>
    <w:autoRedefine/>
    <w:qFormat/>
    <w:uiPriority w:val="0"/>
    <w:pPr>
      <w:widowControl/>
      <w:overflowPunct w:val="0"/>
      <w:autoSpaceDE w:val="0"/>
      <w:autoSpaceDN w:val="0"/>
      <w:jc w:val="left"/>
      <w:textAlignment w:val="baseline"/>
    </w:pPr>
  </w:style>
  <w:style w:type="paragraph" w:customStyle="1" w:styleId="46">
    <w:name w:val="Default"/>
    <w:basedOn w:val="47"/>
    <w:next w:val="1"/>
    <w:autoRedefine/>
    <w:qFormat/>
    <w:uiPriority w:val="0"/>
    <w:pPr>
      <w:widowControl w:val="0"/>
      <w:autoSpaceDE w:val="0"/>
      <w:autoSpaceDN w:val="0"/>
      <w:adjustRightInd w:val="0"/>
    </w:pPr>
    <w:rPr>
      <w:rFonts w:ascii="华文宋体" w:hAnsi="华文宋体" w:cs="华文宋体"/>
      <w:color w:val="000000"/>
      <w:sz w:val="24"/>
      <w:szCs w:val="24"/>
      <w:lang w:val="en-US" w:eastAsia="zh-CN" w:bidi="ar-SA"/>
    </w:rPr>
  </w:style>
  <w:style w:type="paragraph" w:customStyle="1" w:styleId="47">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8">
    <w:name w:val="样式 正文首行缩进 + 首行缩进:  2 字符1"/>
    <w:basedOn w:val="1"/>
    <w:next w:val="24"/>
    <w:autoRedefine/>
    <w:qFormat/>
    <w:uiPriority w:val="0"/>
    <w:pPr>
      <w:spacing w:line="360" w:lineRule="auto"/>
      <w:ind w:firstLine="480" w:firstLineChars="200"/>
    </w:pPr>
    <w:rPr>
      <w:sz w:val="24"/>
    </w:rPr>
  </w:style>
  <w:style w:type="character" w:customStyle="1" w:styleId="49">
    <w:name w:val="正文文本 字符"/>
    <w:link w:val="13"/>
    <w:autoRedefine/>
    <w:qFormat/>
    <w:uiPriority w:val="0"/>
    <w:rPr>
      <w:sz w:val="18"/>
    </w:rPr>
  </w:style>
  <w:style w:type="character" w:customStyle="1" w:styleId="50">
    <w:name w:val="文档结构图 字符"/>
    <w:link w:val="10"/>
    <w:autoRedefine/>
    <w:qFormat/>
    <w:uiPriority w:val="0"/>
    <w:rPr>
      <w:rFonts w:ascii="宋体"/>
      <w:kern w:val="2"/>
      <w:sz w:val="18"/>
      <w:szCs w:val="18"/>
    </w:rPr>
  </w:style>
  <w:style w:type="character" w:customStyle="1" w:styleId="51">
    <w:name w:val="批注文字 字符"/>
    <w:link w:val="12"/>
    <w:autoRedefine/>
    <w:qFormat/>
    <w:uiPriority w:val="0"/>
    <w:rPr>
      <w:rFonts w:ascii="Times New Roman" w:hAnsi="Times New Roman" w:eastAsia="宋体"/>
      <w:sz w:val="24"/>
    </w:rPr>
  </w:style>
  <w:style w:type="character" w:customStyle="1" w:styleId="52">
    <w:name w:val="正文文本缩进 字符"/>
    <w:link w:val="3"/>
    <w:autoRedefine/>
    <w:semiHidden/>
    <w:qFormat/>
    <w:uiPriority w:val="0"/>
    <w:rPr>
      <w:rFonts w:ascii="Times New Roman" w:hAnsi="Times New Roman" w:eastAsia="宋体"/>
      <w:sz w:val="24"/>
    </w:rPr>
  </w:style>
  <w:style w:type="character" w:customStyle="1" w:styleId="53">
    <w:name w:val="日期 字符1"/>
    <w:link w:val="19"/>
    <w:autoRedefine/>
    <w:qFormat/>
    <w:uiPriority w:val="0"/>
    <w:rPr>
      <w:rFonts w:ascii="Times New Roman" w:hAnsi="Times New Roman" w:eastAsia="宋体"/>
      <w:sz w:val="24"/>
    </w:rPr>
  </w:style>
  <w:style w:type="character" w:customStyle="1" w:styleId="54">
    <w:name w:val="批注框文本 字符"/>
    <w:link w:val="21"/>
    <w:autoRedefine/>
    <w:semiHidden/>
    <w:qFormat/>
    <w:uiPriority w:val="0"/>
    <w:rPr>
      <w:rFonts w:ascii="Times New Roman" w:hAnsi="Times New Roman" w:eastAsia="宋体"/>
      <w:sz w:val="18"/>
    </w:rPr>
  </w:style>
  <w:style w:type="character" w:customStyle="1" w:styleId="55">
    <w:name w:val="页脚 字符1"/>
    <w:link w:val="22"/>
    <w:autoRedefine/>
    <w:qFormat/>
    <w:uiPriority w:val="99"/>
    <w:rPr>
      <w:sz w:val="18"/>
    </w:rPr>
  </w:style>
  <w:style w:type="character" w:customStyle="1" w:styleId="56">
    <w:name w:val="页眉 字符"/>
    <w:link w:val="23"/>
    <w:autoRedefine/>
    <w:qFormat/>
    <w:uiPriority w:val="0"/>
    <w:rPr>
      <w:sz w:val="18"/>
    </w:rPr>
  </w:style>
  <w:style w:type="character" w:customStyle="1" w:styleId="57">
    <w:name w:val="信息标题 字符"/>
    <w:link w:val="31"/>
    <w:autoRedefine/>
    <w:qFormat/>
    <w:uiPriority w:val="0"/>
    <w:rPr>
      <w:rFonts w:ascii="Cambria" w:hAnsi="Cambria" w:eastAsia="宋体" w:cs="Times New Roman"/>
      <w:bCs/>
      <w:kern w:val="2"/>
      <w:sz w:val="24"/>
      <w:szCs w:val="24"/>
      <w:shd w:val="pct20" w:color="auto" w:fill="auto"/>
    </w:rPr>
  </w:style>
  <w:style w:type="character" w:customStyle="1" w:styleId="58">
    <w:name w:val="普通(网站) 字符"/>
    <w:link w:val="33"/>
    <w:autoRedefine/>
    <w:qFormat/>
    <w:uiPriority w:val="0"/>
    <w:rPr>
      <w:rFonts w:ascii="宋体" w:hAnsi="宋体" w:eastAsia="宋体"/>
      <w:sz w:val="24"/>
    </w:rPr>
  </w:style>
  <w:style w:type="character" w:customStyle="1" w:styleId="59">
    <w:name w:val="批注主题 字符"/>
    <w:link w:val="35"/>
    <w:autoRedefine/>
    <w:semiHidden/>
    <w:qFormat/>
    <w:uiPriority w:val="0"/>
    <w:rPr>
      <w:rFonts w:ascii="Times New Roman" w:hAnsi="Times New Roman" w:eastAsia="宋体"/>
      <w:b/>
      <w:kern w:val="2"/>
      <w:sz w:val="24"/>
    </w:rPr>
  </w:style>
  <w:style w:type="character" w:customStyle="1" w:styleId="60">
    <w:name w:val="日期 字符"/>
    <w:autoRedefine/>
    <w:semiHidden/>
    <w:qFormat/>
    <w:uiPriority w:val="0"/>
    <w:rPr>
      <w:rFonts w:ascii="Times New Roman" w:hAnsi="Times New Roman" w:eastAsia="宋体"/>
      <w:sz w:val="24"/>
    </w:rPr>
  </w:style>
  <w:style w:type="character" w:customStyle="1" w:styleId="61">
    <w:name w:val="正文文本 (2) Exact"/>
    <w:basedOn w:val="62"/>
    <w:autoRedefine/>
    <w:unhideWhenUsed/>
    <w:qFormat/>
    <w:uiPriority w:val="99"/>
    <w:rPr>
      <w:rFonts w:hint="default" w:ascii="宋体" w:hAnsi="宋体" w:eastAsia="宋体"/>
      <w:sz w:val="22"/>
      <w:lang w:val="en-US" w:eastAsia="en-US"/>
    </w:rPr>
  </w:style>
  <w:style w:type="character" w:customStyle="1" w:styleId="62">
    <w:name w:val="正文文本 (2)_"/>
    <w:basedOn w:val="39"/>
    <w:link w:val="63"/>
    <w:autoRedefine/>
    <w:unhideWhenUsed/>
    <w:qFormat/>
    <w:uiPriority w:val="99"/>
    <w:rPr>
      <w:rFonts w:hint="eastAsia" w:ascii="宋体" w:hAnsi="宋体" w:eastAsia="宋体"/>
      <w:sz w:val="22"/>
    </w:rPr>
  </w:style>
  <w:style w:type="paragraph" w:customStyle="1" w:styleId="63">
    <w:name w:val="正文文本 (2)"/>
    <w:basedOn w:val="1"/>
    <w:link w:val="62"/>
    <w:autoRedefine/>
    <w:unhideWhenUsed/>
    <w:qFormat/>
    <w:uiPriority w:val="99"/>
    <w:pPr>
      <w:shd w:val="clear" w:color="auto" w:fill="FFFFFF"/>
      <w:spacing w:before="720" w:beforeLines="0" w:afterLines="0" w:line="499" w:lineRule="exact"/>
    </w:pPr>
    <w:rPr>
      <w:rFonts w:hint="eastAsia" w:ascii="宋体" w:hAnsi="宋体" w:eastAsia="宋体"/>
      <w:sz w:val="22"/>
    </w:rPr>
  </w:style>
  <w:style w:type="character" w:customStyle="1" w:styleId="64">
    <w:name w:val="NormalCharacter"/>
    <w:autoRedefine/>
    <w:semiHidden/>
    <w:qFormat/>
    <w:uiPriority w:val="0"/>
    <w:rPr>
      <w:rFonts w:ascii="宋体" w:hAnsi="宋体" w:cs="宋体"/>
      <w:bCs/>
      <w:kern w:val="2"/>
      <w:sz w:val="24"/>
      <w:szCs w:val="24"/>
      <w:lang w:val="en-US" w:eastAsia="zh-CN" w:bidi="ar-SA"/>
    </w:rPr>
  </w:style>
  <w:style w:type="character" w:customStyle="1" w:styleId="65">
    <w:name w:val="批注文字 字符1"/>
    <w:autoRedefine/>
    <w:semiHidden/>
    <w:qFormat/>
    <w:uiPriority w:val="0"/>
    <w:rPr>
      <w:rFonts w:ascii="Times New Roman" w:hAnsi="Times New Roman" w:eastAsia="宋体"/>
      <w:sz w:val="24"/>
    </w:rPr>
  </w:style>
  <w:style w:type="character" w:customStyle="1" w:styleId="66">
    <w:name w:val="页脚 字符"/>
    <w:basedOn w:val="39"/>
    <w:autoRedefine/>
    <w:qFormat/>
    <w:uiPriority w:val="99"/>
  </w:style>
  <w:style w:type="character" w:customStyle="1" w:styleId="67">
    <w:name w:val="fontstyle01"/>
    <w:autoRedefine/>
    <w:qFormat/>
    <w:uiPriority w:val="0"/>
    <w:rPr>
      <w:rFonts w:hint="eastAsia" w:ascii="宋体" w:hAnsi="宋体" w:eastAsia="宋体"/>
      <w:color w:val="000000"/>
      <w:sz w:val="24"/>
      <w:szCs w:val="24"/>
    </w:rPr>
  </w:style>
  <w:style w:type="character" w:customStyle="1" w:styleId="68">
    <w:name w:val="【正文】 Char"/>
    <w:autoRedefine/>
    <w:qFormat/>
    <w:uiPriority w:val="0"/>
    <w:rPr>
      <w:sz w:val="24"/>
      <w:szCs w:val="24"/>
    </w:rPr>
  </w:style>
  <w:style w:type="character" w:customStyle="1" w:styleId="69">
    <w:name w:val="表中字 Char"/>
    <w:link w:val="70"/>
    <w:autoRedefine/>
    <w:qFormat/>
    <w:uiPriority w:val="0"/>
    <w:rPr>
      <w:kern w:val="2"/>
      <w:sz w:val="21"/>
      <w:szCs w:val="22"/>
      <w:lang w:val="zh-CN" w:bidi="ar-SA"/>
    </w:rPr>
  </w:style>
  <w:style w:type="paragraph" w:customStyle="1" w:styleId="70">
    <w:name w:val="表中字"/>
    <w:link w:val="69"/>
    <w:autoRedefine/>
    <w:qFormat/>
    <w:uiPriority w:val="0"/>
    <w:pPr>
      <w:jc w:val="center"/>
    </w:pPr>
    <w:rPr>
      <w:rFonts w:ascii="Times New Roman" w:hAnsi="Times New Roman" w:eastAsia="宋体" w:cs="Times New Roman"/>
      <w:kern w:val="2"/>
      <w:sz w:val="21"/>
      <w:szCs w:val="22"/>
      <w:lang w:val="zh-CN" w:eastAsia="zh-CN" w:bidi="ar-SA"/>
    </w:rPr>
  </w:style>
  <w:style w:type="character" w:customStyle="1" w:styleId="71">
    <w:name w:val="正文文本 字符1"/>
    <w:autoRedefine/>
    <w:semiHidden/>
    <w:qFormat/>
    <w:uiPriority w:val="0"/>
    <w:rPr>
      <w:rFonts w:ascii="Times New Roman" w:hAnsi="Times New Roman" w:eastAsia="宋体"/>
      <w:sz w:val="24"/>
    </w:rPr>
  </w:style>
  <w:style w:type="character" w:customStyle="1" w:styleId="72">
    <w:name w:val="表格 Char"/>
    <w:link w:val="73"/>
    <w:autoRedefine/>
    <w:qFormat/>
    <w:uiPriority w:val="0"/>
    <w:rPr>
      <w:rFonts w:ascii="宋体"/>
      <w:sz w:val="21"/>
    </w:rPr>
  </w:style>
  <w:style w:type="paragraph" w:customStyle="1" w:styleId="73">
    <w:name w:val="表格"/>
    <w:basedOn w:val="26"/>
    <w:next w:val="1"/>
    <w:link w:val="72"/>
    <w:autoRedefine/>
    <w:qFormat/>
    <w:uiPriority w:val="0"/>
    <w:pPr>
      <w:adjustRightInd w:val="0"/>
      <w:snapToGrid w:val="0"/>
      <w:spacing w:beforeLines="10" w:afterLines="10" w:line="259" w:lineRule="auto"/>
      <w:jc w:val="center"/>
    </w:pPr>
    <w:rPr>
      <w:rFonts w:hAnsi="Times New Roman" w:cs="Times New Roman"/>
      <w:bCs w:val="0"/>
      <w:kern w:val="0"/>
      <w:sz w:val="21"/>
      <w:szCs w:val="20"/>
    </w:rPr>
  </w:style>
  <w:style w:type="character" w:customStyle="1" w:styleId="74">
    <w:name w:val="【正文】 Char1"/>
    <w:link w:val="75"/>
    <w:autoRedefine/>
    <w:qFormat/>
    <w:uiPriority w:val="0"/>
    <w:rPr>
      <w:kern w:val="2"/>
      <w:sz w:val="24"/>
      <w:szCs w:val="24"/>
    </w:rPr>
  </w:style>
  <w:style w:type="paragraph" w:customStyle="1" w:styleId="75">
    <w:name w:val="【正文】"/>
    <w:basedOn w:val="1"/>
    <w:next w:val="31"/>
    <w:link w:val="74"/>
    <w:autoRedefine/>
    <w:qFormat/>
    <w:uiPriority w:val="0"/>
    <w:pPr>
      <w:adjustRightInd/>
      <w:snapToGrid/>
      <w:ind w:firstLine="200"/>
    </w:pPr>
    <w:rPr>
      <w:rFonts w:ascii="Times New Roman" w:hAnsi="Times New Roman" w:cs="Times New Roman"/>
      <w:bCs w:val="0"/>
      <w:kern w:val="0"/>
    </w:rPr>
  </w:style>
  <w:style w:type="character" w:customStyle="1" w:styleId="76">
    <w:name w:val="表头 Char"/>
    <w:link w:val="77"/>
    <w:autoRedefine/>
    <w:qFormat/>
    <w:uiPriority w:val="0"/>
    <w:rPr>
      <w:rFonts w:cs="宋体"/>
      <w:b/>
      <w:kern w:val="2"/>
      <w:sz w:val="24"/>
      <w:szCs w:val="24"/>
      <w:lang w:val="en-US" w:eastAsia="zh-CN" w:bidi="ar-SA"/>
    </w:rPr>
  </w:style>
  <w:style w:type="paragraph" w:customStyle="1" w:styleId="77">
    <w:name w:val="表头"/>
    <w:basedOn w:val="78"/>
    <w:next w:val="17"/>
    <w:link w:val="76"/>
    <w:autoRedefine/>
    <w:qFormat/>
    <w:uiPriority w:val="0"/>
    <w:pPr>
      <w:adjustRightInd w:val="0"/>
      <w:snapToGrid w:val="0"/>
      <w:jc w:val="center"/>
    </w:pPr>
    <w:rPr>
      <w:rFonts w:cs="宋体"/>
      <w:b/>
      <w:kern w:val="2"/>
      <w:sz w:val="24"/>
      <w:szCs w:val="24"/>
      <w:lang w:val="en-US" w:eastAsia="zh-CN" w:bidi="ar-SA"/>
    </w:rPr>
  </w:style>
  <w:style w:type="paragraph" w:customStyle="1" w:styleId="78">
    <w:name w:val="样式4"/>
    <w:basedOn w:val="1"/>
    <w:autoRedefine/>
    <w:qFormat/>
    <w:uiPriority w:val="0"/>
    <w:pPr>
      <w:adjustRightInd w:val="0"/>
      <w:snapToGrid w:val="0"/>
      <w:jc w:val="center"/>
    </w:pPr>
    <w:rPr>
      <w:sz w:val="24"/>
      <w:szCs w:val="20"/>
    </w:rPr>
  </w:style>
  <w:style w:type="paragraph" w:customStyle="1" w:styleId="79">
    <w:name w:val="②JM正文"/>
    <w:basedOn w:val="80"/>
    <w:autoRedefine/>
    <w:qFormat/>
    <w:uiPriority w:val="0"/>
    <w:pPr>
      <w:ind w:firstLine="720" w:firstLineChars="200"/>
    </w:pPr>
  </w:style>
  <w:style w:type="paragraph" w:customStyle="1" w:styleId="80">
    <w:name w:val="②JM正文 顶格"/>
    <w:basedOn w:val="81"/>
    <w:next w:val="79"/>
    <w:autoRedefine/>
    <w:qFormat/>
    <w:uiPriority w:val="0"/>
    <w:pPr>
      <w:jc w:val="left"/>
    </w:pPr>
  </w:style>
  <w:style w:type="paragraph" w:customStyle="1" w:styleId="81">
    <w:name w:val="①JM表格 居中"/>
    <w:basedOn w:val="1"/>
    <w:next w:val="1"/>
    <w:autoRedefine/>
    <w:qFormat/>
    <w:uiPriority w:val="0"/>
    <w:pPr>
      <w:spacing w:line="240" w:lineRule="auto"/>
      <w:ind w:firstLine="0" w:firstLineChars="0"/>
      <w:jc w:val="center"/>
    </w:pPr>
    <w:rPr>
      <w:rFonts w:ascii="Times New Roman" w:hAnsi="Times New Roman"/>
      <w:sz w:val="21"/>
    </w:rPr>
  </w:style>
  <w:style w:type="paragraph" w:customStyle="1" w:styleId="82">
    <w:name w:val="首行缩进正文"/>
    <w:basedOn w:val="75"/>
    <w:autoRedefine/>
    <w:qFormat/>
    <w:uiPriority w:val="0"/>
    <w:pPr>
      <w:spacing w:line="240" w:lineRule="auto"/>
    </w:pPr>
    <w:rPr>
      <w:sz w:val="21"/>
    </w:rPr>
  </w:style>
  <w:style w:type="paragraph" w:customStyle="1" w:styleId="83">
    <w:name w:val="_Style 75"/>
    <w:autoRedefine/>
    <w:semiHidden/>
    <w:qFormat/>
    <w:uiPriority w:val="99"/>
    <w:rPr>
      <w:rFonts w:ascii="宋体" w:hAnsi="宋体" w:eastAsia="宋体" w:cs="宋体"/>
      <w:bCs/>
      <w:kern w:val="2"/>
      <w:sz w:val="24"/>
      <w:szCs w:val="24"/>
      <w:lang w:val="en-US" w:eastAsia="zh-CN" w:bidi="ar-SA"/>
    </w:rPr>
  </w:style>
  <w:style w:type="paragraph" w:customStyle="1" w:styleId="84">
    <w:name w:val="_Style 76"/>
    <w:basedOn w:val="4"/>
    <w:next w:val="1"/>
    <w:autoRedefine/>
    <w:qFormat/>
    <w:uiPriority w:val="39"/>
    <w:pPr>
      <w:keepLines/>
      <w:widowControl/>
      <w:overflowPunct/>
      <w:snapToGrid/>
      <w:spacing w:before="480" w:after="0" w:line="276" w:lineRule="auto"/>
      <w:ind w:left="0" w:firstLine="0"/>
      <w:jc w:val="left"/>
      <w:outlineLvl w:val="9"/>
    </w:pPr>
    <w:rPr>
      <w:rFonts w:ascii="Cambria" w:hAnsi="Cambria" w:eastAsia="宋体" w:cs="Times New Roman"/>
      <w:color w:val="365F91"/>
      <w:kern w:val="0"/>
      <w:sz w:val="28"/>
      <w:szCs w:val="28"/>
    </w:rPr>
  </w:style>
  <w:style w:type="paragraph" w:customStyle="1" w:styleId="85">
    <w:name w:val="D表内1磅"/>
    <w:basedOn w:val="1"/>
    <w:autoRedefine/>
    <w:qFormat/>
    <w:uiPriority w:val="0"/>
    <w:pPr>
      <w:spacing w:before="20" w:after="20"/>
      <w:jc w:val="center"/>
    </w:pPr>
    <w:rPr>
      <w:szCs w:val="21"/>
    </w:rPr>
  </w:style>
  <w:style w:type="paragraph" w:customStyle="1" w:styleId="86">
    <w:name w:val="ZH表头"/>
    <w:basedOn w:val="1"/>
    <w:autoRedefine/>
    <w:qFormat/>
    <w:uiPriority w:val="0"/>
    <w:pPr>
      <w:spacing w:beforeLines="50" w:after="100" w:afterAutospacing="1" w:line="360" w:lineRule="auto"/>
      <w:jc w:val="center"/>
    </w:pPr>
    <w:rPr>
      <w:b/>
      <w:szCs w:val="21"/>
    </w:rPr>
  </w:style>
  <w:style w:type="paragraph" w:customStyle="1" w:styleId="87">
    <w:name w:val="②JM表格 居中 仿宋"/>
    <w:basedOn w:val="88"/>
    <w:next w:val="79"/>
    <w:autoRedefine/>
    <w:qFormat/>
    <w:uiPriority w:val="0"/>
    <w:rPr>
      <w:b w:val="0"/>
    </w:rPr>
  </w:style>
  <w:style w:type="paragraph" w:customStyle="1" w:styleId="88">
    <w:name w:val="②JM表格小标题 仿宋"/>
    <w:basedOn w:val="81"/>
    <w:next w:val="79"/>
    <w:autoRedefine/>
    <w:qFormat/>
    <w:uiPriority w:val="0"/>
    <w:rPr>
      <w:rFonts w:eastAsia="仿宋"/>
      <w:b/>
    </w:rPr>
  </w:style>
  <w:style w:type="paragraph" w:customStyle="1" w:styleId="89">
    <w:name w:val="设计表格"/>
    <w:basedOn w:val="1"/>
    <w:autoRedefine/>
    <w:qFormat/>
    <w:uiPriority w:val="0"/>
    <w:pPr>
      <w:adjustRightInd w:val="0"/>
      <w:jc w:val="center"/>
    </w:pPr>
    <w:rPr>
      <w:kern w:val="0"/>
      <w:sz w:val="24"/>
    </w:rPr>
  </w:style>
  <w:style w:type="paragraph" w:customStyle="1" w:styleId="90">
    <w:name w:val="内容"/>
    <w:basedOn w:val="1"/>
    <w:autoRedefine/>
    <w:qFormat/>
    <w:uiPriority w:val="0"/>
    <w:pPr>
      <w:spacing w:beforeLines="50" w:afterLines="50"/>
      <w:ind w:firstLine="200" w:firstLineChars="200"/>
    </w:pPr>
    <w:rPr>
      <w:rFonts w:ascii="Times New Roman" w:hAnsi="Times New Roman" w:cs="Times New Roman"/>
      <w:color w:val="000000"/>
      <w:kern w:val="0"/>
      <w:sz w:val="24"/>
      <w:szCs w:val="24"/>
    </w:rPr>
  </w:style>
  <w:style w:type="paragraph" w:customStyle="1" w:styleId="91">
    <w:name w:val="正文样式1"/>
    <w:basedOn w:val="1"/>
    <w:autoRedefine/>
    <w:qFormat/>
    <w:uiPriority w:val="0"/>
    <w:pPr>
      <w:adjustRightInd w:val="0"/>
      <w:spacing w:line="288" w:lineRule="auto"/>
      <w:ind w:firstLine="360" w:firstLineChars="150"/>
      <w:textAlignment w:val="baseline"/>
    </w:pPr>
    <w:rPr>
      <w:kern w:val="0"/>
      <w:sz w:val="24"/>
      <w:szCs w:val="20"/>
    </w:rPr>
  </w:style>
  <w:style w:type="paragraph" w:customStyle="1" w:styleId="92">
    <w:name w:val="BodyTextIndent2"/>
    <w:basedOn w:val="1"/>
    <w:autoRedefine/>
    <w:qFormat/>
    <w:uiPriority w:val="0"/>
    <w:pPr>
      <w:spacing w:after="120" w:line="480" w:lineRule="auto"/>
      <w:ind w:left="420" w:leftChars="200"/>
      <w:jc w:val="both"/>
      <w:textAlignment w:val="baseline"/>
    </w:pPr>
    <w:rPr>
      <w:rFonts w:ascii="Calibri" w:hAnsi="Calibri"/>
      <w:kern w:val="2"/>
      <w:sz w:val="28"/>
      <w:szCs w:val="20"/>
      <w:lang w:val="en-US" w:eastAsia="zh-CN" w:bidi="ar-SA"/>
    </w:rPr>
  </w:style>
  <w:style w:type="paragraph" w:styleId="93">
    <w:name w:val="List Paragraph"/>
    <w:basedOn w:val="1"/>
    <w:autoRedefine/>
    <w:qFormat/>
    <w:uiPriority w:val="34"/>
    <w:pPr>
      <w:ind w:firstLine="420" w:firstLineChars="200"/>
    </w:pPr>
  </w:style>
  <w:style w:type="paragraph" w:customStyle="1" w:styleId="94">
    <w:name w:val="Body text|1"/>
    <w:basedOn w:val="1"/>
    <w:autoRedefine/>
    <w:qFormat/>
    <w:uiPriority w:val="0"/>
    <w:pPr>
      <w:widowControl w:val="0"/>
      <w:shd w:val="clear" w:color="auto" w:fill="auto"/>
      <w:spacing w:line="379" w:lineRule="auto"/>
      <w:ind w:firstLine="70"/>
    </w:pPr>
    <w:rPr>
      <w:rFonts w:ascii="宋体" w:hAnsi="宋体" w:eastAsia="宋体" w:cs="宋体"/>
      <w:sz w:val="20"/>
      <w:szCs w:val="20"/>
      <w:u w:val="none"/>
      <w:shd w:val="clear" w:color="auto" w:fill="auto"/>
      <w:lang w:val="zh-TW" w:eastAsia="zh-TW" w:bidi="zh-TW"/>
    </w:rPr>
  </w:style>
  <w:style w:type="paragraph" w:customStyle="1" w:styleId="95">
    <w:name w:val="报告书正文"/>
    <w:basedOn w:val="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96">
    <w:name w:val="正文首行缩进1"/>
    <w:basedOn w:val="13"/>
    <w:next w:val="1"/>
    <w:autoRedefine/>
    <w:qFormat/>
    <w:uiPriority w:val="0"/>
    <w:pPr>
      <w:widowControl w:val="0"/>
      <w:adjustRightInd/>
      <w:snapToGrid/>
      <w:spacing w:before="100" w:beforeAutospacing="1" w:after="120" w:line="240" w:lineRule="auto"/>
      <w:ind w:right="0" w:firstLine="420" w:firstLineChars="100"/>
    </w:pPr>
    <w:rPr>
      <w:kern w:val="2"/>
      <w:sz w:val="21"/>
      <w:szCs w:val="21"/>
      <w:lang w:val="en-US" w:eastAsia="zh-CN"/>
    </w:rPr>
  </w:style>
  <w:style w:type="paragraph" w:customStyle="1" w:styleId="97">
    <w:name w:val="表中文字（工大）"/>
    <w:basedOn w:val="1"/>
    <w:autoRedefine/>
    <w:qFormat/>
    <w:uiPriority w:val="0"/>
    <w:pPr>
      <w:adjustRightInd/>
      <w:snapToGrid/>
      <w:spacing w:line="400" w:lineRule="exact"/>
      <w:ind w:firstLine="0" w:firstLineChars="0"/>
      <w:jc w:val="center"/>
    </w:pPr>
    <w:rPr>
      <w:rFonts w:ascii="Times New Roman" w:hAnsi="Times New Roman" w:cs="Times New Roman"/>
      <w:bCs w:val="0"/>
      <w:sz w:val="21"/>
      <w:szCs w:val="21"/>
    </w:rPr>
  </w:style>
  <w:style w:type="paragraph" w:customStyle="1" w:styleId="98">
    <w:name w:val="文章正文样式"/>
    <w:basedOn w:val="1"/>
    <w:autoRedefine/>
    <w:qFormat/>
    <w:uiPriority w:val="0"/>
    <w:pPr>
      <w:spacing w:line="520" w:lineRule="exact"/>
      <w:ind w:firstLine="480" w:firstLineChars="200"/>
      <w:jc w:val="left"/>
    </w:pPr>
    <w:rPr>
      <w:rFonts w:ascii="宋体" w:hAnsi="宋体"/>
      <w:sz w:val="24"/>
    </w:rPr>
  </w:style>
  <w:style w:type="paragraph" w:customStyle="1" w:styleId="99">
    <w:name w:val="表格题目"/>
    <w:basedOn w:val="1"/>
    <w:autoRedefine/>
    <w:qFormat/>
    <w:uiPriority w:val="0"/>
    <w:pPr>
      <w:spacing w:line="240" w:lineRule="atLeast"/>
      <w:jc w:val="center"/>
    </w:pPr>
    <w:rPr>
      <w:rFonts w:ascii="黑体" w:hAnsi="宋体" w:eastAsia="黑体"/>
      <w:sz w:val="24"/>
    </w:rPr>
  </w:style>
  <w:style w:type="paragraph" w:customStyle="1" w:styleId="100">
    <w:name w:val="UserStyle_3"/>
    <w:autoRedefine/>
    <w:qFormat/>
    <w:uiPriority w:val="0"/>
    <w:pPr>
      <w:widowControl/>
      <w:jc w:val="center"/>
      <w:textAlignment w:val="baseline"/>
    </w:pPr>
    <w:rPr>
      <w:rFonts w:ascii="Times New Roman" w:hAnsi="Times New Roman" w:eastAsia="宋体" w:cs="Times New Roman"/>
      <w:kern w:val="2"/>
      <w:sz w:val="21"/>
      <w:szCs w:val="22"/>
      <w:lang w:val="zh-CN" w:eastAsia="zh-CN" w:bidi="ar-SA"/>
    </w:rPr>
  </w:style>
  <w:style w:type="paragraph" w:customStyle="1" w:styleId="101">
    <w:name w:val="正文1"/>
    <w:basedOn w:val="1"/>
    <w:autoRedefine/>
    <w:qFormat/>
    <w:uiPriority w:val="0"/>
    <w:pPr>
      <w:adjustRightInd w:val="0"/>
      <w:spacing w:line="360" w:lineRule="atLeast"/>
      <w:jc w:val="left"/>
      <w:textAlignment w:val="baseline"/>
    </w:pPr>
    <w:rPr>
      <w:rFonts w:ascii="宋体"/>
      <w:kern w:val="0"/>
      <w:sz w:val="24"/>
      <w:szCs w:val="20"/>
    </w:rPr>
  </w:style>
  <w:style w:type="paragraph" w:customStyle="1" w:styleId="102">
    <w:name w:val="正文_15"/>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03">
    <w:name w:val="表格内容"/>
    <w:basedOn w:val="1"/>
    <w:autoRedefine/>
    <w:qFormat/>
    <w:uiPriority w:val="0"/>
    <w:pPr>
      <w:adjustRightInd/>
      <w:snapToGrid/>
      <w:ind w:firstLine="0" w:firstLineChars="0"/>
      <w:jc w:val="center"/>
      <w:textAlignment w:val="baseline"/>
    </w:pPr>
    <w:rPr>
      <w:rFonts w:ascii="Times New Roman" w:hAnsi="Times New Roman" w:cs="Times New Roman"/>
      <w:bCs w:val="0"/>
      <w:sz w:val="21"/>
      <w:szCs w:val="21"/>
    </w:rPr>
  </w:style>
  <w:style w:type="paragraph" w:customStyle="1" w:styleId="104">
    <w:name w:val="正文 首行缩进:  2 字符"/>
    <w:basedOn w:val="1"/>
    <w:autoRedefine/>
    <w:qFormat/>
    <w:uiPriority w:val="0"/>
    <w:pPr>
      <w:ind w:firstLine="579" w:firstLineChars="200"/>
    </w:pPr>
    <w:rPr>
      <w:sz w:val="28"/>
      <w:szCs w:val="20"/>
    </w:rPr>
  </w:style>
  <w:style w:type="paragraph" w:customStyle="1" w:styleId="105">
    <w:name w:val="表头和图片"/>
    <w:basedOn w:val="17"/>
    <w:next w:val="1"/>
    <w:autoRedefine/>
    <w:qFormat/>
    <w:uiPriority w:val="0"/>
    <w:pPr>
      <w:spacing w:line="480" w:lineRule="exact"/>
      <w:jc w:val="center"/>
    </w:pPr>
    <w:rPr>
      <w:rFonts w:ascii="Times New Roman" w:hAnsi="Times New Roman" w:eastAsia="黑体"/>
      <w:b/>
      <w:kern w:val="0"/>
      <w:sz w:val="20"/>
      <w:szCs w:val="20"/>
    </w:rPr>
  </w:style>
  <w:style w:type="paragraph" w:customStyle="1" w:styleId="106">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07">
    <w:name w:val="四级标题"/>
    <w:basedOn w:val="7"/>
    <w:next w:val="1"/>
    <w:autoRedefine/>
    <w:qFormat/>
    <w:uiPriority w:val="0"/>
    <w:pPr>
      <w:spacing w:before="0" w:after="0" w:line="480" w:lineRule="exact"/>
    </w:pPr>
    <w:rPr>
      <w:rFonts w:ascii="Times New Roman" w:hAnsi="Times New Roman"/>
      <w:color w:val="0070C0"/>
      <w:sz w:val="24"/>
    </w:rPr>
  </w:style>
  <w:style w:type="paragraph" w:customStyle="1" w:styleId="108">
    <w:name w:val="样式 标题 2"/>
    <w:basedOn w:val="5"/>
    <w:autoRedefine/>
    <w:qFormat/>
    <w:uiPriority w:val="0"/>
    <w:pPr>
      <w:spacing w:before="50" w:beforeLines="0" w:after="50" w:afterLines="0" w:line="416" w:lineRule="auto"/>
      <w:ind w:firstLine="0"/>
    </w:pPr>
    <w:rPr>
      <w:rFonts w:ascii="Arial" w:hAnsi="Arial" w:eastAsia="黑体"/>
      <w:kern w:val="2"/>
      <w:sz w:val="32"/>
      <w:szCs w:val="28"/>
    </w:rPr>
  </w:style>
  <w:style w:type="paragraph" w:customStyle="1" w:styleId="109">
    <w:name w:val="Table Paragraph"/>
    <w:basedOn w:val="1"/>
    <w:autoRedefine/>
    <w:qFormat/>
    <w:uiPriority w:val="0"/>
    <w:pPr>
      <w:jc w:val="left"/>
    </w:pPr>
    <w:rPr>
      <w:rFonts w:ascii="Calibri" w:hAnsi="Calibri"/>
      <w:kern w:val="0"/>
      <w:sz w:val="22"/>
      <w:szCs w:val="22"/>
      <w:lang w:eastAsia="en-US"/>
    </w:rPr>
  </w:style>
  <w:style w:type="paragraph" w:customStyle="1" w:styleId="110">
    <w:name w:val="表格式"/>
    <w:basedOn w:val="26"/>
    <w:autoRedefine/>
    <w:qFormat/>
    <w:uiPriority w:val="0"/>
    <w:pPr>
      <w:widowControl/>
      <w:spacing w:line="400" w:lineRule="exact"/>
      <w:ind w:left="0" w:firstLine="0" w:firstLineChars="0"/>
      <w:jc w:val="center"/>
    </w:pPr>
    <w:rPr>
      <w:rFonts w:ascii="宋体" w:hAnsi="宋体" w:cs="宋体"/>
      <w:kern w:val="0"/>
      <w:sz w:val="24"/>
    </w:rPr>
  </w:style>
  <w:style w:type="paragraph" w:customStyle="1" w:styleId="111">
    <w:name w:val="表格文字"/>
    <w:basedOn w:val="13"/>
    <w:next w:val="1"/>
    <w:autoRedefine/>
    <w:qFormat/>
    <w:uiPriority w:val="0"/>
    <w:pPr>
      <w:widowControl/>
      <w:adjustRightInd/>
      <w:snapToGrid/>
      <w:spacing w:line="240" w:lineRule="auto"/>
      <w:ind w:firstLine="0" w:firstLineChars="0"/>
      <w:jc w:val="center"/>
    </w:pPr>
    <w:rPr>
      <w:kern w:val="0"/>
      <w:sz w:val="21"/>
      <w:szCs w:val="21"/>
    </w:rPr>
  </w:style>
  <w:style w:type="paragraph" w:customStyle="1" w:styleId="112">
    <w:name w:val="11111"/>
    <w:basedOn w:val="1"/>
    <w:next w:val="1"/>
    <w:autoRedefine/>
    <w:qFormat/>
    <w:uiPriority w:val="0"/>
    <w:pPr>
      <w:adjustRightInd/>
      <w:snapToGrid/>
      <w:ind w:firstLine="200"/>
    </w:pPr>
    <w:rPr>
      <w:bCs w:val="0"/>
    </w:rPr>
  </w:style>
  <w:style w:type="paragraph" w:customStyle="1" w:styleId="113">
    <w:name w:val="C【表中文字】-"/>
    <w:basedOn w:val="1"/>
    <w:autoRedefine/>
    <w:qFormat/>
    <w:uiPriority w:val="0"/>
    <w:pPr>
      <w:adjustRightInd w:val="0"/>
      <w:snapToGrid w:val="0"/>
      <w:jc w:val="center"/>
    </w:pPr>
    <w:rPr>
      <w:kern w:val="0"/>
      <w:sz w:val="18"/>
      <w:szCs w:val="20"/>
    </w:rPr>
  </w:style>
  <w:style w:type="paragraph" w:customStyle="1" w:styleId="114">
    <w:name w:val="C首行缩进正文"/>
    <w:basedOn w:val="75"/>
    <w:autoRedefine/>
    <w:qFormat/>
    <w:uiPriority w:val="0"/>
  </w:style>
  <w:style w:type="paragraph" w:customStyle="1" w:styleId="115">
    <w:name w:val="样式 标题 1 + 首行缩进:  2 字符"/>
    <w:basedOn w:val="4"/>
    <w:autoRedefine/>
    <w:qFormat/>
    <w:uiPriority w:val="0"/>
    <w:pPr>
      <w:tabs>
        <w:tab w:val="left" w:leader="middleDot" w:pos="7371"/>
      </w:tabs>
      <w:ind w:firstLine="200" w:firstLineChars="200"/>
    </w:pPr>
    <w:rPr>
      <w:rFonts w:cs="宋体"/>
      <w:szCs w:val="20"/>
    </w:rPr>
  </w:style>
  <w:style w:type="paragraph" w:customStyle="1" w:styleId="116">
    <w:name w:val="表格正文"/>
    <w:basedOn w:val="1"/>
    <w:autoRedefine/>
    <w:qFormat/>
    <w:uiPriority w:val="0"/>
    <w:pPr>
      <w:jc w:val="center"/>
    </w:pPr>
    <w:rPr>
      <w:rFonts w:ascii="Times New Roman" w:hAnsi="Times New Roman"/>
      <w:szCs w:val="20"/>
    </w:rPr>
  </w:style>
  <w:style w:type="paragraph" w:customStyle="1" w:styleId="117">
    <w:name w:val="报告表正文"/>
    <w:basedOn w:val="1"/>
    <w:autoRedefine/>
    <w:qFormat/>
    <w:uiPriority w:val="0"/>
    <w:pPr>
      <w:adjustRightInd w:val="0"/>
      <w:spacing w:line="312" w:lineRule="auto"/>
      <w:ind w:left="113" w:right="113" w:firstLine="482"/>
      <w:jc w:val="left"/>
      <w:textAlignment w:val="baseline"/>
    </w:pPr>
    <w:rPr>
      <w:rFonts w:ascii="Times New Roman" w:hAnsi="Times New Roman" w:eastAsia="宋体" w:cs="Times New Roman"/>
    </w:rPr>
  </w:style>
  <w:style w:type="paragraph" w:customStyle="1" w:styleId="118">
    <w:name w:val="【表头】"/>
    <w:basedOn w:val="1"/>
    <w:next w:val="1"/>
    <w:autoRedefine/>
    <w:qFormat/>
    <w:uiPriority w:val="0"/>
    <w:pPr>
      <w:keepNext/>
      <w:adjustRightInd w:val="0"/>
      <w:snapToGrid w:val="0"/>
      <w:jc w:val="center"/>
    </w:pPr>
    <w:rPr>
      <w:rFonts w:eastAsia="黑体"/>
      <w:b/>
      <w:kern w:val="0"/>
      <w:szCs w:val="20"/>
    </w:rPr>
  </w:style>
  <w:style w:type="paragraph" w:customStyle="1" w:styleId="119">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120">
    <w:name w:val="【正文四号】"/>
    <w:basedOn w:val="1"/>
    <w:autoRedefine/>
    <w:qFormat/>
    <w:uiPriority w:val="0"/>
    <w:pPr>
      <w:spacing w:line="360" w:lineRule="auto"/>
      <w:ind w:firstLine="480" w:firstLineChars="200"/>
    </w:pPr>
    <w:rPr>
      <w:rFonts w:ascii="Times New Roman" w:hAnsi="Times New Roman"/>
      <w:sz w:val="28"/>
      <w:szCs w:val="24"/>
    </w:rPr>
  </w:style>
  <w:style w:type="paragraph" w:customStyle="1" w:styleId="121">
    <w:name w:val="正文五号缩进正文（首行缩进两字） + 宋体 行距: 1.5 倍行距"/>
    <w:basedOn w:val="8"/>
    <w:autoRedefine/>
    <w:qFormat/>
    <w:uiPriority w:val="0"/>
    <w:pPr>
      <w:spacing w:after="120" w:afterLines="50" w:line="300" w:lineRule="auto"/>
      <w:ind w:firstLine="482"/>
      <w:jc w:val="left"/>
    </w:pPr>
    <w:rPr>
      <w:rFonts w:ascii="宋体" w:hAnsi="宋体" w:eastAsia="宋体"/>
      <w:sz w:val="21"/>
      <w:szCs w:val="28"/>
    </w:rPr>
  </w:style>
  <w:style w:type="paragraph" w:customStyle="1" w:styleId="122">
    <w:name w:val="文本"/>
    <w:basedOn w:val="1"/>
    <w:autoRedefine/>
    <w:qFormat/>
    <w:uiPriority w:val="0"/>
    <w:pPr>
      <w:adjustRightInd w:val="0"/>
      <w:jc w:val="left"/>
      <w:textAlignment w:val="baseline"/>
    </w:pPr>
    <w:rPr>
      <w:rFonts w:ascii="宋体"/>
      <w:kern w:val="0"/>
      <w:sz w:val="28"/>
      <w:szCs w:val="20"/>
    </w:rPr>
  </w:style>
  <w:style w:type="paragraph" w:customStyle="1" w:styleId="123">
    <w:name w:val="我的正文"/>
    <w:basedOn w:val="1"/>
    <w:autoRedefine/>
    <w:qFormat/>
    <w:uiPriority w:val="0"/>
    <w:pPr>
      <w:adjustRightInd w:val="0"/>
      <w:snapToGrid w:val="0"/>
      <w:spacing w:line="480" w:lineRule="exact"/>
      <w:ind w:firstLine="720" w:firstLineChars="200"/>
      <w:jc w:val="left"/>
    </w:pPr>
    <w:rPr>
      <w:rFonts w:cs="宋体"/>
      <w:kern w:val="0"/>
      <w:sz w:val="20"/>
      <w:szCs w:val="21"/>
    </w:rPr>
  </w:style>
  <w:style w:type="paragraph" w:customStyle="1" w:styleId="124">
    <w:name w:val="【表中文字】-"/>
    <w:basedOn w:val="1"/>
    <w:autoRedefine/>
    <w:qFormat/>
    <w:uiPriority w:val="0"/>
    <w:pPr>
      <w:jc w:val="center"/>
    </w:pPr>
    <w:rPr>
      <w:kern w:val="0"/>
      <w:sz w:val="20"/>
      <w:szCs w:val="20"/>
    </w:rPr>
  </w:style>
  <w:style w:type="paragraph" w:customStyle="1" w:styleId="125">
    <w:name w:val="_Style 4"/>
    <w:autoRedefine/>
    <w:qFormat/>
    <w:uiPriority w:val="0"/>
    <w:pPr>
      <w:widowControl w:val="0"/>
      <w:jc w:val="both"/>
    </w:pPr>
    <w:rPr>
      <w:rFonts w:ascii="Times New Roman" w:hAnsi="Times New Roman" w:eastAsia="仿宋_GB2312" w:cs="Times New Roman"/>
      <w:kern w:val="2"/>
      <w:sz w:val="24"/>
      <w:szCs w:val="22"/>
      <w:lang w:val="en-US" w:eastAsia="zh-CN" w:bidi="ar-SA"/>
    </w:rPr>
  </w:style>
  <w:style w:type="paragraph" w:customStyle="1" w:styleId="126">
    <w:name w:val="表格填充项"/>
    <w:basedOn w:val="1"/>
    <w:autoRedefine/>
    <w:qFormat/>
    <w:uiPriority w:val="0"/>
    <w:pPr>
      <w:spacing w:line="240" w:lineRule="atLeast"/>
      <w:jc w:val="center"/>
    </w:pPr>
    <w:rPr>
      <w:rFonts w:ascii="宋体" w:hAnsi="宋体"/>
      <w:b/>
      <w:szCs w:val="24"/>
    </w:rPr>
  </w:style>
  <w:style w:type="paragraph" w:customStyle="1" w:styleId="127">
    <w:name w:val="我的表格"/>
    <w:basedOn w:val="1"/>
    <w:next w:val="1"/>
    <w:autoRedefine/>
    <w:qFormat/>
    <w:uiPriority w:val="0"/>
    <w:pPr>
      <w:adjustRightInd w:val="0"/>
      <w:snapToGrid w:val="0"/>
      <w:spacing w:before="10" w:beforeLines="10" w:after="10" w:afterLines="10" w:line="240" w:lineRule="atLeast"/>
      <w:jc w:val="center"/>
    </w:pPr>
    <w:rPr>
      <w:kern w:val="0"/>
      <w:szCs w:val="20"/>
    </w:rPr>
  </w:style>
  <w:style w:type="paragraph" w:customStyle="1" w:styleId="128">
    <w:name w:val="【表中文字】"/>
    <w:basedOn w:val="1"/>
    <w:autoRedefine/>
    <w:qFormat/>
    <w:uiPriority w:val="0"/>
    <w:pPr>
      <w:adjustRightInd/>
      <w:snapToGrid/>
      <w:spacing w:line="240" w:lineRule="auto"/>
      <w:ind w:firstLine="0" w:firstLineChars="0"/>
      <w:jc w:val="center"/>
    </w:pPr>
    <w:rPr>
      <w:rFonts w:ascii="Times New Roman" w:hAnsi="Times New Roman" w:cs="Times New Roman"/>
      <w:bCs w:val="0"/>
      <w:sz w:val="21"/>
      <w:szCs w:val="21"/>
    </w:rPr>
  </w:style>
  <w:style w:type="paragraph" w:customStyle="1" w:styleId="129">
    <w:name w:val="正文首行缩进 21"/>
    <w:basedOn w:val="3"/>
    <w:autoRedefine/>
    <w:qFormat/>
    <w:uiPriority w:val="0"/>
    <w:pPr>
      <w:adjustRightInd/>
      <w:snapToGrid/>
      <w:spacing w:before="100" w:beforeAutospacing="1"/>
      <w:ind w:firstLine="420"/>
    </w:pPr>
    <w:rPr>
      <w:kern w:val="2"/>
      <w:sz w:val="21"/>
      <w:szCs w:val="21"/>
      <w:lang w:val="en-US" w:eastAsia="zh-CN"/>
    </w:rPr>
  </w:style>
  <w:style w:type="paragraph" w:customStyle="1" w:styleId="130">
    <w:name w:val="首行缩进表格正文"/>
    <w:basedOn w:val="1"/>
    <w:autoRedefine/>
    <w:qFormat/>
    <w:uiPriority w:val="0"/>
    <w:pPr>
      <w:spacing w:line="360" w:lineRule="auto"/>
      <w:ind w:firstLine="720" w:firstLineChars="200"/>
      <w:jc w:val="left"/>
    </w:pPr>
  </w:style>
  <w:style w:type="paragraph" w:customStyle="1" w:styleId="131">
    <w:name w:val="正文_14"/>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32">
    <w:name w:val="Char Char Char Char1"/>
    <w:basedOn w:val="1"/>
    <w:autoRedefine/>
    <w:qFormat/>
    <w:uiPriority w:val="0"/>
    <w:pPr>
      <w:tabs>
        <w:tab w:val="left" w:pos="1080"/>
      </w:tabs>
      <w:jc w:val="left"/>
    </w:pPr>
    <w:rPr>
      <w:szCs w:val="21"/>
    </w:rPr>
  </w:style>
  <w:style w:type="paragraph" w:customStyle="1" w:styleId="133">
    <w:name w:val="表中文字"/>
    <w:basedOn w:val="1"/>
    <w:autoRedefine/>
    <w:qFormat/>
    <w:uiPriority w:val="0"/>
    <w:pPr>
      <w:snapToGrid w:val="0"/>
      <w:spacing w:line="300" w:lineRule="exact"/>
      <w:jc w:val="center"/>
    </w:pPr>
    <w:rPr>
      <w:sz w:val="18"/>
      <w:szCs w:val="18"/>
    </w:rPr>
  </w:style>
  <w:style w:type="character" w:customStyle="1" w:styleId="134">
    <w:name w:val="font11"/>
    <w:basedOn w:val="39"/>
    <w:autoRedefine/>
    <w:qFormat/>
    <w:uiPriority w:val="0"/>
    <w:rPr>
      <w:rFonts w:hint="eastAsia" w:ascii="宋体" w:hAnsi="宋体" w:eastAsia="宋体" w:cs="宋体"/>
      <w:color w:val="000000"/>
      <w:sz w:val="24"/>
      <w:szCs w:val="24"/>
      <w:u w:val="none"/>
    </w:rPr>
  </w:style>
  <w:style w:type="character" w:customStyle="1" w:styleId="135">
    <w:name w:val="font21"/>
    <w:basedOn w:val="39"/>
    <w:autoRedefine/>
    <w:qFormat/>
    <w:uiPriority w:val="0"/>
    <w:rPr>
      <w:rFonts w:hint="eastAsia" w:ascii="宋体" w:hAnsi="宋体" w:eastAsia="宋体" w:cs="宋体"/>
      <w:color w:val="000000"/>
      <w:sz w:val="24"/>
      <w:szCs w:val="24"/>
      <w:u w:val="none"/>
    </w:rPr>
  </w:style>
  <w:style w:type="paragraph" w:customStyle="1" w:styleId="136">
    <w:name w:val="表文"/>
    <w:basedOn w:val="1"/>
    <w:autoRedefine/>
    <w:qFormat/>
    <w:uiPriority w:val="0"/>
    <w:pPr>
      <w:jc w:val="center"/>
    </w:pPr>
    <w:rPr>
      <w:szCs w:val="21"/>
    </w:rPr>
  </w:style>
  <w:style w:type="paragraph" w:customStyle="1" w:styleId="137">
    <w:name w:val="正文格式"/>
    <w:basedOn w:val="1"/>
    <w:autoRedefine/>
    <w:qFormat/>
    <w:uiPriority w:val="0"/>
    <w:pPr>
      <w:spacing w:line="360" w:lineRule="auto"/>
      <w:ind w:firstLine="482"/>
    </w:pPr>
    <w:rPr>
      <w:sz w:val="24"/>
    </w:rPr>
  </w:style>
  <w:style w:type="paragraph" w:customStyle="1" w:styleId="138">
    <w:name w:val="正文3"/>
    <w:basedOn w:val="1"/>
    <w:autoRedefine/>
    <w:qFormat/>
    <w:uiPriority w:val="0"/>
    <w:pPr>
      <w:keepNext/>
      <w:adjustRightInd w:val="0"/>
      <w:jc w:val="center"/>
      <w:textAlignment w:val="baseline"/>
    </w:pPr>
    <w:rPr>
      <w:kern w:val="0"/>
      <w:sz w:val="28"/>
    </w:rPr>
  </w:style>
  <w:style w:type="character" w:customStyle="1" w:styleId="139">
    <w:name w:val="font31"/>
    <w:basedOn w:val="39"/>
    <w:autoRedefine/>
    <w:qFormat/>
    <w:uiPriority w:val="0"/>
    <w:rPr>
      <w:rFonts w:ascii="宋体" w:hAnsi="宋体" w:eastAsia="宋体" w:cs="宋体"/>
      <w:color w:val="000000"/>
      <w:sz w:val="34"/>
      <w:szCs w:val="34"/>
      <w:u w:val="none"/>
    </w:rPr>
  </w:style>
  <w:style w:type="character" w:customStyle="1" w:styleId="140">
    <w:name w:val="font41"/>
    <w:basedOn w:val="39"/>
    <w:autoRedefine/>
    <w:qFormat/>
    <w:uiPriority w:val="0"/>
    <w:rPr>
      <w:rFonts w:ascii="黑体" w:hAnsi="宋体" w:eastAsia="黑体" w:cs="黑体"/>
      <w:color w:val="000000"/>
      <w:sz w:val="34"/>
      <w:szCs w:val="34"/>
      <w:u w:val="none"/>
    </w:rPr>
  </w:style>
  <w:style w:type="character" w:customStyle="1" w:styleId="141">
    <w:name w:val="font51"/>
    <w:basedOn w:val="39"/>
    <w:autoRedefine/>
    <w:qFormat/>
    <w:uiPriority w:val="0"/>
    <w:rPr>
      <w:rFonts w:ascii="黑体" w:hAnsi="宋体" w:eastAsia="黑体" w:cs="黑体"/>
      <w:color w:val="000000"/>
      <w:sz w:val="30"/>
      <w:szCs w:val="30"/>
      <w:u w:val="none"/>
    </w:rPr>
  </w:style>
  <w:style w:type="character" w:customStyle="1" w:styleId="142">
    <w:name w:val="font61"/>
    <w:basedOn w:val="39"/>
    <w:autoRedefine/>
    <w:qFormat/>
    <w:uiPriority w:val="0"/>
    <w:rPr>
      <w:rFonts w:hint="default" w:ascii="Arial" w:hAnsi="Arial" w:cs="Arial"/>
      <w:color w:val="000000"/>
      <w:sz w:val="30"/>
      <w:szCs w:val="30"/>
      <w:u w:val="none"/>
    </w:rPr>
  </w:style>
  <w:style w:type="character" w:customStyle="1" w:styleId="143">
    <w:name w:val="font71"/>
    <w:basedOn w:val="39"/>
    <w:autoRedefine/>
    <w:qFormat/>
    <w:uiPriority w:val="0"/>
    <w:rPr>
      <w:rFonts w:hint="default" w:ascii="Arial" w:hAnsi="Arial" w:cs="Arial"/>
      <w:color w:val="000000"/>
      <w:sz w:val="34"/>
      <w:szCs w:val="34"/>
      <w:u w:val="none"/>
    </w:rPr>
  </w:style>
  <w:style w:type="character" w:customStyle="1" w:styleId="144">
    <w:name w:val="font81"/>
    <w:basedOn w:val="39"/>
    <w:autoRedefine/>
    <w:qFormat/>
    <w:uiPriority w:val="0"/>
    <w:rPr>
      <w:rFonts w:ascii="宋体" w:hAnsi="宋体" w:eastAsia="宋体" w:cs="宋体"/>
      <w:color w:val="000000"/>
      <w:sz w:val="40"/>
      <w:szCs w:val="40"/>
      <w:u w:val="none"/>
    </w:rPr>
  </w:style>
  <w:style w:type="character" w:customStyle="1" w:styleId="145">
    <w:name w:val="font91"/>
    <w:basedOn w:val="39"/>
    <w:autoRedefine/>
    <w:qFormat/>
    <w:uiPriority w:val="0"/>
    <w:rPr>
      <w:rFonts w:ascii="宋体" w:hAnsi="宋体" w:eastAsia="宋体" w:cs="宋体"/>
      <w:color w:val="000000"/>
      <w:sz w:val="30"/>
      <w:szCs w:val="30"/>
      <w:u w:val="none"/>
    </w:rPr>
  </w:style>
  <w:style w:type="character" w:customStyle="1" w:styleId="146">
    <w:name w:val="font101"/>
    <w:basedOn w:val="39"/>
    <w:autoRedefine/>
    <w:qFormat/>
    <w:uiPriority w:val="0"/>
    <w:rPr>
      <w:rFonts w:hint="default" w:ascii="Arial" w:hAnsi="Arial" w:cs="Arial"/>
      <w:color w:val="2BC6FF"/>
      <w:sz w:val="34"/>
      <w:szCs w:val="34"/>
      <w:u w:val="none"/>
    </w:rPr>
  </w:style>
  <w:style w:type="paragraph" w:customStyle="1" w:styleId="147">
    <w:name w:val="Table Text"/>
    <w:basedOn w:val="1"/>
    <w:autoRedefine/>
    <w:semiHidden/>
    <w:qFormat/>
    <w:uiPriority w:val="0"/>
    <w:rPr>
      <w:rFonts w:ascii="宋体" w:hAnsi="宋体" w:eastAsia="宋体" w:cs="宋体"/>
      <w:sz w:val="20"/>
      <w:szCs w:val="20"/>
      <w:lang w:val="en-US" w:eastAsia="en-US" w:bidi="ar-SA"/>
    </w:rPr>
  </w:style>
  <w:style w:type="table" w:customStyle="1" w:styleId="148">
    <w:name w:val="Table Normal"/>
    <w:autoRedefine/>
    <w:unhideWhenUsed/>
    <w:qFormat/>
    <w:uiPriority w:val="0"/>
    <w:tblPr>
      <w:tblCellMar>
        <w:top w:w="0" w:type="dxa"/>
        <w:left w:w="0" w:type="dxa"/>
        <w:bottom w:w="0" w:type="dxa"/>
        <w:right w:w="0" w:type="dxa"/>
      </w:tblCellMar>
    </w:tblPr>
  </w:style>
  <w:style w:type="character" w:customStyle="1" w:styleId="149">
    <w:name w:val="zhengwencolor1"/>
    <w:autoRedefine/>
    <w:qFormat/>
    <w:uiPriority w:val="0"/>
    <w:rPr>
      <w:color w:val="000000"/>
      <w:sz w:val="18"/>
      <w:szCs w:val="18"/>
    </w:rPr>
  </w:style>
  <w:style w:type="paragraph" w:customStyle="1" w:styleId="150">
    <w:name w:val="表格内"/>
    <w:basedOn w:val="1"/>
    <w:autoRedefine/>
    <w:qFormat/>
    <w:uiPriority w:val="99"/>
    <w:pPr>
      <w:adjustRightInd w:val="0"/>
      <w:spacing w:line="240" w:lineRule="atLeast"/>
      <w:jc w:val="center"/>
      <w:textAlignment w:val="baseline"/>
    </w:pPr>
    <w:rPr>
      <w:rFonts w:ascii="宋体"/>
      <w:kern w:val="0"/>
      <w:sz w:val="28"/>
      <w:szCs w:val="28"/>
    </w:rPr>
  </w:style>
  <w:style w:type="paragraph" w:customStyle="1" w:styleId="151">
    <w:name w:val="表头文字"/>
    <w:basedOn w:val="1"/>
    <w:autoRedefine/>
    <w:qFormat/>
    <w:uiPriority w:val="0"/>
    <w:pPr>
      <w:adjustRightInd w:val="0"/>
      <w:spacing w:line="360" w:lineRule="auto"/>
      <w:jc w:val="center"/>
    </w:pPr>
    <w:rPr>
      <w:rFonts w:ascii="宋体"/>
      <w:kern w:val="0"/>
      <w:sz w:val="28"/>
      <w:szCs w:val="20"/>
    </w:rPr>
  </w:style>
  <w:style w:type="paragraph" w:customStyle="1" w:styleId="152">
    <w:name w:val="样式 正文文本缩进 + 行距: 1.5 倍行距"/>
    <w:basedOn w:val="153"/>
    <w:autoRedefine/>
    <w:qFormat/>
    <w:uiPriority w:val="0"/>
    <w:pPr>
      <w:spacing w:after="120"/>
      <w:ind w:left="90" w:leftChars="32" w:firstLine="560"/>
    </w:pPr>
    <w:rPr>
      <w:rFonts w:ascii="Times New Roman" w:hAnsi="Times New Roman"/>
      <w:lang w:val="en-US"/>
    </w:rPr>
  </w:style>
  <w:style w:type="paragraph" w:customStyle="1" w:styleId="153">
    <w:name w:val="Body Text Indent"/>
    <w:basedOn w:val="1"/>
    <w:next w:val="152"/>
    <w:autoRedefine/>
    <w:qFormat/>
    <w:uiPriority w:val="0"/>
    <w:pPr>
      <w:spacing w:after="120" w:afterLines="0"/>
      <w:ind w:left="420" w:leftChars="200"/>
    </w:pPr>
    <w:rPr>
      <w:rFonts w:ascii="Times New Roman" w:hAnsi="Times New Roman" w:eastAsia="宋体"/>
      <w:sz w:val="24"/>
    </w:rPr>
  </w:style>
  <w:style w:type="paragraph" w:customStyle="1" w:styleId="154">
    <w:name w:val="【表格】"/>
    <w:next w:val="1"/>
    <w:autoRedefine/>
    <w:qFormat/>
    <w:uiPriority w:val="0"/>
    <w:pPr>
      <w:spacing w:line="0" w:lineRule="atLeast"/>
      <w:jc w:val="center"/>
    </w:pPr>
    <w:rPr>
      <w:rFonts w:ascii="Times New Roman" w:hAnsi="Times New Roman" w:eastAsia="宋体" w:cs="Times New Roman"/>
      <w:sz w:val="21"/>
      <w:szCs w:val="24"/>
      <w:lang w:val="en-US" w:eastAsia="zh-CN" w:bidi="ar-SA"/>
    </w:rPr>
  </w:style>
</w:styles>
</file>

<file path=word/_rels/document.xml.rels><?xml version="1.0" encoding="UTF-8" standalone="yes"?>
<Relationships xmlns="http://schemas.openxmlformats.org/package/2006/relationships"><Relationship Id="rId96" Type="http://schemas.openxmlformats.org/officeDocument/2006/relationships/fontTable" Target="fontTable.xml"/><Relationship Id="rId95" Type="http://schemas.openxmlformats.org/officeDocument/2006/relationships/numbering" Target="numbering.xml"/><Relationship Id="rId94" Type="http://schemas.openxmlformats.org/officeDocument/2006/relationships/customXml" Target="../customXml/item1.xml"/><Relationship Id="rId93" Type="http://schemas.openxmlformats.org/officeDocument/2006/relationships/image" Target="media/image65.png"/><Relationship Id="rId92" Type="http://schemas.openxmlformats.org/officeDocument/2006/relationships/image" Target="media/image64.png"/><Relationship Id="rId91" Type="http://schemas.openxmlformats.org/officeDocument/2006/relationships/image" Target="media/image63.png"/><Relationship Id="rId90" Type="http://schemas.openxmlformats.org/officeDocument/2006/relationships/image" Target="media/image62.png"/><Relationship Id="rId9" Type="http://schemas.openxmlformats.org/officeDocument/2006/relationships/footer" Target="footer2.xml"/><Relationship Id="rId89" Type="http://schemas.openxmlformats.org/officeDocument/2006/relationships/image" Target="media/image61.png"/><Relationship Id="rId88" Type="http://schemas.openxmlformats.org/officeDocument/2006/relationships/image" Target="media/image60.png"/><Relationship Id="rId87" Type="http://schemas.openxmlformats.org/officeDocument/2006/relationships/image" Target="media/image59.png"/><Relationship Id="rId86" Type="http://schemas.openxmlformats.org/officeDocument/2006/relationships/image" Target="media/image58.png"/><Relationship Id="rId85" Type="http://schemas.openxmlformats.org/officeDocument/2006/relationships/image" Target="media/image57.png"/><Relationship Id="rId84" Type="http://schemas.openxmlformats.org/officeDocument/2006/relationships/image" Target="media/image56.png"/><Relationship Id="rId83" Type="http://schemas.openxmlformats.org/officeDocument/2006/relationships/image" Target="media/image55.png"/><Relationship Id="rId82" Type="http://schemas.openxmlformats.org/officeDocument/2006/relationships/image" Target="media/image54.png"/><Relationship Id="rId81" Type="http://schemas.openxmlformats.org/officeDocument/2006/relationships/image" Target="media/image53.png"/><Relationship Id="rId80" Type="http://schemas.openxmlformats.org/officeDocument/2006/relationships/image" Target="media/image52.png"/><Relationship Id="rId8" Type="http://schemas.openxmlformats.org/officeDocument/2006/relationships/footer" Target="footer1.xml"/><Relationship Id="rId79" Type="http://schemas.openxmlformats.org/officeDocument/2006/relationships/image" Target="media/image51.png"/><Relationship Id="rId78" Type="http://schemas.openxmlformats.org/officeDocument/2006/relationships/image" Target="media/image50.png"/><Relationship Id="rId77" Type="http://schemas.openxmlformats.org/officeDocument/2006/relationships/image" Target="media/image49.png"/><Relationship Id="rId76" Type="http://schemas.openxmlformats.org/officeDocument/2006/relationships/image" Target="media/image48.png"/><Relationship Id="rId75" Type="http://schemas.openxmlformats.org/officeDocument/2006/relationships/image" Target="media/image47.png"/><Relationship Id="rId74" Type="http://schemas.openxmlformats.org/officeDocument/2006/relationships/image" Target="media/image46.png"/><Relationship Id="rId73" Type="http://schemas.openxmlformats.org/officeDocument/2006/relationships/image" Target="media/image45.png"/><Relationship Id="rId72" Type="http://schemas.openxmlformats.org/officeDocument/2006/relationships/image" Target="media/image44.jpeg"/><Relationship Id="rId71" Type="http://schemas.openxmlformats.org/officeDocument/2006/relationships/image" Target="media/image43.jpeg"/><Relationship Id="rId70" Type="http://schemas.openxmlformats.org/officeDocument/2006/relationships/image" Target="media/image42.jpeg"/><Relationship Id="rId7" Type="http://schemas.openxmlformats.org/officeDocument/2006/relationships/header" Target="header3.xml"/><Relationship Id="rId69" Type="http://schemas.openxmlformats.org/officeDocument/2006/relationships/image" Target="media/image41.jpeg"/><Relationship Id="rId68" Type="http://schemas.openxmlformats.org/officeDocument/2006/relationships/image" Target="media/image40.jpeg"/><Relationship Id="rId67" Type="http://schemas.openxmlformats.org/officeDocument/2006/relationships/image" Target="media/image39.jpeg"/><Relationship Id="rId66" Type="http://schemas.openxmlformats.org/officeDocument/2006/relationships/image" Target="media/image38.jpeg"/><Relationship Id="rId65" Type="http://schemas.openxmlformats.org/officeDocument/2006/relationships/image" Target="media/image37.png"/><Relationship Id="rId64" Type="http://schemas.openxmlformats.org/officeDocument/2006/relationships/image" Target="media/image36.png"/><Relationship Id="rId63" Type="http://schemas.openxmlformats.org/officeDocument/2006/relationships/image" Target="media/image35.png"/><Relationship Id="rId62" Type="http://schemas.openxmlformats.org/officeDocument/2006/relationships/image" Target="media/image34.png"/><Relationship Id="rId61" Type="http://schemas.openxmlformats.org/officeDocument/2006/relationships/image" Target="media/image33.png"/><Relationship Id="rId60" Type="http://schemas.openxmlformats.org/officeDocument/2006/relationships/image" Target="media/image32.png"/><Relationship Id="rId6" Type="http://schemas.openxmlformats.org/officeDocument/2006/relationships/header" Target="header2.xml"/><Relationship Id="rId59" Type="http://schemas.openxmlformats.org/officeDocument/2006/relationships/image" Target="media/image31.png"/><Relationship Id="rId58" Type="http://schemas.openxmlformats.org/officeDocument/2006/relationships/image" Target="media/image30.png"/><Relationship Id="rId57" Type="http://schemas.openxmlformats.org/officeDocument/2006/relationships/image" Target="media/image29.jpeg"/><Relationship Id="rId56" Type="http://schemas.openxmlformats.org/officeDocument/2006/relationships/image" Target="media/image28.png"/><Relationship Id="rId55" Type="http://schemas.openxmlformats.org/officeDocument/2006/relationships/image" Target="media/image27.emf"/><Relationship Id="rId54" Type="http://schemas.openxmlformats.org/officeDocument/2006/relationships/oleObject" Target="embeddings/oleObject13.bin"/><Relationship Id="rId53" Type="http://schemas.openxmlformats.org/officeDocument/2006/relationships/image" Target="media/image26.emf"/><Relationship Id="rId52" Type="http://schemas.openxmlformats.org/officeDocument/2006/relationships/oleObject" Target="embeddings/oleObject12.bin"/><Relationship Id="rId51" Type="http://schemas.openxmlformats.org/officeDocument/2006/relationships/image" Target="media/image25.emf"/><Relationship Id="rId50" Type="http://schemas.openxmlformats.org/officeDocument/2006/relationships/oleObject" Target="embeddings/oleObject11.bin"/><Relationship Id="rId5" Type="http://schemas.openxmlformats.org/officeDocument/2006/relationships/header" Target="header1.xml"/><Relationship Id="rId49" Type="http://schemas.openxmlformats.org/officeDocument/2006/relationships/image" Target="media/image24.png"/><Relationship Id="rId48" Type="http://schemas.openxmlformats.org/officeDocument/2006/relationships/image" Target="media/image23.png"/><Relationship Id="rId47" Type="http://schemas.openxmlformats.org/officeDocument/2006/relationships/image" Target="media/image22.emf"/><Relationship Id="rId46" Type="http://schemas.openxmlformats.org/officeDocument/2006/relationships/oleObject" Target="embeddings/oleObject10.bin"/><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wmf"/><Relationship Id="rId42" Type="http://schemas.openxmlformats.org/officeDocument/2006/relationships/oleObject" Target="embeddings/oleObject9.bin"/><Relationship Id="rId41" Type="http://schemas.openxmlformats.org/officeDocument/2006/relationships/image" Target="media/image18.wmf"/><Relationship Id="rId40" Type="http://schemas.openxmlformats.org/officeDocument/2006/relationships/oleObject" Target="embeddings/oleObject8.bin"/><Relationship Id="rId4" Type="http://schemas.openxmlformats.org/officeDocument/2006/relationships/endnotes" Target="endnotes.xml"/><Relationship Id="rId39" Type="http://schemas.openxmlformats.org/officeDocument/2006/relationships/image" Target="media/image17.wmf"/><Relationship Id="rId38" Type="http://schemas.openxmlformats.org/officeDocument/2006/relationships/oleObject" Target="embeddings/oleObject7.bin"/><Relationship Id="rId37" Type="http://schemas.openxmlformats.org/officeDocument/2006/relationships/image" Target="media/image16.wmf"/><Relationship Id="rId36" Type="http://schemas.openxmlformats.org/officeDocument/2006/relationships/oleObject" Target="embeddings/oleObject6.bin"/><Relationship Id="rId35" Type="http://schemas.openxmlformats.org/officeDocument/2006/relationships/image" Target="media/image15.wmf"/><Relationship Id="rId34" Type="http://schemas.openxmlformats.org/officeDocument/2006/relationships/oleObject" Target="embeddings/oleObject5.bin"/><Relationship Id="rId33" Type="http://schemas.openxmlformats.org/officeDocument/2006/relationships/image" Target="media/image14.wmf"/><Relationship Id="rId32" Type="http://schemas.openxmlformats.org/officeDocument/2006/relationships/oleObject" Target="embeddings/oleObject4.bin"/><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footnotes" Target="footnotes.xml"/><Relationship Id="rId29" Type="http://schemas.openxmlformats.org/officeDocument/2006/relationships/image" Target="media/image11.jpeg"/><Relationship Id="rId28" Type="http://schemas.openxmlformats.org/officeDocument/2006/relationships/image" Target="media/image10.jpeg"/><Relationship Id="rId27" Type="http://schemas.openxmlformats.org/officeDocument/2006/relationships/image" Target="media/image9.png"/><Relationship Id="rId26" Type="http://schemas.openxmlformats.org/officeDocument/2006/relationships/image" Target="media/image8.png"/><Relationship Id="rId25" Type="http://schemas.openxmlformats.org/officeDocument/2006/relationships/image" Target="media/image7.png"/><Relationship Id="rId24" Type="http://schemas.openxmlformats.org/officeDocument/2006/relationships/image" Target="media/image6.emf"/><Relationship Id="rId23" Type="http://schemas.openxmlformats.org/officeDocument/2006/relationships/oleObject" Target="embeddings/oleObject3.bin"/><Relationship Id="rId22" Type="http://schemas.openxmlformats.org/officeDocument/2006/relationships/image" Target="media/image5.emf"/><Relationship Id="rId21" Type="http://schemas.openxmlformats.org/officeDocument/2006/relationships/oleObject" Target="embeddings/oleObject2.bin"/><Relationship Id="rId20" Type="http://schemas.openxmlformats.org/officeDocument/2006/relationships/image" Target="media/image4.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77"/>
    <customShpInfo spid="_x0000_s1080"/>
    <customShpInfo spid="_x0000_s107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Microsoft</Company>
  <Pages>131</Pages>
  <Words>22445</Words>
  <Characters>24554</Characters>
  <Lines>1</Lines>
  <Paragraphs>1</Paragraphs>
  <TotalTime>7</TotalTime>
  <ScaleCrop>false</ScaleCrop>
  <LinksUpToDate>false</LinksUpToDate>
  <CharactersWithSpaces>24664</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2021-05-06T01:44:00Z</dcterms:created>
  <dc:creator>lhj</dc:creator>
  <cp:lastModifiedBy>WPS_1757292562</cp:lastModifiedBy>
  <cp:lastPrinted>2022-12-12T03:53:00Z</cp:lastPrinted>
  <dcterms:modified xsi:type="dcterms:W3CDTF">2025-11-19T06:20:20Z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FFE9A003384D4C13AC3224AD9AB9F22E_13</vt:lpwstr>
  </property>
  <property fmtid="{D5CDD505-2E9C-101B-9397-08002B2CF9AE}" pid="4" name="KSOTemplateDocerSaveRecord">
    <vt:lpwstr>eyJoZGlkIjoiNjU0YmQ2ZDQzZTE1MGQzNTY5N2MxMDEyNDI3MTQyZWUiLCJ1c2VySWQiOiIxNzQwNTE3OTkyIn0=</vt:lpwstr>
  </property>
</Properties>
</file>