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p>
    <w:p>
      <w:pPr>
        <w:pStyle w:val="2"/>
        <w:keepNext w:val="0"/>
        <w:keepLines w:val="0"/>
        <w:pageBreakBefore w:val="0"/>
        <w:widowControl/>
        <w:suppressLineNumbers w:val="0"/>
        <w:suppressAutoHyphens w:val="0"/>
        <w:bidi w:val="0"/>
        <w:spacing w:line="276" w:lineRule="auto"/>
      </w:pPr>
    </w:p>
    <w:p>
      <w:pPr>
        <w:keepNext w:val="0"/>
        <w:keepLines w:val="0"/>
        <w:pageBreakBefore w:val="0"/>
        <w:widowControl w:val="0"/>
        <w:suppressLineNumbers w:val="0"/>
        <w:suppressAutoHyphens w:val="0"/>
        <w:bidi w:val="0"/>
      </w:pPr>
    </w:p>
    <w:p>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鸡环审〔202</w:t>
      </w:r>
      <w:r>
        <w:rPr>
          <w:rFonts w:hint="eastAsia"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eastAsia="仿宋_GB2312" w:cs="Times New Roman"/>
          <w:sz w:val="32"/>
          <w:szCs w:val="32"/>
          <w:lang w:val="en-US" w:eastAsia="zh-CN"/>
        </w:rPr>
        <w:t>17</w:t>
      </w:r>
      <w:r>
        <w:rPr>
          <w:rFonts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p>
    <w:p>
      <w:pPr>
        <w:pStyle w:val="9"/>
        <w:keepNext w:val="0"/>
        <w:keepLines w:val="0"/>
        <w:pageBreakBefore w:val="0"/>
        <w:widowControl/>
        <w:kinsoku/>
        <w:wordWrap/>
        <w:overflowPunct/>
        <w:topLinePunct w:val="0"/>
        <w:autoSpaceDE/>
        <w:autoSpaceDN/>
        <w:adjustRightInd/>
        <w:snapToGrid/>
        <w:spacing w:beforeAutospacing="0" w:afterAutospacing="0" w:line="560" w:lineRule="exact"/>
        <w:jc w:val="center"/>
        <w:rPr>
          <w:rFonts w:hint="eastAsia" w:ascii="方正小标宋_GBK" w:hAnsi="方正小标宋_GBK" w:eastAsia="方正小标宋_GBK" w:cs="方正小标宋_GBK"/>
          <w:spacing w:val="-6"/>
          <w:kern w:val="2"/>
          <w:sz w:val="44"/>
          <w:szCs w:val="44"/>
        </w:rPr>
      </w:pPr>
      <w:r>
        <w:rPr>
          <w:rFonts w:hint="eastAsia" w:ascii="方正小标宋_GBK" w:hAnsi="方正小标宋_GBK" w:eastAsia="方正小标宋_GBK" w:cs="方正小标宋_GBK"/>
          <w:spacing w:val="-6"/>
          <w:sz w:val="44"/>
          <w:szCs w:val="44"/>
        </w:rPr>
        <w:t>关</w:t>
      </w:r>
      <w:r>
        <w:rPr>
          <w:rFonts w:hint="eastAsia" w:ascii="方正小标宋_GBK" w:hAnsi="方正小标宋_GBK" w:eastAsia="方正小标宋_GBK" w:cs="方正小标宋_GBK"/>
          <w:spacing w:val="-6"/>
          <w:kern w:val="2"/>
          <w:sz w:val="44"/>
          <w:szCs w:val="44"/>
        </w:rPr>
        <w:t>于</w:t>
      </w:r>
      <w:r>
        <w:rPr>
          <w:rFonts w:hint="eastAsia" w:ascii="方正小标宋_GBK" w:hAnsi="方正小标宋_GBK" w:eastAsia="方正小标宋_GBK" w:cs="方正小标宋_GBK"/>
          <w:spacing w:val="-6"/>
          <w:kern w:val="2"/>
          <w:sz w:val="44"/>
          <w:szCs w:val="44"/>
          <w:lang w:eastAsia="zh-CN"/>
        </w:rPr>
        <w:t>鸡西市木森商贸有限责任公司农机拆解项目环境影响报告</w:t>
      </w:r>
      <w:r>
        <w:rPr>
          <w:rFonts w:ascii="方正小标宋_GBK" w:hAnsi="方正小标宋_GBK" w:eastAsia="方正小标宋_GBK" w:cs="方正小标宋_GBK"/>
          <w:spacing w:val="-6"/>
          <w:kern w:val="2"/>
          <w:sz w:val="44"/>
          <w:szCs w:val="44"/>
          <w:lang w:eastAsia="zh-CN"/>
        </w:rPr>
        <w:t>表</w:t>
      </w:r>
      <w:r>
        <w:rPr>
          <w:rFonts w:hint="eastAsia" w:ascii="方正小标宋_GBK" w:hAnsi="方正小标宋_GBK" w:eastAsia="方正小标宋_GBK" w:cs="方正小标宋_GBK"/>
          <w:spacing w:val="-6"/>
          <w:sz w:val="44"/>
          <w:szCs w:val="44"/>
        </w:rPr>
        <w:t>的批复</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kern w:val="0"/>
          <w:sz w:val="32"/>
          <w:szCs w:val="32"/>
        </w:rPr>
      </w:pPr>
      <w:r>
        <w:rPr>
          <w:rFonts w:hint="eastAsia" w:eastAsia="仿宋_GB2312" w:cs="Times New Roman"/>
          <w:color w:val="auto"/>
          <w:sz w:val="32"/>
          <w:szCs w:val="32"/>
          <w:lang w:eastAsia="zh-CN"/>
        </w:rPr>
        <w:t>鸡西市木森商贸有限责任公司</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eastAsia="仿宋_GB2312"/>
          <w:kern w:val="0"/>
          <w:sz w:val="32"/>
          <w:szCs w:val="32"/>
        </w:rPr>
      </w:pPr>
      <w:r>
        <w:rPr>
          <w:rFonts w:ascii="Times New Roman" w:hAnsi="Times New Roman" w:eastAsia="仿宋_GB2312" w:cs="Times New Roman"/>
          <w:color w:val="auto"/>
          <w:kern w:val="0"/>
          <w:sz w:val="32"/>
          <w:szCs w:val="32"/>
        </w:rPr>
        <w:t>你单位《关于申请审批</w:t>
      </w:r>
      <w:r>
        <w:rPr>
          <w:rFonts w:hint="eastAsia" w:eastAsia="仿宋_GB2312" w:cs="Times New Roman"/>
          <w:color w:val="auto"/>
          <w:kern w:val="0"/>
          <w:sz w:val="32"/>
          <w:szCs w:val="32"/>
          <w:lang w:eastAsia="zh-CN"/>
        </w:rPr>
        <w:t>鸡西市木森商贸有限责任公司农机拆解项目</w:t>
      </w:r>
      <w:r>
        <w:rPr>
          <w:rFonts w:ascii="Times New Roman" w:hAnsi="Times New Roman" w:eastAsia="仿宋_GB2312" w:cs="Times New Roman"/>
          <w:color w:val="auto"/>
          <w:spacing w:val="-6"/>
          <w:sz w:val="32"/>
          <w:szCs w:val="32"/>
        </w:rPr>
        <w:t>环境影响评价文件的函</w:t>
      </w:r>
      <w:r>
        <w:rPr>
          <w:rFonts w:ascii="Times New Roman" w:hAnsi="Times New Roman" w:eastAsia="仿宋_GB2312" w:cs="Times New Roman"/>
          <w:color w:val="auto"/>
          <w:kern w:val="0"/>
          <w:sz w:val="32"/>
          <w:szCs w:val="32"/>
        </w:rPr>
        <w:t>》及相关材料收悉，经研究，批复如下。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该项目属</w:t>
      </w:r>
      <w:r>
        <w:rPr>
          <w:rFonts w:ascii="Times New Roman" w:hAnsi="Times New Roman" w:eastAsia="仿宋_GB2312" w:cs="Times New Roman"/>
          <w:color w:val="auto"/>
          <w:sz w:val="32"/>
          <w:szCs w:val="32"/>
          <w:lang w:val="en-US" w:eastAsia="zh-CN"/>
        </w:rPr>
        <w:t>新建工程</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eastAsia="zh-CN"/>
        </w:rPr>
        <w:t>位于鸡西市鸡冠区梁家村六组</w:t>
      </w:r>
      <w:r>
        <w:rPr>
          <w:rFonts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项目占地面积</w:t>
      </w:r>
      <w:r>
        <w:rPr>
          <w:rFonts w:hint="eastAsia" w:eastAsia="仿宋_GB2312" w:cs="Times New Roman"/>
          <w:color w:val="auto"/>
          <w:sz w:val="32"/>
          <w:szCs w:val="32"/>
          <w:lang w:val="en-US" w:eastAsia="zh-CN"/>
        </w:rPr>
        <w:t>5100</w:t>
      </w:r>
      <w:r>
        <w:rPr>
          <w:rFonts w:ascii="Times New Roman" w:hAnsi="Times New Roman" w:eastAsia="仿宋_GB2312" w:cs="Times New Roman"/>
          <w:color w:val="auto"/>
          <w:sz w:val="32"/>
          <w:szCs w:val="32"/>
          <w:lang w:eastAsia="zh-CN"/>
        </w:rPr>
        <w:t>m</w:t>
      </w:r>
      <w:r>
        <w:rPr>
          <w:rFonts w:ascii="Times New Roman" w:hAnsi="Times New Roman" w:eastAsia="仿宋_GB2312" w:cs="Times New Roman"/>
          <w:color w:val="auto"/>
          <w:sz w:val="32"/>
          <w:szCs w:val="32"/>
          <w:vertAlign w:val="superscript"/>
          <w:lang w:eastAsia="zh-CN"/>
        </w:rPr>
        <w:t>2</w:t>
      </w:r>
      <w:r>
        <w:rPr>
          <w:rFonts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总建筑面积</w:t>
      </w:r>
      <w:r>
        <w:rPr>
          <w:rFonts w:hint="eastAsia" w:eastAsia="仿宋_GB2312" w:cs="Times New Roman"/>
          <w:color w:val="auto"/>
          <w:sz w:val="32"/>
          <w:szCs w:val="32"/>
          <w:lang w:val="en-US" w:eastAsia="zh-CN"/>
        </w:rPr>
        <w:t>4173</w:t>
      </w:r>
      <w:r>
        <w:rPr>
          <w:rFonts w:ascii="Times New Roman" w:hAnsi="Times New Roman" w:eastAsia="仿宋_GB2312" w:cs="Times New Roman"/>
          <w:color w:val="auto"/>
          <w:sz w:val="32"/>
          <w:szCs w:val="32"/>
          <w:lang w:eastAsia="zh-CN"/>
        </w:rPr>
        <w:t>m</w:t>
      </w:r>
      <w:r>
        <w:rPr>
          <w:rFonts w:ascii="Times New Roman" w:hAnsi="Times New Roman" w:eastAsia="仿宋_GB2312" w:cs="Times New Roman"/>
          <w:color w:val="auto"/>
          <w:sz w:val="32"/>
          <w:szCs w:val="32"/>
          <w:vertAlign w:val="superscript"/>
          <w:lang w:eastAsia="zh-CN"/>
        </w:rPr>
        <w:t>2</w:t>
      </w:r>
      <w:r>
        <w:rPr>
          <w:rFonts w:hint="eastAsia" w:eastAsia="仿宋_GB2312" w:cs="Times New Roman"/>
          <w:color w:val="auto"/>
          <w:sz w:val="32"/>
          <w:szCs w:val="32"/>
          <w:vertAlign w:val="baseline"/>
          <w:lang w:eastAsia="zh-CN"/>
        </w:rPr>
        <w:t>。</w:t>
      </w:r>
      <w:r>
        <w:rPr>
          <w:rFonts w:ascii="Times New Roman" w:hAnsi="Times New Roman" w:eastAsia="仿宋_GB2312" w:cs="Times New Roman"/>
          <w:color w:val="auto"/>
          <w:sz w:val="32"/>
          <w:szCs w:val="32"/>
          <w:lang w:eastAsia="zh-CN"/>
        </w:rPr>
        <w:t>租赁</w:t>
      </w:r>
      <w:r>
        <w:rPr>
          <w:rFonts w:hint="eastAsia" w:eastAsia="仿宋_GB2312" w:cs="Times New Roman"/>
          <w:color w:val="auto"/>
          <w:sz w:val="32"/>
          <w:szCs w:val="32"/>
          <w:lang w:eastAsia="zh-CN"/>
        </w:rPr>
        <w:t>梁家村连发轧钢厂现有厂房和场地建设</w:t>
      </w:r>
      <w:r>
        <w:rPr>
          <w:rFonts w:hint="eastAsia" w:eastAsia="仿宋_GB2312" w:cs="Times New Roman"/>
          <w:color w:val="auto"/>
          <w:sz w:val="32"/>
          <w:szCs w:val="32"/>
          <w:lang w:val="en-US" w:eastAsia="zh-CN"/>
        </w:rPr>
        <w:t>1台2.5t/h燃生物质锅炉，</w:t>
      </w:r>
      <w:r>
        <w:rPr>
          <w:rFonts w:ascii="Times New Roman" w:hAnsi="Times New Roman" w:eastAsia="仿宋_GB2312" w:cs="Times New Roman"/>
          <w:color w:val="auto"/>
          <w:sz w:val="32"/>
          <w:szCs w:val="32"/>
          <w:lang w:eastAsia="zh-CN"/>
        </w:rPr>
        <w:t>1座拆解车间、1座危废贮存库、1处待拆车辆</w:t>
      </w:r>
      <w:r>
        <w:rPr>
          <w:rFonts w:hint="eastAsia" w:eastAsia="仿宋_GB2312" w:cs="Times New Roman"/>
          <w:color w:val="auto"/>
          <w:sz w:val="32"/>
          <w:szCs w:val="32"/>
          <w:lang w:eastAsia="zh-CN"/>
        </w:rPr>
        <w:t>暂存区</w:t>
      </w:r>
      <w:r>
        <w:rPr>
          <w:rFonts w:ascii="Times New Roman" w:hAnsi="Times New Roman" w:eastAsia="仿宋_GB2312" w:cs="Times New Roman"/>
          <w:color w:val="auto"/>
          <w:sz w:val="32"/>
          <w:szCs w:val="32"/>
          <w:lang w:eastAsia="zh-CN"/>
        </w:rPr>
        <w:t>、1条年拆解2000辆报废农业机械生产</w:t>
      </w:r>
      <w:bookmarkStart w:id="0" w:name="_GoBack"/>
      <w:bookmarkEnd w:id="0"/>
      <w:r>
        <w:rPr>
          <w:rFonts w:ascii="Times New Roman" w:hAnsi="Times New Roman" w:eastAsia="仿宋_GB2312" w:cs="Times New Roman"/>
          <w:color w:val="auto"/>
          <w:sz w:val="32"/>
          <w:szCs w:val="32"/>
          <w:lang w:eastAsia="zh-CN"/>
        </w:rPr>
        <w:t>线及配套设施，仅设置拆解过程，不设置破碎过程，无零件清洗及含危险废物的部件精细拆解、翻新等工序，项目总投资</w:t>
      </w:r>
      <w:r>
        <w:rPr>
          <w:rFonts w:hint="eastAsia" w:eastAsia="仿宋_GB2312" w:cs="Times New Roman"/>
          <w:color w:val="auto"/>
          <w:sz w:val="32"/>
          <w:szCs w:val="32"/>
          <w:lang w:val="en-US" w:eastAsia="zh-CN"/>
        </w:rPr>
        <w:t>500</w:t>
      </w:r>
      <w:r>
        <w:rPr>
          <w:rFonts w:ascii="Times New Roman" w:hAnsi="Times New Roman" w:eastAsia="仿宋_GB2312" w:cs="Times New Roman"/>
          <w:color w:val="auto"/>
          <w:sz w:val="32"/>
          <w:szCs w:val="32"/>
          <w:lang w:eastAsia="zh-CN"/>
        </w:rPr>
        <w:t>万元，环保投资</w:t>
      </w:r>
      <w:r>
        <w:rPr>
          <w:rFonts w:hint="eastAsia" w:eastAsia="仿宋_GB2312" w:cs="Times New Roman"/>
          <w:color w:val="auto"/>
          <w:sz w:val="32"/>
          <w:szCs w:val="32"/>
          <w:lang w:val="en-US" w:eastAsia="zh-CN"/>
        </w:rPr>
        <w:t>126</w:t>
      </w:r>
      <w:r>
        <w:rPr>
          <w:rFonts w:ascii="Times New Roman" w:hAnsi="Times New Roman" w:eastAsia="仿宋_GB2312" w:cs="Times New Roman"/>
          <w:color w:val="auto"/>
          <w:sz w:val="32"/>
          <w:szCs w:val="32"/>
          <w:lang w:eastAsia="zh-CN"/>
        </w:rPr>
        <w:t>万元。</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cs="Times New Roman"/>
          <w:color w:val="auto"/>
          <w:sz w:val="32"/>
          <w:szCs w:val="32"/>
          <w:lang w:val="en-US" w:eastAsia="zh-CN"/>
        </w:rPr>
        <w:t>该项目</w:t>
      </w:r>
      <w:r>
        <w:rPr>
          <w:rFonts w:ascii="Times New Roman" w:hAnsi="Times New Roman" w:eastAsia="仿宋_GB2312" w:cs="Times New Roman"/>
          <w:color w:val="auto"/>
          <w:sz w:val="32"/>
          <w:szCs w:val="32"/>
        </w:rPr>
        <w:t>在全面落实</w:t>
      </w:r>
      <w:r>
        <w:rPr>
          <w:rFonts w:hint="eastAsia" w:ascii="Times New Roman" w:hAnsi="Times New Roman" w:eastAsia="仿宋_GB2312" w:cs="Times New Roman"/>
          <w:color w:val="auto"/>
          <w:sz w:val="32"/>
          <w:szCs w:val="32"/>
          <w:lang w:eastAsia="zh-CN"/>
        </w:rPr>
        <w:t>《鸡西市木森商贸有限责任公司农机拆解项目环境影响报告表》</w:t>
      </w:r>
      <w:r>
        <w:rPr>
          <w:rFonts w:ascii="Times New Roman" w:hAnsi="Times New Roman" w:eastAsia="仿宋_GB2312" w:cs="Times New Roman"/>
          <w:sz w:val="32"/>
          <w:szCs w:val="32"/>
        </w:rPr>
        <w:t>（以下简称《报告表》）</w:t>
      </w:r>
      <w:r>
        <w:rPr>
          <w:rFonts w:hint="eastAsia" w:ascii="Times New Roman" w:hAnsi="Times New Roman" w:eastAsia="仿宋_GB2312" w:cs="Times New Roman"/>
          <w:sz w:val="32"/>
          <w:szCs w:val="32"/>
          <w:lang w:val="en-US" w:eastAsia="zh-CN"/>
        </w:rPr>
        <w:t>和本批复</w:t>
      </w:r>
      <w:r>
        <w:rPr>
          <w:rFonts w:ascii="Times New Roman" w:hAnsi="Times New Roman" w:eastAsia="仿宋_GB2312" w:cs="Times New Roman"/>
          <w:color w:val="auto"/>
          <w:sz w:val="32"/>
          <w:szCs w:val="32"/>
        </w:rPr>
        <w:t>提出的各项生态环境保护措施</w:t>
      </w:r>
      <w:r>
        <w:rPr>
          <w:rFonts w:hint="eastAsia" w:ascii="Times New Roman" w:hAnsi="Times New Roman" w:eastAsia="仿宋_GB2312" w:cs="Times New Roman"/>
          <w:color w:val="auto"/>
          <w:sz w:val="32"/>
          <w:szCs w:val="32"/>
          <w:lang w:val="en-US" w:eastAsia="zh-CN"/>
        </w:rPr>
        <w:t>后</w:t>
      </w:r>
      <w:r>
        <w:rPr>
          <w:rFonts w:ascii="Times New Roman" w:hAnsi="Times New Roman" w:eastAsia="仿宋_GB2312" w:cs="Times New Roman"/>
          <w:color w:val="auto"/>
          <w:sz w:val="32"/>
          <w:szCs w:val="32"/>
        </w:rPr>
        <w:t>，对环境的不利影响可以得到缓解和控制。我局原则同意</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报告表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中的环境影响评价总体结论和各项生态环境保护措施。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项目建设的主要生态环境影响及保护措施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方正楷体_GBK" w:hAnsi="方正楷体_GBK" w:eastAsia="方正楷体_GBK" w:cs="方正楷体_GBK"/>
          <w:color w:val="auto"/>
          <w:sz w:val="32"/>
          <w:szCs w:val="32"/>
          <w:lang w:eastAsia="zh-CN"/>
        </w:rPr>
        <w:t>（一）施工期环境影响及保护措施。</w:t>
      </w:r>
      <w:r>
        <w:rPr>
          <w:rFonts w:hint="eastAsia" w:ascii="Times New Roman" w:hAnsi="Times New Roman" w:eastAsia="仿宋_GB2312" w:cs="Times New Roman"/>
          <w:color w:val="auto"/>
          <w:kern w:val="0"/>
          <w:sz w:val="32"/>
          <w:szCs w:val="32"/>
          <w:lang w:val="en-US" w:eastAsia="zh-CN" w:bidi="ar-SA"/>
        </w:rPr>
        <w:t>施工废水沉淀后用于洒水降尘，不外排。生活污水排入防渗旱厕定期清掏。施工场地设置围挡，定期洒水降尘，运输车辆加蓬盖，无组织颗粒物排放浓度应符合《大气污染物综合排放标准》（GB16297-1996）表2中无组织排放监控浓度限值要求。选用低噪声设备、合理安排施工时间，</w:t>
      </w:r>
      <w:r>
        <w:rPr>
          <w:rFonts w:hint="default" w:ascii="Times New Roman" w:hAnsi="Times New Roman" w:eastAsia="仿宋_GB2312" w:cs="Times New Roman"/>
          <w:sz w:val="32"/>
          <w:szCs w:val="32"/>
        </w:rPr>
        <w:t>噪声应符合《建筑施工场界环境噪声排放标准》（GB12523-2011）标准要求。</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产生的建筑垃圾应及时清运</w:t>
      </w:r>
      <w:r>
        <w:rPr>
          <w:rFonts w:hint="default" w:ascii="Times New Roman" w:hAnsi="Times New Roman" w:eastAsia="仿宋_GB2312" w:cs="Times New Roman"/>
          <w:sz w:val="32"/>
          <w:szCs w:val="32"/>
          <w:lang w:val="en-US" w:eastAsia="zh-CN"/>
        </w:rPr>
        <w:t>至指定地点处置，</w:t>
      </w:r>
      <w:r>
        <w:rPr>
          <w:rFonts w:hint="default" w:ascii="Times New Roman" w:hAnsi="Times New Roman" w:eastAsia="仿宋_GB2312" w:cs="Times New Roman"/>
          <w:sz w:val="32"/>
          <w:szCs w:val="32"/>
        </w:rPr>
        <w:t>生活垃圾集中收集，</w:t>
      </w:r>
      <w:r>
        <w:rPr>
          <w:rFonts w:hint="default"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rPr>
        <w:t>由市政部门统一清运。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ascii="方正楷体_GBK" w:hAnsi="方正楷体_GBK" w:eastAsia="方正楷体_GBK" w:cs="方正楷体_GBK"/>
          <w:color w:val="auto"/>
          <w:sz w:val="32"/>
          <w:szCs w:val="32"/>
          <w:lang w:eastAsia="zh-CN"/>
        </w:rPr>
        <w:t>大气环境</w:t>
      </w:r>
      <w:r>
        <w:rPr>
          <w:rFonts w:hint="eastAsia" w:ascii="方正楷体_GBK" w:hAnsi="方正楷体_GBK" w:eastAsia="方正楷体_GBK" w:cs="方正楷体_GBK"/>
          <w:color w:val="auto"/>
          <w:sz w:val="32"/>
          <w:szCs w:val="32"/>
          <w:lang w:eastAsia="zh-CN"/>
        </w:rPr>
        <w:t>影响</w:t>
      </w:r>
      <w:r>
        <w:rPr>
          <w:rFonts w:hint="eastAsia" w:ascii="方正楷体_GBK" w:hAnsi="方正楷体_GBK" w:eastAsia="方正楷体_GBK" w:cs="方正楷体_GBK"/>
          <w:color w:val="auto"/>
          <w:sz w:val="32"/>
          <w:szCs w:val="32"/>
          <w:lang w:val="en-US" w:eastAsia="zh-CN"/>
        </w:rPr>
        <w:t>及保护措施</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仿宋_GB2312" w:cs="Times New Roman"/>
          <w:color w:val="auto"/>
          <w:kern w:val="0"/>
          <w:sz w:val="32"/>
          <w:szCs w:val="32"/>
          <w:lang w:val="en-US" w:eastAsia="zh-CN" w:bidi="ar-SA"/>
        </w:rPr>
        <w:t>废机油、柴油及废防冻液</w:t>
      </w:r>
      <w:r>
        <w:rPr>
          <w:rFonts w:hint="eastAsia" w:eastAsia="仿宋_GB2312" w:cs="Times New Roman"/>
          <w:color w:val="auto"/>
          <w:kern w:val="0"/>
          <w:sz w:val="32"/>
          <w:szCs w:val="32"/>
          <w:lang w:val="en-US" w:eastAsia="zh-CN" w:bidi="ar-SA"/>
        </w:rPr>
        <w:t>产生的挥发性有机废气经集气罩和活性炭吸附装置处理后通过15m高排气筒排放。</w:t>
      </w:r>
      <w:r>
        <w:rPr>
          <w:rFonts w:hint="eastAsia" w:ascii="Times New Roman" w:hAnsi="Times New Roman" w:eastAsia="仿宋_GB2312" w:cs="Times New Roman"/>
          <w:color w:val="auto"/>
          <w:kern w:val="0"/>
          <w:sz w:val="32"/>
          <w:szCs w:val="32"/>
          <w:lang w:val="en-US" w:eastAsia="zh-CN" w:bidi="ar-SA"/>
        </w:rPr>
        <w:t>项目</w:t>
      </w:r>
      <w:r>
        <w:rPr>
          <w:rFonts w:ascii="Times New Roman" w:hAnsi="Times New Roman" w:eastAsia="仿宋_GB2312" w:cs="Times New Roman"/>
          <w:color w:val="auto"/>
          <w:kern w:val="0"/>
          <w:sz w:val="32"/>
          <w:szCs w:val="32"/>
          <w:lang w:val="en-US" w:eastAsia="zh-CN" w:bidi="ar-SA"/>
        </w:rPr>
        <w:t>切割产生的颗粒物经集气罩和布袋除尘器处理后通过15m高排气筒排放</w:t>
      </w:r>
      <w:r>
        <w:rPr>
          <w:rFonts w:hint="eastAsia" w:eastAsia="仿宋_GB2312" w:cs="Times New Roman"/>
          <w:color w:val="auto"/>
          <w:kern w:val="0"/>
          <w:sz w:val="32"/>
          <w:szCs w:val="32"/>
          <w:lang w:val="en-US" w:eastAsia="zh-CN" w:bidi="ar-SA"/>
        </w:rPr>
        <w:t>。危险废物贮存库产生的非甲烷总烃经集气管道和活性炭吸附装置处理后，通过15m高排气筒排放。</w:t>
      </w:r>
      <w:r>
        <w:rPr>
          <w:rFonts w:ascii="Times New Roman" w:hAnsi="Times New Roman" w:eastAsia="仿宋_GB2312" w:cs="Times New Roman"/>
          <w:color w:val="auto"/>
          <w:kern w:val="0"/>
          <w:sz w:val="32"/>
          <w:szCs w:val="32"/>
          <w:lang w:val="en-US" w:eastAsia="zh-CN" w:bidi="ar-SA"/>
        </w:rPr>
        <w:t>有组织颗粒物和非甲烷总烃排放浓度及排放速率应符合《大气污染物综合排放标准》（GB16297-1996）表2二级标准限值要求，厂界无组织颗粒物和非甲烷总烃排放浓度应符合《大气污染物综合排放标准》（GB16297-1996）表2无组织排放监控浓度限值要求，厂房外非甲烷总烃排放浓度应符合《挥发性有机物无组织排放控制标准》（GB37822-2019）表A.1无组织排放限值要求。</w:t>
      </w:r>
      <w:r>
        <w:rPr>
          <w:rFonts w:hint="eastAsia" w:eastAsia="仿宋_GB2312" w:cs="Times New Roman"/>
          <w:color w:val="auto"/>
          <w:kern w:val="0"/>
          <w:sz w:val="32"/>
          <w:szCs w:val="32"/>
          <w:lang w:val="en-US" w:eastAsia="zh-CN" w:bidi="ar-SA"/>
        </w:rPr>
        <w:t>燃生物质锅炉烟气经旋风除尘器+布袋除尘器处理后，通过30m高排气筒排放，颗粒物、二氧化硫、氮氧化物、烟气黑度应符合《锅炉大气污染物排放标准》（GB13271-1996）表2标准限值。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ascii="方正楷体_GBK" w:hAnsi="方正楷体_GBK" w:eastAsia="方正楷体_GBK" w:cs="方正楷体_GBK"/>
          <w:sz w:val="32"/>
          <w:szCs w:val="32"/>
        </w:rPr>
        <w:t>）水环境影响及保护措施。</w:t>
      </w:r>
      <w:r>
        <w:rPr>
          <w:rFonts w:hint="eastAsia" w:ascii="Times New Roman" w:hAnsi="Times New Roman" w:eastAsia="仿宋_GB2312" w:cs="Times New Roman"/>
          <w:color w:val="auto"/>
          <w:kern w:val="0"/>
          <w:sz w:val="32"/>
          <w:szCs w:val="32"/>
          <w:lang w:val="en-US" w:eastAsia="zh-CN" w:bidi="ar-SA"/>
        </w:rPr>
        <w:t>初期雨水、地面清洗废水经一体化污水处理设备（隔油+均质+絮凝沉淀+气浮</w:t>
      </w:r>
      <w:r>
        <w:rPr>
          <w:rFonts w:hint="eastAsia" w:ascii="Times New Roman" w:hAnsi="Times New Roman" w:eastAsia="仿宋_GB2312" w:cs="Times New Roman"/>
          <w:color w:val="auto"/>
          <w:kern w:val="0"/>
          <w:sz w:val="32"/>
          <w:szCs w:val="32"/>
          <w:lang w:val="en-US" w:eastAsia="zh-CN" w:bidi="ar-SA"/>
        </w:rPr>
        <w:t>）处理后，与锅炉排污水、软化水制备废水及生活污水一同排入市政管网，送入鸡西市鸡冠区污水处理厂处理。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项目应严格落实地下水保护措施，做好新建危险废物贮存库各区域防渗处理。</w:t>
      </w:r>
      <w:r>
        <w:rPr>
          <w:rFonts w:hint="eastAsia" w:eastAsia="仿宋_GB2312" w:cs="Times New Roman"/>
          <w:sz w:val="32"/>
          <w:szCs w:val="32"/>
          <w:lang w:eastAsia="zh-CN"/>
        </w:rPr>
        <w:t>危险废物贮存库、待拆车辆暂存区、初期雨水收集池为重点防渗区，危险</w:t>
      </w:r>
      <w:r>
        <w:rPr>
          <w:rFonts w:hint="eastAsia" w:ascii="Times New Roman" w:hAnsi="Times New Roman" w:eastAsia="仿宋_GB2312" w:cs="Times New Roman"/>
          <w:sz w:val="32"/>
          <w:szCs w:val="32"/>
          <w:lang w:eastAsia="zh-CN"/>
        </w:rPr>
        <w:t>废物贮存库地面与裙脚应采用坚固防渗的材料建造，防风、防晒、防雨；基础敷设至少2mm厚的高密度聚乙烯防水层，上部敷设10cm厚水泥层，渗透系数</w:t>
      </w:r>
      <w:r>
        <w:rPr>
          <w:rFonts w:hint="eastAsia" w:ascii="Times New Roman" w:hAnsi="Times New Roman" w:eastAsia="仿宋_GB2312" w:cs="Times New Roman"/>
          <w:sz w:val="32"/>
          <w:szCs w:val="32"/>
          <w:lang w:val="en-US" w:eastAsia="zh-CN"/>
        </w:rPr>
        <w:t>K</w:t>
      </w:r>
      <w:r>
        <w:rPr>
          <w:rFonts w:hint="eastAsia" w:ascii="Times New Roman" w:hAnsi="Times New Roman" w:eastAsia="仿宋_GB2312" w:cs="Times New Roman"/>
          <w:sz w:val="32"/>
          <w:szCs w:val="32"/>
          <w:lang w:eastAsia="zh-CN"/>
        </w:rPr>
        <w:t>≤1×10</w:t>
      </w:r>
      <w:r>
        <w:rPr>
          <w:rFonts w:hint="eastAsia" w:ascii="Times New Roman" w:hAnsi="Times New Roman" w:eastAsia="仿宋_GB2312" w:cs="Times New Roman"/>
          <w:sz w:val="32"/>
          <w:szCs w:val="32"/>
          <w:vertAlign w:val="superscript"/>
          <w:lang w:eastAsia="zh-CN"/>
        </w:rPr>
        <w:t>-10</w:t>
      </w:r>
      <w:r>
        <w:rPr>
          <w:rFonts w:hint="eastAsia" w:ascii="Times New Roman" w:hAnsi="Times New Roman" w:eastAsia="仿宋_GB2312" w:cs="Times New Roman"/>
          <w:sz w:val="32"/>
          <w:szCs w:val="32"/>
          <w:lang w:eastAsia="zh-CN"/>
        </w:rPr>
        <w:t>cm/s</w:t>
      </w:r>
      <w:r>
        <w:rPr>
          <w:rFonts w:hint="eastAsia" w:ascii="Times New Roman" w:hAnsi="Times New Roman" w:eastAsia="仿宋_GB2312" w:cs="Times New Roman"/>
          <w:sz w:val="32"/>
          <w:szCs w:val="32"/>
          <w:lang w:val="en-US" w:eastAsia="zh-CN"/>
        </w:rPr>
        <w:t>；待拆车辆暂存区、初期雨水收集池等效黏土防渗层Mb≥6.0m，渗透系数K≤10</w:t>
      </w:r>
      <w:r>
        <w:rPr>
          <w:rFonts w:hint="eastAsia" w:ascii="Times New Roman" w:hAnsi="Times New Roman" w:eastAsia="仿宋_GB2312" w:cs="Times New Roman"/>
          <w:sz w:val="32"/>
          <w:szCs w:val="32"/>
          <w:vertAlign w:val="superscript"/>
          <w:lang w:val="en-US" w:eastAsia="zh-CN"/>
        </w:rPr>
        <w:t>-7</w:t>
      </w:r>
      <w:r>
        <w:rPr>
          <w:rFonts w:hint="eastAsia" w:ascii="Times New Roman" w:hAnsi="Times New Roman" w:eastAsia="仿宋_GB2312" w:cs="Times New Roman"/>
          <w:sz w:val="32"/>
          <w:szCs w:val="32"/>
          <w:lang w:val="en-US" w:eastAsia="zh-CN"/>
        </w:rPr>
        <w:t>cm/s。一般固废暂存区、拆解车间为一般防渗区，应采用抗渗等级不低于P6级的抗渗混凝土，等效黏土防渗层Mb≥1.5m，渗透系数≤10</w:t>
      </w:r>
      <w:r>
        <w:rPr>
          <w:rFonts w:hint="eastAsia" w:ascii="Times New Roman" w:hAnsi="Times New Roman" w:eastAsia="仿宋_GB2312" w:cs="Times New Roman"/>
          <w:sz w:val="32"/>
          <w:szCs w:val="32"/>
          <w:vertAlign w:val="superscript"/>
          <w:lang w:val="en-US" w:eastAsia="zh-CN"/>
        </w:rPr>
        <w:t>-7</w:t>
      </w:r>
      <w:r>
        <w:rPr>
          <w:rFonts w:hint="eastAsia" w:ascii="Times New Roman" w:hAnsi="Times New Roman" w:eastAsia="仿宋_GB2312" w:cs="Times New Roman"/>
          <w:sz w:val="32"/>
          <w:szCs w:val="32"/>
          <w:lang w:val="en-US" w:eastAsia="zh-CN"/>
        </w:rPr>
        <w:t>cm/s。其它地区为简单防渗区，应进行地面硬化。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rPr>
        <w:t>（四）声环境影响及保护措施</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bidi="ar-SA"/>
        </w:rPr>
        <w:t>项目应选用低噪声设备，</w:t>
      </w:r>
      <w:r>
        <w:rPr>
          <w:rFonts w:ascii="Times New Roman" w:hAnsi="Times New Roman" w:eastAsia="仿宋_GB2312" w:cs="Times New Roman"/>
          <w:color w:val="auto"/>
          <w:kern w:val="0"/>
          <w:sz w:val="32"/>
          <w:szCs w:val="32"/>
          <w:lang w:val="en-US" w:eastAsia="zh-CN" w:bidi="ar-SA"/>
        </w:rPr>
        <w:t>采取厂房</w:t>
      </w:r>
      <w:r>
        <w:rPr>
          <w:rFonts w:hint="eastAsia" w:eastAsia="仿宋_GB2312" w:cs="Times New Roman"/>
          <w:color w:val="auto"/>
          <w:kern w:val="0"/>
          <w:sz w:val="32"/>
          <w:szCs w:val="32"/>
          <w:lang w:val="en-US" w:eastAsia="zh-CN" w:bidi="ar-SA"/>
        </w:rPr>
        <w:t>封闭、加装减振、安装消声</w:t>
      </w:r>
      <w:r>
        <w:rPr>
          <w:rFonts w:ascii="Times New Roman" w:hAnsi="Times New Roman" w:eastAsia="仿宋_GB2312" w:cs="Times New Roman"/>
          <w:color w:val="auto"/>
          <w:kern w:val="0"/>
          <w:sz w:val="32"/>
          <w:szCs w:val="32"/>
          <w:lang w:val="en-US" w:eastAsia="zh-CN" w:bidi="ar-SA"/>
        </w:rPr>
        <w:t>等措施，厂界</w:t>
      </w:r>
      <w:r>
        <w:rPr>
          <w:rFonts w:hint="eastAsia" w:eastAsia="仿宋_GB2312" w:cs="Times New Roman"/>
          <w:color w:val="auto"/>
          <w:kern w:val="0"/>
          <w:sz w:val="32"/>
          <w:szCs w:val="32"/>
          <w:lang w:val="en-US" w:eastAsia="zh-CN" w:bidi="ar-SA"/>
        </w:rPr>
        <w:t>南</w:t>
      </w:r>
      <w:r>
        <w:rPr>
          <w:rFonts w:hint="eastAsia" w:ascii="Times New Roman" w:hAnsi="Times New Roman" w:eastAsia="仿宋_GB2312" w:cs="Times New Roman"/>
          <w:color w:val="auto"/>
          <w:kern w:val="0"/>
          <w:sz w:val="32"/>
          <w:szCs w:val="32"/>
          <w:lang w:val="en-US" w:eastAsia="zh-CN" w:bidi="ar-SA"/>
        </w:rPr>
        <w:t>、</w:t>
      </w:r>
      <w:r>
        <w:rPr>
          <w:rFonts w:ascii="Times New Roman" w:hAnsi="Times New Roman" w:eastAsia="仿宋_GB2312" w:cs="Times New Roman"/>
          <w:color w:val="auto"/>
          <w:kern w:val="0"/>
          <w:sz w:val="32"/>
          <w:szCs w:val="32"/>
          <w:lang w:val="en-US" w:eastAsia="zh-CN" w:bidi="ar-SA"/>
        </w:rPr>
        <w:t>东</w:t>
      </w:r>
      <w:r>
        <w:rPr>
          <w:rFonts w:hint="eastAsia" w:ascii="Times New Roman" w:hAnsi="Times New Roman" w:eastAsia="仿宋_GB2312" w:cs="Times New Roman"/>
          <w:color w:val="auto"/>
          <w:kern w:val="0"/>
          <w:sz w:val="32"/>
          <w:szCs w:val="32"/>
          <w:lang w:val="en-US" w:eastAsia="zh-CN" w:bidi="ar-SA"/>
        </w:rPr>
        <w:t>、西侧噪声</w:t>
      </w:r>
      <w:r>
        <w:rPr>
          <w:rFonts w:ascii="Times New Roman" w:hAnsi="Times New Roman" w:eastAsia="仿宋_GB2312" w:cs="Times New Roman"/>
          <w:color w:val="auto"/>
          <w:kern w:val="0"/>
          <w:sz w:val="32"/>
          <w:szCs w:val="32"/>
          <w:lang w:val="en-US" w:eastAsia="zh-CN" w:bidi="ar-SA"/>
        </w:rPr>
        <w:t>应符合</w:t>
      </w:r>
      <w:r>
        <w:rPr>
          <w:rFonts w:hint="eastAsia" w:ascii="Times New Roman" w:hAnsi="Times New Roman" w:eastAsia="仿宋_GB2312" w:cs="Times New Roman"/>
          <w:color w:val="auto"/>
          <w:kern w:val="0"/>
          <w:sz w:val="32"/>
          <w:szCs w:val="32"/>
          <w:lang w:val="en-US" w:eastAsia="zh-CN" w:bidi="ar-SA"/>
        </w:rPr>
        <w:t>《工业企业厂界环境噪声排放标准》（GB12348-2008）表1中2类标准</w:t>
      </w:r>
      <w:r>
        <w:rPr>
          <w:rFonts w:ascii="Times New Roman" w:hAnsi="Times New Roman" w:eastAsia="仿宋_GB2312" w:cs="Times New Roman"/>
          <w:color w:val="auto"/>
          <w:kern w:val="0"/>
          <w:sz w:val="32"/>
          <w:szCs w:val="32"/>
          <w:lang w:val="en-US" w:eastAsia="zh-CN" w:bidi="ar-SA"/>
        </w:rPr>
        <w:t>限值要求</w:t>
      </w:r>
      <w:r>
        <w:rPr>
          <w:rFonts w:hint="eastAsia" w:ascii="Times New Roman" w:hAnsi="Times New Roman" w:eastAsia="仿宋_GB2312" w:cs="Times New Roman"/>
          <w:color w:val="auto"/>
          <w:kern w:val="0"/>
          <w:sz w:val="32"/>
          <w:szCs w:val="32"/>
          <w:lang w:val="en-US" w:eastAsia="zh-CN" w:bidi="ar-SA"/>
        </w:rPr>
        <w:t>，厂界</w:t>
      </w:r>
      <w:r>
        <w:rPr>
          <w:rFonts w:hint="eastAsia" w:eastAsia="仿宋_GB2312" w:cs="Times New Roman"/>
          <w:color w:val="auto"/>
          <w:kern w:val="0"/>
          <w:sz w:val="32"/>
          <w:szCs w:val="32"/>
          <w:lang w:val="en-US" w:eastAsia="zh-CN" w:bidi="ar-SA"/>
        </w:rPr>
        <w:t>北</w:t>
      </w:r>
      <w:r>
        <w:rPr>
          <w:rFonts w:ascii="Times New Roman" w:hAnsi="Times New Roman" w:eastAsia="仿宋_GB2312" w:cs="Times New Roman"/>
          <w:color w:val="auto"/>
          <w:kern w:val="0"/>
          <w:sz w:val="32"/>
          <w:szCs w:val="32"/>
          <w:lang w:val="en-US" w:eastAsia="zh-CN" w:bidi="ar-SA"/>
        </w:rPr>
        <w:t>侧</w:t>
      </w:r>
      <w:r>
        <w:rPr>
          <w:rFonts w:hint="eastAsia" w:ascii="Times New Roman" w:hAnsi="Times New Roman" w:eastAsia="仿宋_GB2312" w:cs="Times New Roman"/>
          <w:color w:val="auto"/>
          <w:kern w:val="0"/>
          <w:sz w:val="32"/>
          <w:szCs w:val="32"/>
          <w:lang w:val="en-US" w:eastAsia="zh-CN" w:bidi="ar-SA"/>
        </w:rPr>
        <w:t>噪声</w:t>
      </w:r>
      <w:r>
        <w:rPr>
          <w:rFonts w:ascii="Times New Roman" w:hAnsi="Times New Roman" w:eastAsia="仿宋_GB2312" w:cs="Times New Roman"/>
          <w:color w:val="auto"/>
          <w:kern w:val="0"/>
          <w:sz w:val="32"/>
          <w:szCs w:val="32"/>
          <w:lang w:val="en-US" w:eastAsia="zh-CN" w:bidi="ar-SA"/>
        </w:rPr>
        <w:t>应符合</w:t>
      </w:r>
      <w:r>
        <w:rPr>
          <w:rFonts w:hint="eastAsia" w:ascii="Times New Roman" w:hAnsi="Times New Roman" w:eastAsia="仿宋_GB2312" w:cs="Times New Roman"/>
          <w:color w:val="auto"/>
          <w:kern w:val="0"/>
          <w:sz w:val="32"/>
          <w:szCs w:val="32"/>
          <w:lang w:val="en-US" w:eastAsia="zh-CN" w:bidi="ar-SA"/>
        </w:rPr>
        <w:t>《工业企业厂界环境噪声排放标准》（GB12348-2008）表1中4类标准</w:t>
      </w:r>
      <w:r>
        <w:rPr>
          <w:rFonts w:ascii="Times New Roman" w:hAnsi="Times New Roman" w:eastAsia="仿宋_GB2312" w:cs="Times New Roman"/>
          <w:color w:val="auto"/>
          <w:kern w:val="0"/>
          <w:sz w:val="32"/>
          <w:szCs w:val="32"/>
          <w:lang w:val="en-US" w:eastAsia="zh-CN" w:bidi="ar-SA"/>
        </w:rPr>
        <w:t>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rPr>
        <w:t>（五）</w:t>
      </w:r>
      <w:r>
        <w:rPr>
          <w:rFonts w:hint="eastAsia" w:eastAsia="方正楷体_GBK" w:cs="方正楷体_GBK"/>
          <w:color w:val="auto"/>
          <w:kern w:val="0"/>
          <w:sz w:val="32"/>
          <w:szCs w:val="32"/>
          <w:lang w:val="en-US" w:eastAsia="zh-CN"/>
        </w:rPr>
        <w:t>固体废物环境影响及保护措施</w:t>
      </w:r>
      <w:r>
        <w:rPr>
          <w:rFonts w:hint="eastAsia" w:eastAsia="方正楷体_GBK" w:cs="方正楷体_GBK"/>
          <w:color w:val="auto"/>
          <w:sz w:val="32"/>
          <w:szCs w:val="32"/>
        </w:rPr>
        <w:t>。</w:t>
      </w:r>
      <w:r>
        <w:rPr>
          <w:rFonts w:hint="eastAsia" w:ascii="Times New Roman" w:hAnsi="Times New Roman" w:eastAsia="仿宋_GB2312" w:cs="Times New Roman"/>
          <w:color w:val="auto"/>
          <w:kern w:val="0"/>
          <w:sz w:val="32"/>
          <w:szCs w:val="32"/>
          <w:lang w:val="en-US" w:eastAsia="zh-CN" w:bidi="ar-SA"/>
        </w:rPr>
        <w:t>项目</w:t>
      </w:r>
      <w:r>
        <w:rPr>
          <w:rFonts w:ascii="Times New Roman" w:hAnsi="Times New Roman" w:eastAsia="仿宋_GB2312" w:cs="Times New Roman"/>
          <w:color w:val="auto"/>
          <w:kern w:val="0"/>
          <w:sz w:val="32"/>
          <w:szCs w:val="32"/>
          <w:lang w:val="en-US" w:eastAsia="zh-CN" w:bidi="ar-SA"/>
        </w:rPr>
        <w:t>生活垃圾集中收集，</w:t>
      </w:r>
      <w:r>
        <w:rPr>
          <w:rFonts w:hint="eastAsia" w:eastAsia="仿宋_GB2312" w:cs="Times New Roman"/>
          <w:color w:val="auto"/>
          <w:kern w:val="0"/>
          <w:sz w:val="32"/>
          <w:szCs w:val="32"/>
          <w:lang w:val="en-US" w:eastAsia="zh-CN" w:bidi="ar-SA"/>
        </w:rPr>
        <w:t>铁屑及布袋除尘器收集粉尘收集后，</w:t>
      </w:r>
      <w:r>
        <w:rPr>
          <w:rFonts w:ascii="Times New Roman" w:hAnsi="Times New Roman" w:eastAsia="仿宋_GB2312" w:cs="Times New Roman"/>
          <w:color w:val="auto"/>
          <w:kern w:val="0"/>
          <w:sz w:val="32"/>
          <w:szCs w:val="32"/>
          <w:lang w:val="en-US" w:eastAsia="zh-CN" w:bidi="ar-SA"/>
        </w:rPr>
        <w:t>由市政环卫部门统一处理。废布袋交由厂家回收处理。</w:t>
      </w:r>
      <w:r>
        <w:rPr>
          <w:rFonts w:hint="eastAsia" w:eastAsia="仿宋_GB2312" w:cs="Times New Roman"/>
          <w:color w:val="auto"/>
          <w:kern w:val="0"/>
          <w:sz w:val="32"/>
          <w:szCs w:val="32"/>
          <w:lang w:val="en-US" w:eastAsia="zh-CN" w:bidi="ar-SA"/>
        </w:rPr>
        <w:t>拆解产生的可回收金属（废钢铁、废有色金属、零部件）、可回收非金属（废塑料、废玻璃、废电子电器部件、废陶瓷、泡沫）、不可利用废物（废棉、麻织物、废海绵、废皮革），外售至废品回收站。废离子交换树脂由厂家更换后回收再生利用。锅炉灰渣外售综合利用。废油液、油泥、含油抹布、手套、废防冻液、废电路板、废铅酸蓄电池、废活性炭暂存于危险废物贮存库，定期交由有资质单位处置，</w:t>
      </w:r>
      <w:r>
        <w:rPr>
          <w:rFonts w:hint="default" w:ascii="Times New Roman" w:hAnsi="Times New Roman" w:eastAsia="仿宋_GB2312" w:cs="Times New Roman"/>
          <w:sz w:val="32"/>
          <w:szCs w:val="32"/>
          <w:lang w:val="en-US" w:eastAsia="zh-CN"/>
        </w:rPr>
        <w:t>危险废物</w:t>
      </w:r>
      <w:r>
        <w:rPr>
          <w:rFonts w:hint="default" w:ascii="Times New Roman" w:hAnsi="Times New Roman" w:eastAsia="仿宋_GB2312" w:cs="Times New Roman"/>
          <w:sz w:val="32"/>
          <w:szCs w:val="32"/>
        </w:rPr>
        <w:t>贮存和运输应符合《危险废物贮存污染控制标准》（GB18597-2023）要求</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）环境风险及保护措施。</w:t>
      </w:r>
      <w:r>
        <w:rPr>
          <w:rFonts w:hint="eastAsia" w:ascii="Times New Roman" w:hAnsi="Times New Roman" w:eastAsia="仿宋_GB2312" w:cs="Times New Roman"/>
          <w:color w:val="auto"/>
          <w:kern w:val="0"/>
          <w:sz w:val="32"/>
          <w:szCs w:val="32"/>
          <w:lang w:val="en-US" w:eastAsia="zh-CN" w:bidi="ar-SA"/>
        </w:rPr>
        <w:t>项目应严格落实《报告</w:t>
      </w:r>
      <w:r>
        <w:rPr>
          <w:rFonts w:ascii="Times New Roman" w:hAnsi="Times New Roman" w:eastAsia="仿宋_GB2312" w:cs="Times New Roman"/>
          <w:color w:val="auto"/>
          <w:kern w:val="0"/>
          <w:sz w:val="32"/>
          <w:szCs w:val="32"/>
          <w:lang w:val="en-US" w:eastAsia="zh-CN" w:bidi="ar-SA"/>
        </w:rPr>
        <w:t>表</w:t>
      </w:r>
      <w:r>
        <w:rPr>
          <w:rFonts w:hint="eastAsia" w:ascii="Times New Roman" w:hAnsi="Times New Roman" w:eastAsia="仿宋_GB2312" w:cs="Times New Roman"/>
          <w:color w:val="auto"/>
          <w:kern w:val="0"/>
          <w:sz w:val="32"/>
          <w:szCs w:val="32"/>
          <w:lang w:val="en-US" w:eastAsia="zh-CN" w:bidi="ar-SA"/>
        </w:rPr>
        <w:t>》中提出的风险防范措施，编制环境风险应急预案，加强风险点位预警、预防，防止风险事故发生。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三、你单位应建立企业内部生态环境管理机构和制度，明确人员和职责，加强生态环境管理。项目实施必须严格执行环境保护设施与主体工程同时设计、同时施工、同时投产使用的环境保护“三同时”制度。</w:t>
      </w:r>
      <w:r>
        <w:rPr>
          <w:rFonts w:ascii="仿宋_GB2312" w:hAnsi="仿宋_GB2312" w:eastAsia="仿宋_GB2312" w:cs="仿宋_GB2312"/>
          <w:color w:val="auto"/>
          <w:sz w:val="32"/>
          <w:szCs w:val="32"/>
        </w:rPr>
        <w:t>在启动生产设施或者在实际排污之前，建设单位应依法履行排污许可手续。</w:t>
      </w:r>
      <w:r>
        <w:rPr>
          <w:rFonts w:hint="eastAsia" w:ascii="仿宋_GB2312" w:hAnsi="仿宋_GB2312" w:eastAsia="仿宋_GB2312" w:cs="仿宋_GB2312"/>
          <w:color w:val="auto"/>
          <w:sz w:val="32"/>
          <w:szCs w:val="32"/>
        </w:rPr>
        <w:t>项目建成后，应按规定程序实施竣工环境保护验收</w:t>
      </w:r>
      <w:r>
        <w:rPr>
          <w:rFonts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lang w:eastAsia="zh-CN"/>
        </w:rPr>
      </w:pPr>
      <w:r>
        <w:rPr>
          <w:rFonts w:ascii="Times New Roman" w:hAnsi="Times New Roman" w:eastAsia="仿宋_GB2312" w:cs="Times New Roman"/>
          <w:kern w:val="0"/>
          <w:sz w:val="32"/>
          <w:szCs w:val="32"/>
        </w:rPr>
        <w:t>四</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sz w:val="32"/>
          <w:szCs w:val="32"/>
        </w:rPr>
        <w:t>报告表》经批准后，项目的性质、规模、地点或者污染</w:t>
      </w:r>
      <w:r>
        <w:rPr>
          <w:rFonts w:hint="eastAsia" w:eastAsia="仿宋_GB2312" w:cs="Times New Roman"/>
          <w:sz w:val="32"/>
          <w:szCs w:val="32"/>
          <w:lang w:eastAsia="zh-CN"/>
        </w:rPr>
        <w:t>防治</w:t>
      </w:r>
      <w:r>
        <w:rPr>
          <w:rFonts w:ascii="Times New Roman" w:hAnsi="Times New Roman" w:eastAsia="仿宋_GB2312" w:cs="Times New Roman"/>
          <w:sz w:val="32"/>
          <w:szCs w:val="32"/>
        </w:rPr>
        <w:t>措施发生重大变动的，应当重新报批该项目的《报告表》。自《报告表》批复文件批准之日起，如超过5年方决定开工建设的，《报告表》应当重新审核。</w:t>
      </w:r>
    </w:p>
    <w:p>
      <w:pPr>
        <w:keepNext w:val="0"/>
        <w:keepLines w:val="0"/>
        <w:pageBreakBefore w:val="0"/>
        <w:kinsoku/>
        <w:wordWrap/>
        <w:overflowPunct/>
        <w:topLinePunct w:val="0"/>
        <w:autoSpaceDE/>
        <w:autoSpaceDN/>
        <w:adjustRightInd/>
        <w:snapToGrid/>
        <w:spacing w:line="560" w:lineRule="exact"/>
        <w:ind w:firstLine="640" w:firstLineChars="200"/>
        <w:rPr>
          <w:rFonts w:eastAsia="仿宋_GB2312"/>
          <w:sz w:val="32"/>
          <w:szCs w:val="32"/>
        </w:rPr>
      </w:pPr>
      <w:r>
        <w:rPr>
          <w:rFonts w:hint="eastAsia" w:eastAsia="仿宋_GB2312" w:cs="Times New Roman"/>
          <w:color w:val="auto"/>
          <w:sz w:val="32"/>
          <w:szCs w:val="32"/>
          <w:lang w:val="en-US" w:eastAsia="zh-CN"/>
        </w:rPr>
        <w:t>五</w:t>
      </w:r>
      <w:r>
        <w:rPr>
          <w:rFonts w:ascii="Times New Roman" w:hAnsi="Times New Roman" w:eastAsia="仿宋_GB2312" w:cs="Times New Roman"/>
          <w:color w:val="auto"/>
          <w:sz w:val="32"/>
          <w:szCs w:val="32"/>
          <w:lang w:eastAsia="zh-CN"/>
        </w:rPr>
        <w:t>、鸡西市</w:t>
      </w:r>
      <w:r>
        <w:rPr>
          <w:rFonts w:hint="eastAsia" w:eastAsia="仿宋_GB2312" w:cs="Times New Roman"/>
          <w:color w:val="auto"/>
          <w:sz w:val="32"/>
          <w:szCs w:val="32"/>
          <w:lang w:val="en-US" w:eastAsia="zh-CN"/>
        </w:rPr>
        <w:t>鸡冠</w:t>
      </w:r>
      <w:r>
        <w:rPr>
          <w:rFonts w:ascii="Times New Roman" w:hAnsi="Times New Roman" w:eastAsia="仿宋_GB2312" w:cs="Times New Roman"/>
          <w:color w:val="auto"/>
          <w:sz w:val="32"/>
          <w:szCs w:val="32"/>
          <w:lang w:eastAsia="zh-CN"/>
        </w:rPr>
        <w:t>生态环境局组织开展该项目环境保护事中事后监管工作。你单位应在收到本批复后10日内，将批准后的</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报告</w:t>
      </w:r>
      <w:r>
        <w:rPr>
          <w:rFonts w:eastAsia="仿宋_GB2312" w:cs="Times New Roman"/>
          <w:color w:val="auto"/>
          <w:sz w:val="32"/>
          <w:szCs w:val="32"/>
          <w:lang w:val="en-US" w:eastAsia="zh-CN"/>
        </w:rPr>
        <w:t>表</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和批复文件送至鸡西市</w:t>
      </w:r>
      <w:r>
        <w:rPr>
          <w:rFonts w:hint="eastAsia" w:eastAsia="仿宋_GB2312" w:cs="Times New Roman"/>
          <w:color w:val="auto"/>
          <w:sz w:val="32"/>
          <w:szCs w:val="32"/>
          <w:lang w:val="en-US" w:eastAsia="zh-CN"/>
        </w:rPr>
        <w:t>鸡冠</w:t>
      </w:r>
      <w:r>
        <w:rPr>
          <w:rFonts w:ascii="Times New Roman" w:hAnsi="Times New Roman" w:eastAsia="仿宋_GB2312" w:cs="Times New Roman"/>
          <w:color w:val="auto"/>
          <w:sz w:val="32"/>
          <w:szCs w:val="32"/>
          <w:lang w:eastAsia="zh-CN"/>
        </w:rPr>
        <w:t>生态环境局，并按规定接受各级生态环境主管部门的日常监督检查</w:t>
      </w:r>
      <w:r>
        <w:rPr>
          <w:rFonts w:hint="eastAsia" w:eastAsia="仿宋_GB2312" w:cs="Times New Roman"/>
          <w:color w:val="auto"/>
          <w:sz w:val="32"/>
          <w:szCs w:val="32"/>
          <w:lang w:eastAsia="zh-CN"/>
        </w:rPr>
        <w:t>。</w:t>
      </w:r>
      <w:r>
        <w:rPr>
          <w:rFonts w:ascii="Times New Roman" w:hAnsi="Times New Roman" w:eastAsia="仿宋_GB2312" w:cs="Times New Roman"/>
          <w:color w:val="2F5597"/>
          <w:sz w:val="32"/>
          <w:szCs w:val="32"/>
        </w:rPr>
        <w:t xml:space="preserve">                    </w:t>
      </w:r>
      <w:r>
        <w:rPr>
          <w:rFonts w:ascii="Times New Roman" w:hAnsi="Times New Roman" w:eastAsia="仿宋_GB2312" w:cs="Times New Roman"/>
          <w:sz w:val="32"/>
          <w:szCs w:val="32"/>
        </w:rPr>
        <w:t xml:space="preserve">          </w:t>
      </w:r>
    </w:p>
    <w:p>
      <w:pPr>
        <w:keepNext w:val="0"/>
        <w:keepLines w:val="0"/>
        <w:pageBreakBefore w:val="0"/>
        <w:widowControl w:val="0"/>
        <w:suppressLineNumbers w:val="0"/>
        <w:suppressAutoHyphens w:val="0"/>
        <w:bidi w:val="0"/>
      </w:pPr>
    </w:p>
    <w:p>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鸡西市生态环境局</w:t>
      </w:r>
    </w:p>
    <w:p>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ascii="Times New Roman" w:hAnsi="Times New Roman" w:eastAsia="仿宋_GB2312" w:cs="Times New Roman"/>
          <w:sz w:val="32"/>
          <w:szCs w:val="32"/>
        </w:rPr>
        <w:t>月</w:t>
      </w:r>
      <w:r>
        <w:rPr>
          <w:rFonts w:eastAsia="仿宋_GB2312" w:cs="Times New Roman"/>
          <w:sz w:val="32"/>
          <w:szCs w:val="32"/>
          <w:lang w:val="en-US" w:eastAsia="zh-CN"/>
        </w:rPr>
        <w:t>1</w:t>
      </w:r>
      <w:r>
        <w:rPr>
          <w:rFonts w:hint="eastAsia" w:eastAsia="仿宋_GB2312" w:cs="Times New Roman"/>
          <w:sz w:val="32"/>
          <w:szCs w:val="32"/>
          <w:lang w:val="en-US" w:eastAsia="zh-CN"/>
        </w:rPr>
        <w:t>1</w:t>
      </w:r>
      <w:r>
        <w:rPr>
          <w:rFonts w:ascii="Times New Roman" w:hAnsi="Times New Roman" w:eastAsia="仿宋_GB2312" w:cs="Times New Roman"/>
          <w:sz w:val="32"/>
          <w:szCs w:val="32"/>
        </w:rPr>
        <w:t>日</w:t>
      </w:r>
    </w:p>
    <w:p>
      <w:pPr>
        <w:pStyle w:val="2"/>
        <w:keepNext w:val="0"/>
        <w:keepLines w:val="0"/>
        <w:pageBreakBefore w:val="0"/>
        <w:widowControl/>
        <w:suppressLineNumbers w:val="0"/>
        <w:suppressAutoHyphens w:val="0"/>
        <w:bidi w:val="0"/>
        <w:spacing w:line="276" w:lineRule="auto"/>
        <w:ind w:left="0" w:firstLine="0"/>
      </w:pPr>
    </w:p>
    <w:p>
      <w:pPr>
        <w:pStyle w:val="2"/>
        <w:keepNext w:val="0"/>
        <w:keepLines w:val="0"/>
        <w:pageBreakBefore w:val="0"/>
        <w:widowControl/>
        <w:suppressLineNumbers w:val="0"/>
        <w:suppressAutoHyphens w:val="0"/>
        <w:bidi w:val="0"/>
        <w:ind w:left="0" w:firstLine="0"/>
      </w:pPr>
    </w:p>
    <w:p/>
    <w:p>
      <w:pPr>
        <w:pStyle w:val="2"/>
      </w:pPr>
    </w:p>
    <w:p/>
    <w:p>
      <w:pPr>
        <w:pStyle w:val="2"/>
      </w:pPr>
    </w:p>
    <w:p/>
    <w:p>
      <w:pPr>
        <w:pStyle w:val="2"/>
      </w:pPr>
    </w:p>
    <w:p/>
    <w:p>
      <w:pPr>
        <w:pStyle w:val="2"/>
      </w:pPr>
    </w:p>
    <w:p/>
    <w:p>
      <w:pPr>
        <w:pStyle w:val="2"/>
      </w:pPr>
    </w:p>
    <w:p>
      <w:pPr>
        <w:keepNext w:val="0"/>
        <w:keepLines w:val="0"/>
        <w:pageBreakBefore w:val="0"/>
        <w:widowControl w:val="0"/>
        <w:suppressLineNumbers w:val="0"/>
        <w:suppressAutoHyphens w:val="0"/>
        <w:bidi w:val="0"/>
      </w:pPr>
    </w:p>
    <w:p>
      <w:pPr>
        <w:keepNext w:val="0"/>
        <w:keepLines w:val="0"/>
        <w:pageBreakBefore w:val="0"/>
        <w:pBdr>
          <w:top w:val="single" w:color="auto" w:sz="4" w:space="0"/>
          <w:bottom w:val="single" w:color="auto" w:sz="4" w:space="0"/>
        </w:pBdr>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抄 送：鸡西市生</w:t>
      </w:r>
      <w:r>
        <w:rPr>
          <w:rFonts w:ascii="Times New Roman" w:hAnsi="Times New Roman" w:eastAsia="仿宋_GB2312" w:cs="Times New Roman"/>
          <w:kern w:val="0"/>
          <w:sz w:val="32"/>
          <w:szCs w:val="32"/>
        </w:rPr>
        <w:t>态环境保护综合行政执法局</w:t>
      </w:r>
      <w:r>
        <w:rPr>
          <w:rFonts w:hint="eastAsia" w:eastAsia="仿宋_GB2312" w:cs="Times New Roman"/>
          <w:kern w:val="0"/>
          <w:sz w:val="32"/>
          <w:szCs w:val="32"/>
          <w:lang w:val="en-US" w:eastAsia="zh-CN"/>
        </w:rPr>
        <w:t xml:space="preserve">  </w:t>
      </w:r>
      <w:r>
        <w:rPr>
          <w:rFonts w:ascii="Times New Roman" w:hAnsi="Times New Roman" w:eastAsia="仿宋_GB2312" w:cs="Times New Roman"/>
          <w:sz w:val="32"/>
          <w:szCs w:val="32"/>
        </w:rPr>
        <w:t>鸡西</w:t>
      </w:r>
      <w:r>
        <w:rPr>
          <w:rFonts w:hint="eastAsia" w:eastAsia="仿宋_GB2312" w:cs="Times New Roman"/>
          <w:sz w:val="32"/>
          <w:szCs w:val="32"/>
          <w:lang w:val="en-US" w:eastAsia="zh-CN"/>
        </w:rPr>
        <w:t>市鸡冠</w:t>
      </w:r>
      <w:r>
        <w:rPr>
          <w:rFonts w:ascii="Times New Roman" w:hAnsi="Times New Roman" w:eastAsia="仿宋_GB2312" w:cs="Times New Roman"/>
          <w:sz w:val="32"/>
          <w:szCs w:val="32"/>
        </w:rPr>
        <w:t>生态环境局</w:t>
      </w:r>
    </w:p>
    <w:p>
      <w:pPr>
        <w:keepNext w:val="0"/>
        <w:keepLines w:val="0"/>
        <w:pageBreakBefore w:val="0"/>
        <w:pBdr>
          <w:bottom w:val="single" w:color="auto" w:sz="4" w:space="0"/>
        </w:pBdr>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鸡西市生态环境局办公室          202</w:t>
      </w:r>
      <w:r>
        <w:rPr>
          <w:rFonts w:hint="eastAsia"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11</w:t>
      </w:r>
      <w:r>
        <w:rPr>
          <w:rFonts w:ascii="Times New Roman" w:hAnsi="Times New Roman" w:eastAsia="仿宋_GB2312" w:cs="Times New Roman"/>
          <w:kern w:val="0"/>
          <w:sz w:val="32"/>
          <w:szCs w:val="32"/>
        </w:rPr>
        <w:t>日</w:t>
      </w:r>
      <w:r>
        <w:rPr>
          <w:rFonts w:ascii="Times New Roman" w:hAnsi="Times New Roman" w:eastAsia="仿宋_GB2312" w:cs="Times New Roman"/>
          <w:sz w:val="32"/>
          <w:szCs w:val="32"/>
        </w:rPr>
        <w:t>印发</w:t>
      </w:r>
    </w:p>
    <w:p>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共印8份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Music"/>
    <w:panose1 w:val="020B0602030504020204"/>
    <w:charset w:val="00"/>
    <w:family w:val="auto"/>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7620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31445"/>
                      </a:xfrm>
                      <a:prstGeom prst="rect">
                        <a:avLst/>
                      </a:prstGeom>
                      <a:noFill/>
                      <a:ln w="9525" cap="flat" cmpd="sng">
                        <a:noFill/>
                        <a:prstDash val="solid"/>
                        <a:round/>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0.35pt;width:6pt;mso-position-horizontal:center;mso-position-horizontal-relative:margin;mso-wrap-style:none;z-index:1024;mso-width-relative:page;mso-height-relative:page;" filled="f" stroked="f" coordsize="21600,21600" o:gfxdata="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p7aaotAAAAADAQAADwAAAAAAAAABACAAAAA4AAAAZHJzL2Rvd25yZXYueG1s&#10;UEsBAhQAFAAAAAgAh07iQPLbKTnqAQAArQMAAA4AAAAAAAAAAQAgAAAANQEAAGRycy9lMm9Eb2Mu&#10;eG1sUEsFBgAAAAAGAAYAWQEAAJEFAAAAAA==&#10;">
              <v:fill on="f" focussize="0,0"/>
              <v:stroke on="f" joinstyle="round"/>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EAE2D"/>
    <w:multiLevelType w:val="singleLevel"/>
    <w:tmpl w:val="FEFEAE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OTZkYTY0YzY2NWYyNzQ0NTEzMmJlMWQ5ZTU0MzcwMTEifQ=="/>
  </w:docVars>
  <w:rsids>
    <w:rsidRoot w:val="00000000"/>
    <w:rsid w:val="4F7C431A"/>
    <w:rsid w:val="66F756A1"/>
    <w:rsid w:val="6FBCE83A"/>
    <w:rsid w:val="7DBC9BB0"/>
    <w:rsid w:val="ABCA5A5F"/>
    <w:rsid w:val="E7EEC8A9"/>
    <w:rsid w:val="E7FE4DF6"/>
    <w:rsid w:val="FFAC9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link w:val="14"/>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customStyle="1" w:styleId="12">
    <w:name w:val="heading 1 Char"/>
    <w:basedOn w:val="11"/>
    <w:link w:val="3"/>
    <w:qFormat/>
    <w:uiPriority w:val="0"/>
    <w:rPr>
      <w:rFonts w:ascii="Times New Roman" w:hAnsi="Times New Roman" w:eastAsia="宋体" w:cs="Times New Roman"/>
      <w:b/>
      <w:bCs/>
      <w:kern w:val="44"/>
      <w:sz w:val="44"/>
      <w:szCs w:val="44"/>
      <w:lang w:val="en-US" w:eastAsia="zh-CN" w:bidi="ar-SA"/>
    </w:rPr>
  </w:style>
  <w:style w:type="character" w:customStyle="1" w:styleId="13">
    <w:name w:val="heading 2 Char"/>
    <w:basedOn w:val="11"/>
    <w:link w:val="4"/>
    <w:qFormat/>
    <w:uiPriority w:val="0"/>
    <w:rPr>
      <w:rFonts w:ascii="Times New Roman" w:hAnsi="Times New Roman" w:eastAsia="黑体" w:cs="Times New Roman"/>
      <w:b/>
      <w:bCs/>
      <w:kern w:val="2"/>
      <w:sz w:val="32"/>
      <w:szCs w:val="32"/>
      <w:lang w:val="en-US" w:eastAsia="zh-CN" w:bidi="ar-SA"/>
    </w:rPr>
  </w:style>
  <w:style w:type="character" w:customStyle="1" w:styleId="14">
    <w:name w:val="heading 3 Char"/>
    <w:basedOn w:val="11"/>
    <w:link w:val="5"/>
    <w:qFormat/>
    <w:uiPriority w:val="0"/>
    <w:rPr>
      <w:rFonts w:ascii="Times New Roman" w:hAnsi="Times New Roman" w:eastAsia="宋体" w:cs="Times New Roman"/>
      <w:b/>
      <w:bCs/>
      <w:kern w:val="2"/>
      <w:sz w:val="32"/>
      <w:szCs w:val="32"/>
      <w:lang w:val="en-US" w:eastAsia="zh-CN" w:bidi="ar-SA"/>
    </w:rPr>
  </w:style>
  <w:style w:type="paragraph" w:customStyle="1" w:styleId="15">
    <w:name w:val="报告表  段"/>
    <w:basedOn w:val="1"/>
    <w:qFormat/>
    <w:uiPriority w:val="0"/>
    <w:pPr>
      <w:adjustRightInd w:val="0"/>
      <w:spacing w:line="360" w:lineRule="auto"/>
      <w:ind w:firstLine="505"/>
    </w:pPr>
    <w:rPr>
      <w:rFonts w:ascii="Calibri" w:hAnsi="Calibri" w:cs="宋体"/>
    </w:rPr>
  </w:style>
  <w:style w:type="paragraph" w:styleId="16">
    <w:name w:val="List Paragraph"/>
    <w:basedOn w:val="1"/>
    <w:qFormat/>
    <w:uiPriority w:val="0"/>
    <w:pPr>
      <w:ind w:firstLine="200" w:firstLineChars="200"/>
    </w:pPr>
  </w:style>
  <w:style w:type="paragraph" w:customStyle="1" w:styleId="17">
    <w:name w:val="表格(新)"/>
    <w:basedOn w:val="1"/>
    <w:qFormat/>
    <w:uiPriority w:val="0"/>
    <w:pPr>
      <w:adjustRightInd w:val="0"/>
      <w:snapToGrid w:val="0"/>
      <w:spacing w:line="240" w:lineRule="auto"/>
      <w:ind w:firstLine="0"/>
      <w:jc w:val="center"/>
    </w:pPr>
    <w:rPr>
      <w:rFonts w:hAnsi="宋体"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tru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true"/>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tru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Pages>
  <Words>0</Words>
  <Characters>1596</Characters>
  <Lines>0</Lines>
  <Paragraphs>37</Paragraphs>
  <TotalTime>19</TotalTime>
  <ScaleCrop>false</ScaleCrop>
  <LinksUpToDate>false</LinksUpToDate>
  <CharactersWithSpaces>2129</CharactersWithSpaces>
  <Application>WPS Office_11.8.2.9849_F1E327BC-269C-435d-A152-05C5408002CA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2024-08-10T11:25:00Z</dcterms:created>
  <dc:creator>01</dc:creator>
  <cp:lastModifiedBy>greatwall</cp:lastModifiedBy>
  <cp:lastPrinted>2025-03-10T10:25:07Z</cp:lastPrinted>
  <dcterms:modified xsi:type="dcterms:W3CDTF">2025-03-10T11:06:59Z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F2603B43AD7B494A90323579F33BE185_13</vt:lpwstr>
  </property>
</Properties>
</file>