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193AC">
      <w:pPr>
        <w:keepNext w:val="0"/>
        <w:keepLines w:val="0"/>
        <w:pageBreakBefore w:val="0"/>
        <w:widowControl w:val="0"/>
        <w:kinsoku/>
        <w:wordWrap/>
        <w:overflowPunct/>
        <w:topLinePunct/>
        <w:autoSpaceDE/>
        <w:autoSpaceDN/>
        <w:bidi w:val="0"/>
        <w:adjustRightInd/>
        <w:snapToGrid/>
        <w:spacing w:before="0" w:after="0" w:line="600" w:lineRule="exact"/>
        <w:jc w:val="center"/>
        <w:textAlignment w:val="baseline"/>
        <w:outlineLvl w:val="0"/>
        <w:rPr>
          <w:rFonts w:hint="default" w:ascii="Times New Roman" w:hAnsi="Times New Roman" w:eastAsia="方正小标宋简体" w:cs="Times New Roman"/>
          <w:snapToGrid/>
          <w:spacing w:val="0"/>
          <w:w w:val="100"/>
          <w:kern w:val="21"/>
          <w:sz w:val="44"/>
          <w:szCs w:val="44"/>
        </w:rPr>
      </w:pPr>
      <w:r>
        <w:rPr>
          <w:rFonts w:hint="default" w:ascii="Times New Roman" w:hAnsi="Times New Roman" w:eastAsia="方正小标宋简体" w:cs="Times New Roman"/>
          <w:snapToGrid/>
          <w:spacing w:val="0"/>
          <w:w w:val="100"/>
          <w:kern w:val="21"/>
          <w:sz w:val="44"/>
          <w:szCs w:val="44"/>
        </w:rPr>
        <w:t>鸡西市经营主体禁止登记区域或限定登记条件清单（202</w:t>
      </w:r>
      <w:r>
        <w:rPr>
          <w:rFonts w:hint="default" w:ascii="Times New Roman" w:hAnsi="Times New Roman" w:eastAsia="方正小标宋简体" w:cs="Times New Roman"/>
          <w:snapToGrid/>
          <w:spacing w:val="0"/>
          <w:w w:val="100"/>
          <w:kern w:val="21"/>
          <w:sz w:val="44"/>
          <w:szCs w:val="44"/>
          <w:lang w:val="en-US" w:eastAsia="zh-CN"/>
        </w:rPr>
        <w:t>5</w:t>
      </w:r>
      <w:r>
        <w:rPr>
          <w:rFonts w:hint="default" w:ascii="Times New Roman" w:hAnsi="Times New Roman" w:eastAsia="方正小标宋简体" w:cs="Times New Roman"/>
          <w:snapToGrid/>
          <w:spacing w:val="0"/>
          <w:w w:val="100"/>
          <w:kern w:val="21"/>
          <w:sz w:val="44"/>
          <w:szCs w:val="44"/>
        </w:rPr>
        <w:t>版）</w:t>
      </w:r>
    </w:p>
    <w:tbl>
      <w:tblPr>
        <w:tblStyle w:val="9"/>
        <w:tblW w:w="152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8"/>
        <w:gridCol w:w="2551"/>
        <w:gridCol w:w="10091"/>
      </w:tblGrid>
      <w:tr w14:paraId="6EE4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blHeader/>
          <w:jc w:val="center"/>
        </w:trPr>
        <w:tc>
          <w:tcPr>
            <w:tcW w:w="652" w:type="dxa"/>
            <w:vAlign w:val="center"/>
          </w:tcPr>
          <w:p w14:paraId="6DE4F7B0">
            <w:pPr>
              <w:pStyle w:val="10"/>
              <w:keepNext w:val="0"/>
              <w:keepLines/>
              <w:pageBreakBefore w:val="0"/>
              <w:widowControl w:val="0"/>
              <w:kinsoku/>
              <w:wordWrap/>
              <w:overflowPunct/>
              <w:topLinePunct/>
              <w:autoSpaceDE/>
              <w:autoSpaceDN/>
              <w:bidi w:val="0"/>
              <w:adjustRightInd/>
              <w:snapToGrid/>
              <w:spacing w:line="320" w:lineRule="exact"/>
              <w:ind w:left="0"/>
              <w:jc w:val="center"/>
              <w:textAlignment w:val="baseline"/>
              <w:rPr>
                <w:rFonts w:hint="default" w:ascii="Times New Roman" w:hAnsi="Times New Roman" w:eastAsia="黑体" w:cs="Times New Roman"/>
                <w:b w:val="0"/>
                <w:bCs w:val="0"/>
                <w:snapToGrid/>
                <w:spacing w:val="0"/>
                <w:w w:val="100"/>
                <w:kern w:val="21"/>
                <w:sz w:val="24"/>
                <w:szCs w:val="24"/>
                <w:highlight w:val="none"/>
              </w:rPr>
            </w:pPr>
            <w:r>
              <w:rPr>
                <w:rFonts w:hint="default" w:ascii="Times New Roman" w:hAnsi="Times New Roman" w:eastAsia="黑体" w:cs="Times New Roman"/>
                <w:b w:val="0"/>
                <w:bCs w:val="0"/>
                <w:snapToGrid/>
                <w:spacing w:val="0"/>
                <w:w w:val="100"/>
                <w:kern w:val="21"/>
                <w:sz w:val="24"/>
                <w:szCs w:val="24"/>
                <w:highlight w:val="none"/>
              </w:rPr>
              <w:t>序号</w:t>
            </w:r>
          </w:p>
        </w:tc>
        <w:tc>
          <w:tcPr>
            <w:tcW w:w="1928" w:type="dxa"/>
            <w:vAlign w:val="center"/>
          </w:tcPr>
          <w:p w14:paraId="1F8E35C2">
            <w:pPr>
              <w:pStyle w:val="10"/>
              <w:keepNext w:val="0"/>
              <w:keepLines/>
              <w:pageBreakBefore w:val="0"/>
              <w:widowControl w:val="0"/>
              <w:kinsoku/>
              <w:wordWrap/>
              <w:overflowPunct/>
              <w:topLinePunct/>
              <w:autoSpaceDE/>
              <w:autoSpaceDN/>
              <w:bidi w:val="0"/>
              <w:adjustRightInd/>
              <w:snapToGrid/>
              <w:spacing w:line="320" w:lineRule="exact"/>
              <w:ind w:left="0"/>
              <w:jc w:val="center"/>
              <w:textAlignment w:val="baseline"/>
              <w:rPr>
                <w:rFonts w:hint="default" w:ascii="Times New Roman" w:hAnsi="Times New Roman" w:eastAsia="黑体" w:cs="Times New Roman"/>
                <w:b w:val="0"/>
                <w:bCs w:val="0"/>
                <w:snapToGrid/>
                <w:spacing w:val="0"/>
                <w:w w:val="100"/>
                <w:kern w:val="21"/>
                <w:sz w:val="24"/>
                <w:szCs w:val="24"/>
                <w:highlight w:val="none"/>
              </w:rPr>
            </w:pPr>
            <w:r>
              <w:rPr>
                <w:rFonts w:hint="default" w:ascii="Times New Roman" w:hAnsi="Times New Roman" w:eastAsia="黑体" w:cs="Times New Roman"/>
                <w:b w:val="0"/>
                <w:bCs w:val="0"/>
                <w:snapToGrid/>
                <w:spacing w:val="0"/>
                <w:w w:val="100"/>
                <w:kern w:val="21"/>
                <w:sz w:val="24"/>
                <w:szCs w:val="24"/>
                <w:highlight w:val="none"/>
                <w:lang w:eastAsia="zh-CN"/>
              </w:rPr>
              <w:t>限制</w:t>
            </w:r>
            <w:r>
              <w:rPr>
                <w:rFonts w:hint="default" w:ascii="Times New Roman" w:hAnsi="Times New Roman" w:eastAsia="黑体" w:cs="Times New Roman"/>
                <w:b w:val="0"/>
                <w:bCs w:val="0"/>
                <w:snapToGrid/>
                <w:spacing w:val="0"/>
                <w:w w:val="100"/>
                <w:kern w:val="21"/>
                <w:sz w:val="24"/>
                <w:szCs w:val="24"/>
                <w:highlight w:val="none"/>
              </w:rPr>
              <w:t>生产经营</w:t>
            </w:r>
          </w:p>
          <w:p w14:paraId="7BC34C38">
            <w:pPr>
              <w:pStyle w:val="10"/>
              <w:keepNext w:val="0"/>
              <w:keepLines/>
              <w:pageBreakBefore w:val="0"/>
              <w:widowControl w:val="0"/>
              <w:kinsoku/>
              <w:wordWrap/>
              <w:overflowPunct/>
              <w:topLinePunct/>
              <w:autoSpaceDE/>
              <w:autoSpaceDN/>
              <w:bidi w:val="0"/>
              <w:adjustRightInd/>
              <w:snapToGrid/>
              <w:spacing w:line="320" w:lineRule="exact"/>
              <w:ind w:left="0"/>
              <w:jc w:val="center"/>
              <w:textAlignment w:val="baseline"/>
              <w:rPr>
                <w:rFonts w:hint="default" w:ascii="Times New Roman" w:hAnsi="Times New Roman" w:eastAsia="黑体" w:cs="Times New Roman"/>
                <w:b w:val="0"/>
                <w:bCs w:val="0"/>
                <w:snapToGrid/>
                <w:spacing w:val="0"/>
                <w:w w:val="100"/>
                <w:kern w:val="21"/>
                <w:sz w:val="24"/>
                <w:szCs w:val="24"/>
                <w:highlight w:val="none"/>
              </w:rPr>
            </w:pPr>
            <w:r>
              <w:rPr>
                <w:rFonts w:hint="default" w:ascii="Times New Roman" w:hAnsi="Times New Roman" w:eastAsia="黑体" w:cs="Times New Roman"/>
                <w:b w:val="0"/>
                <w:bCs w:val="0"/>
                <w:snapToGrid/>
                <w:spacing w:val="0"/>
                <w:w w:val="100"/>
                <w:kern w:val="21"/>
                <w:sz w:val="24"/>
                <w:szCs w:val="24"/>
                <w:highlight w:val="none"/>
              </w:rPr>
              <w:t>活动范围</w:t>
            </w:r>
          </w:p>
        </w:tc>
        <w:tc>
          <w:tcPr>
            <w:tcW w:w="2551" w:type="dxa"/>
            <w:vAlign w:val="center"/>
          </w:tcPr>
          <w:p w14:paraId="4ABBD191">
            <w:pPr>
              <w:pStyle w:val="10"/>
              <w:keepNext w:val="0"/>
              <w:keepLines/>
              <w:pageBreakBefore w:val="0"/>
              <w:widowControl w:val="0"/>
              <w:kinsoku/>
              <w:wordWrap/>
              <w:overflowPunct/>
              <w:topLinePunct/>
              <w:autoSpaceDE/>
              <w:autoSpaceDN/>
              <w:bidi w:val="0"/>
              <w:adjustRightInd/>
              <w:snapToGrid/>
              <w:spacing w:line="320" w:lineRule="exact"/>
              <w:ind w:left="0"/>
              <w:jc w:val="center"/>
              <w:textAlignment w:val="baseline"/>
              <w:rPr>
                <w:rFonts w:hint="default" w:ascii="Times New Roman" w:hAnsi="Times New Roman" w:eastAsia="黑体" w:cs="Times New Roman"/>
                <w:b w:val="0"/>
                <w:bCs w:val="0"/>
                <w:snapToGrid/>
                <w:spacing w:val="0"/>
                <w:w w:val="100"/>
                <w:kern w:val="21"/>
                <w:sz w:val="24"/>
                <w:szCs w:val="24"/>
                <w:highlight w:val="none"/>
              </w:rPr>
            </w:pPr>
            <w:r>
              <w:rPr>
                <w:rFonts w:hint="default" w:ascii="Times New Roman" w:hAnsi="Times New Roman" w:eastAsia="黑体" w:cs="Times New Roman"/>
                <w:b w:val="0"/>
                <w:bCs w:val="0"/>
                <w:snapToGrid/>
                <w:spacing w:val="0"/>
                <w:w w:val="100"/>
                <w:kern w:val="21"/>
                <w:sz w:val="24"/>
                <w:szCs w:val="24"/>
                <w:highlight w:val="none"/>
              </w:rPr>
              <w:t>禁入或限制区域</w:t>
            </w:r>
          </w:p>
          <w:p w14:paraId="25C2F61A">
            <w:pPr>
              <w:pStyle w:val="10"/>
              <w:keepNext w:val="0"/>
              <w:keepLines/>
              <w:pageBreakBefore w:val="0"/>
              <w:widowControl w:val="0"/>
              <w:kinsoku/>
              <w:wordWrap/>
              <w:overflowPunct/>
              <w:topLinePunct/>
              <w:autoSpaceDE/>
              <w:autoSpaceDN/>
              <w:bidi w:val="0"/>
              <w:adjustRightInd/>
              <w:snapToGrid/>
              <w:spacing w:line="320" w:lineRule="exact"/>
              <w:ind w:left="0"/>
              <w:jc w:val="center"/>
              <w:textAlignment w:val="baseline"/>
              <w:rPr>
                <w:rFonts w:hint="default" w:ascii="Times New Roman" w:hAnsi="Times New Roman" w:eastAsia="黑体" w:cs="Times New Roman"/>
                <w:b w:val="0"/>
                <w:bCs w:val="0"/>
                <w:snapToGrid/>
                <w:spacing w:val="0"/>
                <w:w w:val="100"/>
                <w:kern w:val="21"/>
                <w:sz w:val="24"/>
                <w:szCs w:val="24"/>
                <w:highlight w:val="none"/>
              </w:rPr>
            </w:pPr>
            <w:r>
              <w:rPr>
                <w:rFonts w:hint="default" w:ascii="Times New Roman" w:hAnsi="Times New Roman" w:eastAsia="黑体" w:cs="Times New Roman"/>
                <w:b w:val="0"/>
                <w:bCs w:val="0"/>
                <w:snapToGrid/>
                <w:spacing w:val="0"/>
                <w:w w:val="100"/>
                <w:kern w:val="21"/>
                <w:sz w:val="24"/>
                <w:szCs w:val="24"/>
                <w:highlight w:val="none"/>
              </w:rPr>
              <w:t>（场所）</w:t>
            </w:r>
          </w:p>
        </w:tc>
        <w:tc>
          <w:tcPr>
            <w:tcW w:w="10091" w:type="dxa"/>
            <w:vAlign w:val="center"/>
          </w:tcPr>
          <w:p w14:paraId="36DC1643">
            <w:pPr>
              <w:pStyle w:val="10"/>
              <w:keepNext w:val="0"/>
              <w:keepLines/>
              <w:pageBreakBefore w:val="0"/>
              <w:widowControl w:val="0"/>
              <w:kinsoku/>
              <w:wordWrap/>
              <w:overflowPunct/>
              <w:topLinePunct/>
              <w:autoSpaceDE/>
              <w:autoSpaceDN/>
              <w:bidi w:val="0"/>
              <w:adjustRightInd/>
              <w:snapToGrid/>
              <w:spacing w:line="320" w:lineRule="exact"/>
              <w:ind w:left="0"/>
              <w:jc w:val="center"/>
              <w:textAlignment w:val="baseline"/>
              <w:rPr>
                <w:rFonts w:hint="default" w:ascii="Times New Roman" w:hAnsi="Times New Roman" w:eastAsia="黑体" w:cs="Times New Roman"/>
                <w:b w:val="0"/>
                <w:bCs w:val="0"/>
                <w:snapToGrid/>
                <w:spacing w:val="0"/>
                <w:w w:val="100"/>
                <w:kern w:val="21"/>
                <w:sz w:val="24"/>
                <w:szCs w:val="24"/>
                <w:highlight w:val="none"/>
              </w:rPr>
            </w:pPr>
            <w:r>
              <w:rPr>
                <w:rFonts w:hint="default" w:ascii="Times New Roman" w:hAnsi="Times New Roman" w:eastAsia="黑体" w:cs="Times New Roman"/>
                <w:b w:val="0"/>
                <w:bCs w:val="0"/>
                <w:snapToGrid/>
                <w:spacing w:val="0"/>
                <w:w w:val="100"/>
                <w:kern w:val="21"/>
                <w:sz w:val="24"/>
                <w:szCs w:val="24"/>
                <w:highlight w:val="none"/>
              </w:rPr>
              <w:t>设定依据</w:t>
            </w:r>
          </w:p>
        </w:tc>
      </w:tr>
      <w:tr w14:paraId="21DF6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90" w:hRule="atLeast"/>
          <w:jc w:val="center"/>
        </w:trPr>
        <w:tc>
          <w:tcPr>
            <w:tcW w:w="652" w:type="dxa"/>
            <w:vAlign w:val="center"/>
          </w:tcPr>
          <w:p w14:paraId="7C4652D7">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w:t>
            </w:r>
          </w:p>
        </w:tc>
        <w:tc>
          <w:tcPr>
            <w:tcW w:w="1928" w:type="dxa"/>
            <w:vAlign w:val="center"/>
          </w:tcPr>
          <w:p w14:paraId="0AA0C082">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全行业</w:t>
            </w:r>
          </w:p>
        </w:tc>
        <w:tc>
          <w:tcPr>
            <w:tcW w:w="2551" w:type="dxa"/>
            <w:vAlign w:val="center"/>
          </w:tcPr>
          <w:p w14:paraId="5900AA65">
            <w:pPr>
              <w:pStyle w:val="10"/>
              <w:keepNext w:val="0"/>
              <w:keepLines/>
              <w:pageBreakBefore w:val="0"/>
              <w:widowControl w:val="0"/>
              <w:kinsoku/>
              <w:wordWrap/>
              <w:overflowPunct/>
              <w:topLinePunct/>
              <w:autoSpaceDE/>
              <w:autoSpaceDN/>
              <w:bidi w:val="0"/>
              <w:adjustRightInd/>
              <w:snapToGrid/>
              <w:spacing w:line="280" w:lineRule="exact"/>
              <w:ind w:left="0" w:right="0" w:firstLine="1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违法建筑、危险建筑、建筑物内的</w:t>
            </w:r>
            <w:r>
              <w:rPr>
                <w:rFonts w:hint="default" w:ascii="Times New Roman" w:hAnsi="Times New Roman" w:cs="Times New Roman"/>
                <w:snapToGrid/>
                <w:spacing w:val="0"/>
                <w:w w:val="100"/>
                <w:kern w:val="21"/>
                <w:highlight w:val="none"/>
              </w:rPr>
              <w:t>公共部分；</w:t>
            </w:r>
          </w:p>
          <w:p w14:paraId="3E58D7B2">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不得用于办理经营主体住所（经营场所）登记</w:t>
            </w:r>
            <w:r>
              <w:rPr>
                <w:rFonts w:hint="default" w:ascii="Times New Roman" w:hAnsi="Times New Roman" w:cs="Times New Roman"/>
                <w:snapToGrid/>
                <w:spacing w:val="0"/>
                <w:w w:val="100"/>
                <w:kern w:val="21"/>
                <w:highlight w:val="none"/>
              </w:rPr>
              <w:t>。</w:t>
            </w:r>
          </w:p>
        </w:tc>
        <w:tc>
          <w:tcPr>
            <w:tcW w:w="10091" w:type="dxa"/>
            <w:shd w:val="clear" w:color="auto" w:fill="auto"/>
            <w:vAlign w:val="center"/>
          </w:tcPr>
          <w:p w14:paraId="154AC1C8">
            <w:pPr>
              <w:pStyle w:val="10"/>
              <w:keepNext w:val="0"/>
              <w:keepLines/>
              <w:pageBreakBefore w:val="0"/>
              <w:widowControl w:val="0"/>
              <w:shd w:val="clea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b/>
                <w:bCs/>
                <w:snapToGrid/>
                <w:color w:val="auto"/>
                <w:spacing w:val="0"/>
                <w:w w:val="100"/>
                <w:kern w:val="21"/>
                <w:highlight w:val="none"/>
              </w:rPr>
              <w:t>《国务院关于印发注册资本登记制度改革方案的通知》（国发</w:t>
            </w:r>
            <w:r>
              <w:rPr>
                <w:rFonts w:hint="default" w:ascii="Times New Roman" w:hAnsi="Times New Roman" w:cs="Times New Roman"/>
                <w:b/>
                <w:bCs/>
                <w:snapToGrid/>
                <w:color w:val="auto"/>
                <w:spacing w:val="0"/>
                <w:w w:val="100"/>
                <w:kern w:val="21"/>
                <w:highlight w:val="none"/>
                <w:lang w:eastAsia="zh-CN"/>
              </w:rPr>
              <w:t>〔2014〕7号</w:t>
            </w:r>
            <w:r>
              <w:rPr>
                <w:rFonts w:hint="default" w:ascii="Times New Roman" w:hAnsi="Times New Roman" w:cs="Times New Roman"/>
                <w:b/>
                <w:bCs/>
                <w:snapToGrid/>
                <w:color w:val="auto"/>
                <w:spacing w:val="0"/>
                <w:w w:val="100"/>
                <w:kern w:val="21"/>
                <w:highlight w:val="none"/>
              </w:rPr>
              <w:t>）</w:t>
            </w:r>
          </w:p>
          <w:p w14:paraId="6F8A7922">
            <w:pPr>
              <w:pStyle w:val="10"/>
              <w:keepNext w:val="0"/>
              <w:keepLines/>
              <w:pageBreakBefore w:val="0"/>
              <w:widowControl w:val="0"/>
              <w:shd w:val="clear"/>
              <w:kinsoku/>
              <w:wordWrap/>
              <w:overflowPunct/>
              <w:topLinePunct/>
              <w:autoSpaceDE/>
              <w:autoSpaceDN/>
              <w:bidi w:val="0"/>
              <w:adjustRightInd/>
              <w:snapToGrid/>
              <w:spacing w:line="280" w:lineRule="exact"/>
              <w:ind w:left="0" w:right="0" w:firstLine="397"/>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第三条第七款（七）加强市场主体住所（经营场所）管理。工商行政管理机关根据投诉举报，依法处理市场主体登记住所（经营场所）与实际情况不符的问题。对于应当具备特定条件的住所（经营场所），或者利用非法建筑、擅自改变房屋用途等从事经营活动的，由规划、建设、国土、房屋管理、公安、环保、安全监管等部门依法管理；涉及许可审批事项的，由负责许可审批的行政管理部门依法监管。</w:t>
            </w:r>
          </w:p>
          <w:p w14:paraId="76B3CEE7">
            <w:pPr>
              <w:pStyle w:val="10"/>
              <w:keepNext w:val="0"/>
              <w:keepLines/>
              <w:pageBreakBefore w:val="0"/>
              <w:widowControl w:val="0"/>
              <w:shd w:val="clear"/>
              <w:kinsoku/>
              <w:wordWrap/>
              <w:overflowPunct/>
              <w:topLinePunct/>
              <w:autoSpaceDE/>
              <w:autoSpaceDN/>
              <w:bidi w:val="0"/>
              <w:adjustRightInd/>
              <w:snapToGrid/>
              <w:spacing w:line="280" w:lineRule="exact"/>
              <w:ind w:left="0" w:right="0" w:hanging="12"/>
              <w:jc w:val="both"/>
              <w:textAlignment w:val="baseline"/>
              <w:rPr>
                <w:rFonts w:hint="default" w:ascii="Times New Roman" w:hAnsi="Times New Roman" w:eastAsia="微软雅黑" w:cs="Times New Roman"/>
                <w:snapToGrid/>
                <w:color w:val="auto"/>
                <w:spacing w:val="0"/>
                <w:w w:val="100"/>
                <w:kern w:val="21"/>
                <w:highlight w:val="none"/>
                <w:lang w:eastAsia="zh-CN"/>
              </w:rPr>
            </w:pPr>
            <w:r>
              <w:rPr>
                <w:rFonts w:hint="default" w:ascii="Times New Roman" w:hAnsi="Times New Roman" w:cs="Times New Roman"/>
                <w:b/>
                <w:bCs/>
                <w:snapToGrid/>
                <w:color w:val="auto"/>
                <w:spacing w:val="0"/>
                <w:w w:val="100"/>
                <w:kern w:val="21"/>
                <w:highlight w:val="none"/>
              </w:rPr>
              <w:t>《黑龙江省人民政府办公厅关于印发</w:t>
            </w:r>
            <w:r>
              <w:rPr>
                <w:rFonts w:hint="default" w:ascii="Times New Roman" w:hAnsi="Times New Roman" w:cs="Times New Roman"/>
                <w:b/>
                <w:bCs/>
                <w:snapToGrid/>
                <w:color w:val="auto"/>
                <w:spacing w:val="0"/>
                <w:w w:val="100"/>
                <w:kern w:val="21"/>
                <w:highlight w:val="none"/>
                <w:lang w:eastAsia="zh-CN"/>
              </w:rPr>
              <w:t>〈</w:t>
            </w:r>
            <w:r>
              <w:rPr>
                <w:rFonts w:hint="default" w:ascii="Times New Roman" w:hAnsi="Times New Roman" w:cs="Times New Roman"/>
                <w:b/>
                <w:bCs/>
                <w:snapToGrid/>
                <w:color w:val="auto"/>
                <w:spacing w:val="0"/>
                <w:w w:val="100"/>
                <w:kern w:val="21"/>
                <w:highlight w:val="none"/>
              </w:rPr>
              <w:t>黑龙江省经营主体住所（经营场所）登记管理办法</w:t>
            </w:r>
            <w:r>
              <w:rPr>
                <w:rFonts w:hint="default" w:ascii="Times New Roman" w:hAnsi="Times New Roman" w:cs="Times New Roman"/>
                <w:b/>
                <w:bCs/>
                <w:snapToGrid/>
                <w:color w:val="auto"/>
                <w:spacing w:val="0"/>
                <w:w w:val="100"/>
                <w:kern w:val="21"/>
                <w:highlight w:val="none"/>
                <w:lang w:eastAsia="zh-CN"/>
              </w:rPr>
              <w:t>〉</w:t>
            </w:r>
            <w:r>
              <w:rPr>
                <w:rFonts w:hint="default" w:ascii="Times New Roman" w:hAnsi="Times New Roman" w:cs="Times New Roman"/>
                <w:b/>
                <w:bCs/>
                <w:snapToGrid/>
                <w:color w:val="auto"/>
                <w:spacing w:val="0"/>
                <w:w w:val="100"/>
                <w:kern w:val="21"/>
                <w:highlight w:val="none"/>
              </w:rPr>
              <w:t>的通知</w:t>
            </w:r>
            <w:r>
              <w:rPr>
                <w:rFonts w:hint="default" w:ascii="Times New Roman" w:hAnsi="Times New Roman" w:cs="Times New Roman"/>
                <w:b/>
                <w:bCs/>
                <w:snapToGrid/>
                <w:color w:val="auto"/>
                <w:spacing w:val="0"/>
                <w:w w:val="100"/>
                <w:kern w:val="21"/>
                <w:highlight w:val="none"/>
              </w:rPr>
              <w:t>）</w:t>
            </w:r>
            <w:r>
              <w:rPr>
                <w:rFonts w:hint="default" w:ascii="Times New Roman" w:hAnsi="Times New Roman" w:cs="Times New Roman"/>
                <w:b/>
                <w:bCs/>
                <w:snapToGrid/>
                <w:color w:val="auto"/>
                <w:spacing w:val="0"/>
                <w:w w:val="100"/>
                <w:kern w:val="21"/>
                <w:highlight w:val="none"/>
                <w:lang w:eastAsia="zh-CN"/>
              </w:rPr>
              <w:t>》（黑政办规〔2025〕4号）</w:t>
            </w:r>
          </w:p>
          <w:p w14:paraId="58A1F020">
            <w:pPr>
              <w:pStyle w:val="10"/>
              <w:keepNext w:val="0"/>
              <w:keepLines/>
              <w:pageBreakBefore w:val="0"/>
              <w:widowControl w:val="0"/>
              <w:shd w:val="clear"/>
              <w:kinsoku/>
              <w:wordWrap/>
              <w:overflowPunct/>
              <w:topLinePunct/>
              <w:autoSpaceDE/>
              <w:autoSpaceDN/>
              <w:bidi w:val="0"/>
              <w:adjustRightInd/>
              <w:snapToGrid/>
              <w:spacing w:line="280" w:lineRule="exact"/>
              <w:ind w:left="0" w:right="0" w:firstLine="397"/>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第九条</w:t>
            </w:r>
            <w:r>
              <w:rPr>
                <w:rFonts w:hint="eastAsia" w:ascii="Times New Roman" w:hAnsi="Times New Roman" w:cs="Times New Roman"/>
                <w:snapToGrid/>
                <w:color w:val="auto"/>
                <w:spacing w:val="0"/>
                <w:w w:val="100"/>
                <w:kern w:val="21"/>
                <w:highlight w:val="none"/>
                <w:lang w:val="en-US" w:eastAsia="zh-CN"/>
              </w:rPr>
              <w:t xml:space="preserve">  </w:t>
            </w:r>
            <w:r>
              <w:rPr>
                <w:rFonts w:hint="default" w:ascii="Times New Roman" w:hAnsi="Times New Roman" w:cs="Times New Roman"/>
                <w:snapToGrid/>
                <w:color w:val="auto"/>
                <w:spacing w:val="0"/>
                <w:w w:val="100"/>
                <w:kern w:val="21"/>
                <w:highlight w:val="none"/>
              </w:rPr>
              <w:t>下列场所不得用于办理经营主体住所（经营场所）登记，经营主体对违反本条中禁止性规定的行为承担法律责任。</w:t>
            </w:r>
          </w:p>
          <w:p w14:paraId="05E911D8">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（一）非法建筑房屋；</w:t>
            </w:r>
          </w:p>
          <w:p w14:paraId="11B82065">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（二）被鉴定确定为危险建筑房屋；</w:t>
            </w:r>
          </w:p>
          <w:p w14:paraId="79584C13">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（三）建筑物内的公共部分；</w:t>
            </w:r>
          </w:p>
          <w:p w14:paraId="24522324">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（四）超出批准使用期限的临时建筑；</w:t>
            </w:r>
          </w:p>
          <w:p w14:paraId="21BA243F">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（五）已纳入行政征收范围的住宅；</w:t>
            </w:r>
          </w:p>
          <w:p w14:paraId="41219744">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（六）未经竣工验收合格的房屋；</w:t>
            </w:r>
          </w:p>
          <w:p w14:paraId="1C2F9DB9">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（七）违法用地建设项目内的房屋；</w:t>
            </w:r>
          </w:p>
          <w:p w14:paraId="4A5AAC12">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（八）未依法依规取得房屋安全鉴定合格证明自建房屋；</w:t>
            </w:r>
          </w:p>
          <w:p w14:paraId="3E6418BB">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（九）非固定的经营场所；</w:t>
            </w:r>
          </w:p>
          <w:p w14:paraId="58CC2582">
            <w:pPr>
              <w:pStyle w:val="10"/>
              <w:keepNext w:val="0"/>
              <w:keepLines/>
              <w:pageBreakBefore w:val="0"/>
              <w:widowControl w:val="0"/>
              <w:shd w:val="clear"/>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（十）法律法规规定不得用于住所（经营场所）的其他建筑。</w:t>
            </w:r>
          </w:p>
          <w:p w14:paraId="4C71976F">
            <w:pPr>
              <w:pStyle w:val="10"/>
              <w:keepNext w:val="0"/>
              <w:keepLines/>
              <w:pageBreakBefore w:val="0"/>
              <w:widowControl w:val="0"/>
              <w:shd w:val="clear"/>
              <w:kinsoku/>
              <w:wordWrap/>
              <w:overflowPunct/>
              <w:topLinePunct/>
              <w:autoSpaceDE/>
              <w:autoSpaceDN/>
              <w:bidi w:val="0"/>
              <w:adjustRightInd/>
              <w:snapToGrid/>
              <w:spacing w:line="280" w:lineRule="exact"/>
              <w:ind w:right="0" w:rightChars="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各市（地）人民政府（行署）对经营场所实行负面清单动态管理，并依法向社会公布本地区禁止登记经营的区域或限定性条件。</w:t>
            </w:r>
          </w:p>
        </w:tc>
      </w:tr>
      <w:tr w14:paraId="3C12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75" w:hRule="atLeast"/>
          <w:jc w:val="center"/>
        </w:trPr>
        <w:tc>
          <w:tcPr>
            <w:tcW w:w="652" w:type="dxa"/>
            <w:vAlign w:val="center"/>
          </w:tcPr>
          <w:p w14:paraId="688FE837">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w:t>
            </w:r>
          </w:p>
        </w:tc>
        <w:tc>
          <w:tcPr>
            <w:tcW w:w="1928" w:type="dxa"/>
            <w:vAlign w:val="center"/>
          </w:tcPr>
          <w:p w14:paraId="7269E572">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全行业</w:t>
            </w:r>
          </w:p>
        </w:tc>
        <w:tc>
          <w:tcPr>
            <w:tcW w:w="2551" w:type="dxa"/>
            <w:vAlign w:val="center"/>
          </w:tcPr>
          <w:p w14:paraId="3DF089B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军事禁区、军事管理区。</w:t>
            </w:r>
          </w:p>
        </w:tc>
        <w:tc>
          <w:tcPr>
            <w:tcW w:w="10091" w:type="dxa"/>
            <w:shd w:val="clear" w:color="auto" w:fill="auto"/>
            <w:vAlign w:val="center"/>
          </w:tcPr>
          <w:p w14:paraId="16A36E6A">
            <w:pPr>
              <w:pStyle w:val="10"/>
              <w:keepNext w:val="0"/>
              <w:keepLines/>
              <w:pageBreakBefore w:val="0"/>
              <w:widowControl w:val="0"/>
              <w:shd w:val="clea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b/>
                <w:bCs/>
                <w:snapToGrid/>
                <w:color w:val="auto"/>
                <w:spacing w:val="0"/>
                <w:w w:val="100"/>
                <w:kern w:val="21"/>
                <w:highlight w:val="none"/>
              </w:rPr>
              <w:t>《中华人民共和国军事设施保护法》（2021年修订）</w:t>
            </w:r>
          </w:p>
          <w:p w14:paraId="264E4C4F">
            <w:pPr>
              <w:pStyle w:val="10"/>
              <w:keepNext w:val="0"/>
              <w:keepLines/>
              <w:pageBreakBefore w:val="0"/>
              <w:widowControl w:val="0"/>
              <w:shd w:val="clear"/>
              <w:kinsoku/>
              <w:wordWrap/>
              <w:overflowPunct/>
              <w:topLinePunct/>
              <w:autoSpaceDE/>
              <w:autoSpaceDN/>
              <w:bidi w:val="0"/>
              <w:adjustRightInd/>
              <w:snapToGrid/>
              <w:spacing w:line="280" w:lineRule="exact"/>
              <w:ind w:left="0" w:right="0" w:firstLine="399"/>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第十七条禁止陆地、水域军事禁区管理单位以外的人员、车辆、船舶等进入军事禁区，禁止航空器在陆地、水域军事禁区上空进行低空飞行，禁止对军事禁区进行摄影、摄像、录音、勘察、测量、定位、描绘和记述。但是，经有关军事机关批准的除外。禁止航空器进入空中军事禁区，但依照国家有关规定获得批准的除外。使用军事禁区的摄影、摄像、录音、勘察、测量、定位、描绘和记述资料，应当经有关军事机关批准。</w:t>
            </w:r>
          </w:p>
          <w:p w14:paraId="3570F24A">
            <w:pPr>
              <w:pStyle w:val="10"/>
              <w:keepNext w:val="0"/>
              <w:keepLines/>
              <w:pageBreakBefore w:val="0"/>
              <w:widowControl w:val="0"/>
              <w:shd w:val="clear"/>
              <w:kinsoku/>
              <w:wordWrap/>
              <w:overflowPunct/>
              <w:topLinePunct/>
              <w:autoSpaceDE/>
              <w:autoSpaceDN/>
              <w:bidi w:val="0"/>
              <w:adjustRightInd/>
              <w:snapToGrid/>
              <w:spacing w:line="280" w:lineRule="exact"/>
              <w:ind w:left="0" w:right="0" w:firstLine="399"/>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第十八条在陆地军事禁区内，禁止建造、设置非军事设施，禁止开发利用地下空间。但是，经战区级以上军事机关批准的除外。在水域军事禁区内，禁止建造、设置非军事设施，禁止从事水产养殖、捕捞以及其他妨碍军用舰船行动、危害军事设施安全和使用效能的活动。</w:t>
            </w:r>
          </w:p>
        </w:tc>
      </w:tr>
      <w:tr w14:paraId="131E6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154" w:hRule="atLeast"/>
          <w:jc w:val="center"/>
        </w:trPr>
        <w:tc>
          <w:tcPr>
            <w:tcW w:w="652" w:type="dxa"/>
            <w:vAlign w:val="center"/>
          </w:tcPr>
          <w:p w14:paraId="54050E67">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w:t>
            </w:r>
          </w:p>
        </w:tc>
        <w:tc>
          <w:tcPr>
            <w:tcW w:w="1928" w:type="dxa"/>
            <w:vAlign w:val="center"/>
          </w:tcPr>
          <w:p w14:paraId="78596071">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全行业</w:t>
            </w:r>
          </w:p>
        </w:tc>
        <w:tc>
          <w:tcPr>
            <w:tcW w:w="2551" w:type="dxa"/>
            <w:vAlign w:val="center"/>
          </w:tcPr>
          <w:p w14:paraId="313A2AC9">
            <w:pPr>
              <w:pStyle w:val="10"/>
              <w:keepNext w:val="0"/>
              <w:keepLines/>
              <w:pageBreakBefore w:val="0"/>
              <w:widowControl w:val="0"/>
              <w:kinsoku/>
              <w:wordWrap/>
              <w:overflowPunct/>
              <w:topLinePunct/>
              <w:autoSpaceDE/>
              <w:autoSpaceDN/>
              <w:bidi w:val="0"/>
              <w:adjustRightInd/>
              <w:snapToGrid/>
              <w:spacing w:line="280" w:lineRule="exact"/>
              <w:ind w:left="0" w:right="0" w:firstLine="4"/>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土地收储红线范围内及处于房屋征收</w:t>
            </w:r>
            <w:r>
              <w:rPr>
                <w:rFonts w:hint="default" w:ascii="Times New Roman" w:hAnsi="Times New Roman" w:cs="Times New Roman"/>
                <w:snapToGrid/>
                <w:spacing w:val="0"/>
                <w:w w:val="100"/>
                <w:kern w:val="21"/>
                <w:highlight w:val="none"/>
              </w:rPr>
              <w:t>部门规定的封闭地段内。</w:t>
            </w:r>
          </w:p>
        </w:tc>
        <w:tc>
          <w:tcPr>
            <w:tcW w:w="10091" w:type="dxa"/>
            <w:shd w:val="clear" w:color="auto" w:fill="auto"/>
            <w:vAlign w:val="center"/>
          </w:tcPr>
          <w:p w14:paraId="39A85625">
            <w:pPr>
              <w:pStyle w:val="10"/>
              <w:keepNext w:val="0"/>
              <w:keepLines/>
              <w:pageBreakBefore w:val="0"/>
              <w:widowControl w:val="0"/>
              <w:shd w:val="clea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b/>
                <w:bCs/>
                <w:snapToGrid/>
                <w:color w:val="auto"/>
                <w:spacing w:val="0"/>
                <w:w w:val="100"/>
                <w:kern w:val="21"/>
                <w:highlight w:val="none"/>
              </w:rPr>
              <w:t>《国有土地上房屋征收与补偿条例》（国务院令第590号）</w:t>
            </w:r>
          </w:p>
          <w:p w14:paraId="19E0CD72">
            <w:pPr>
              <w:pStyle w:val="10"/>
              <w:keepNext w:val="0"/>
              <w:keepLines/>
              <w:pageBreakBefore w:val="0"/>
              <w:widowControl w:val="0"/>
              <w:shd w:val="clear"/>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cs="Times New Roman"/>
                <w:snapToGrid/>
                <w:color w:val="auto"/>
                <w:spacing w:val="0"/>
                <w:w w:val="100"/>
                <w:kern w:val="21"/>
                <w:highlight w:val="none"/>
              </w:rPr>
            </w:pPr>
            <w:r>
              <w:rPr>
                <w:rFonts w:hint="default" w:ascii="Times New Roman" w:hAnsi="Times New Roman" w:cs="Times New Roman"/>
                <w:snapToGrid/>
                <w:color w:val="auto"/>
                <w:spacing w:val="0"/>
                <w:w w:val="100"/>
                <w:kern w:val="21"/>
                <w:highlight w:val="none"/>
              </w:rPr>
              <w:t>第十六条房屋征收范围确定后，不得在房屋征收范围内实施新建、扩建、改建房屋和改变房屋用途等不当增加补偿费用的行为；违反规定实施的，不予补偿。房屋征收部门应当将前款所列事项书面通知有关部门暂停办理相关手续。暂停办理相关手续的书面通知应当载明暂停期限</w:t>
            </w:r>
            <w:bookmarkStart w:id="0" w:name="_GoBack"/>
            <w:bookmarkEnd w:id="0"/>
            <w:r>
              <w:rPr>
                <w:rFonts w:hint="default" w:ascii="Times New Roman" w:hAnsi="Times New Roman" w:cs="Times New Roman"/>
                <w:snapToGrid/>
                <w:color w:val="auto"/>
                <w:spacing w:val="0"/>
                <w:w w:val="100"/>
                <w:kern w:val="21"/>
                <w:highlight w:val="none"/>
              </w:rPr>
              <w:t>。暂停期限最长不得超过1年</w:t>
            </w:r>
            <w:r>
              <w:rPr>
                <w:rFonts w:hint="default" w:ascii="Times New Roman" w:hAnsi="Times New Roman" w:cs="Times New Roman"/>
                <w:snapToGrid/>
                <w:color w:val="auto"/>
                <w:spacing w:val="0"/>
                <w:w w:val="100"/>
                <w:kern w:val="21"/>
                <w:highlight w:val="none"/>
                <w:lang w:eastAsia="zh-CN"/>
              </w:rPr>
              <w:t>。</w:t>
            </w:r>
          </w:p>
        </w:tc>
      </w:tr>
      <w:tr w14:paraId="58C7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391" w:hRule="atLeast"/>
          <w:jc w:val="center"/>
        </w:trPr>
        <w:tc>
          <w:tcPr>
            <w:tcW w:w="652" w:type="dxa"/>
            <w:vAlign w:val="center"/>
          </w:tcPr>
          <w:p w14:paraId="7425B0D9">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w:t>
            </w:r>
          </w:p>
        </w:tc>
        <w:tc>
          <w:tcPr>
            <w:tcW w:w="1928" w:type="dxa"/>
            <w:vAlign w:val="center"/>
          </w:tcPr>
          <w:p w14:paraId="54661498">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全行业</w:t>
            </w:r>
          </w:p>
        </w:tc>
        <w:tc>
          <w:tcPr>
            <w:tcW w:w="2551" w:type="dxa"/>
            <w:vAlign w:val="center"/>
          </w:tcPr>
          <w:p w14:paraId="578C371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公路、桥梁保护区域内</w:t>
            </w:r>
          </w:p>
        </w:tc>
        <w:tc>
          <w:tcPr>
            <w:tcW w:w="10091" w:type="dxa"/>
            <w:vAlign w:val="center"/>
          </w:tcPr>
          <w:p w14:paraId="3981FC0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《公路安全保护条例》（中华人民共和国国务院令第593号）2011年7月1日起</w:t>
            </w:r>
            <w:r>
              <w:rPr>
                <w:rFonts w:hint="default" w:ascii="Times New Roman" w:hAnsi="Times New Roman" w:cs="Times New Roman"/>
                <w:b/>
                <w:bCs/>
                <w:snapToGrid/>
                <w:spacing w:val="0"/>
                <w:w w:val="100"/>
                <w:kern w:val="21"/>
                <w:highlight w:val="none"/>
              </w:rPr>
              <w:t>施行</w:t>
            </w:r>
          </w:p>
          <w:p w14:paraId="44585A93">
            <w:pPr>
              <w:pStyle w:val="10"/>
              <w:keepNext w:val="0"/>
              <w:keepLines/>
              <w:pageBreakBefore w:val="0"/>
              <w:widowControl w:val="0"/>
              <w:kinsoku/>
              <w:wordWrap/>
              <w:overflowPunct/>
              <w:topLinePunct/>
              <w:autoSpaceDE/>
              <w:autoSpaceDN/>
              <w:bidi w:val="0"/>
              <w:adjustRightInd/>
              <w:snapToGrid/>
              <w:spacing w:line="280" w:lineRule="exact"/>
              <w:ind w:left="0" w:right="0" w:firstLine="40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第十一条县级以上地方人民政府应当根据保障公路运行安全和节约用地的原则以及公路发展的需</w:t>
            </w:r>
            <w:r>
              <w:rPr>
                <w:rFonts w:hint="default" w:ascii="Times New Roman" w:hAnsi="Times New Roman" w:cs="Times New Roman"/>
                <w:snapToGrid/>
                <w:spacing w:val="0"/>
                <w:w w:val="100"/>
                <w:kern w:val="21"/>
                <w:highlight w:val="none"/>
              </w:rPr>
              <w:t>要，组</w:t>
            </w:r>
            <w:r>
              <w:rPr>
                <w:rFonts w:hint="default" w:ascii="Times New Roman" w:hAnsi="Times New Roman" w:cs="Times New Roman"/>
                <w:snapToGrid/>
                <w:spacing w:val="0"/>
                <w:w w:val="100"/>
                <w:kern w:val="21"/>
                <w:highlight w:val="none"/>
              </w:rPr>
              <w:t>织交通运输、国土资源等部门划定公路建筑控制区的范围。公路建筑控制区的范围，从公路用地外缘起向外的</w:t>
            </w:r>
            <w:r>
              <w:rPr>
                <w:rFonts w:hint="default" w:ascii="Times New Roman" w:hAnsi="Times New Roman" w:cs="Times New Roman"/>
                <w:snapToGrid/>
                <w:spacing w:val="0"/>
                <w:w w:val="100"/>
                <w:kern w:val="21"/>
                <w:highlight w:val="none"/>
              </w:rPr>
              <w:t>距离标准为：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国道不少于20米；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省道不少于15米；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三</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县道不少于10米；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四</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乡道</w:t>
            </w:r>
            <w:r>
              <w:rPr>
                <w:rFonts w:hint="default" w:ascii="Times New Roman" w:hAnsi="Times New Roman" w:cs="Times New Roman"/>
                <w:snapToGrid/>
                <w:spacing w:val="0"/>
                <w:w w:val="100"/>
                <w:kern w:val="21"/>
                <w:highlight w:val="none"/>
              </w:rPr>
              <w:t>不少于5米。属于</w:t>
            </w:r>
            <w:r>
              <w:rPr>
                <w:rFonts w:hint="default" w:ascii="Times New Roman" w:hAnsi="Times New Roman" w:cs="Times New Roman"/>
                <w:snapToGrid/>
                <w:spacing w:val="0"/>
                <w:w w:val="100"/>
                <w:kern w:val="21"/>
                <w:highlight w:val="none"/>
              </w:rPr>
              <w:t>高速公路的，公路建筑控制区的范围从公路用地外缘起向外的距离标准不少于30</w:t>
            </w:r>
            <w:r>
              <w:rPr>
                <w:rFonts w:hint="default" w:ascii="Times New Roman" w:hAnsi="Times New Roman" w:cs="Times New Roman"/>
                <w:snapToGrid/>
                <w:spacing w:val="0"/>
                <w:w w:val="100"/>
                <w:kern w:val="21"/>
                <w:highlight w:val="none"/>
              </w:rPr>
              <w:t>米。公路弯道内侧、互通立</w:t>
            </w:r>
            <w:r>
              <w:rPr>
                <w:rFonts w:hint="default" w:ascii="Times New Roman" w:hAnsi="Times New Roman" w:cs="Times New Roman"/>
                <w:snapToGrid/>
                <w:spacing w:val="0"/>
                <w:w w:val="100"/>
                <w:kern w:val="21"/>
                <w:highlight w:val="none"/>
              </w:rPr>
              <w:t>交以及平面交叉道口的建筑控制区范围根据安全视距等要求确定。</w:t>
            </w:r>
          </w:p>
          <w:p w14:paraId="03AD7483">
            <w:pPr>
              <w:pStyle w:val="10"/>
              <w:keepNext w:val="0"/>
              <w:keepLines/>
              <w:pageBreakBefore w:val="0"/>
              <w:widowControl w:val="0"/>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第十三条在公路建筑控制区内，除公路保护需要外，禁止修建建筑物和地面构筑物；</w:t>
            </w:r>
            <w:r>
              <w:rPr>
                <w:rFonts w:hint="default" w:ascii="Times New Roman" w:hAnsi="Times New Roman" w:cs="Times New Roman"/>
                <w:snapToGrid/>
                <w:spacing w:val="0"/>
                <w:w w:val="100"/>
                <w:kern w:val="21"/>
                <w:highlight w:val="none"/>
              </w:rPr>
              <w:t>公路建筑控制区划</w:t>
            </w:r>
            <w:r>
              <w:rPr>
                <w:rFonts w:hint="default" w:ascii="Times New Roman" w:hAnsi="Times New Roman" w:cs="Times New Roman"/>
                <w:snapToGrid/>
                <w:spacing w:val="0"/>
                <w:w w:val="100"/>
                <w:kern w:val="21"/>
                <w:highlight w:val="none"/>
              </w:rPr>
              <w:t>定前已经合法修建的不得扩建，因公路建设或者保障公路运行安全等原因需要拆除的应当依法</w:t>
            </w:r>
            <w:r>
              <w:rPr>
                <w:rFonts w:hint="default" w:ascii="Times New Roman" w:hAnsi="Times New Roman" w:cs="Times New Roman"/>
                <w:snapToGrid/>
                <w:spacing w:val="0"/>
                <w:w w:val="100"/>
                <w:kern w:val="21"/>
                <w:highlight w:val="none"/>
              </w:rPr>
              <w:t>给予补偿。在公</w:t>
            </w:r>
            <w:r>
              <w:rPr>
                <w:rFonts w:hint="default" w:ascii="Times New Roman" w:hAnsi="Times New Roman" w:cs="Times New Roman"/>
                <w:snapToGrid/>
                <w:spacing w:val="0"/>
                <w:w w:val="100"/>
                <w:kern w:val="21"/>
                <w:highlight w:val="none"/>
              </w:rPr>
              <w:t>路建筑控制区外修建的建筑物、地面构筑物以及其他设施不得遮挡公路标志，不</w:t>
            </w:r>
            <w:r>
              <w:rPr>
                <w:rFonts w:hint="default" w:ascii="Times New Roman" w:hAnsi="Times New Roman" w:cs="Times New Roman"/>
                <w:snapToGrid/>
                <w:spacing w:val="0"/>
                <w:w w:val="100"/>
                <w:kern w:val="21"/>
                <w:highlight w:val="none"/>
              </w:rPr>
              <w:t>得妨碍安全视距。</w:t>
            </w:r>
          </w:p>
          <w:p w14:paraId="7E078CD5">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第十四条新建村镇、开发区、学校和货物集散地、大型商业网点、农贸市场等公共场所，与公路建筑控</w:t>
            </w:r>
            <w:r>
              <w:rPr>
                <w:rFonts w:hint="default" w:ascii="Times New Roman" w:hAnsi="Times New Roman" w:cs="Times New Roman"/>
                <w:snapToGrid/>
                <w:spacing w:val="0"/>
                <w:w w:val="100"/>
                <w:kern w:val="21"/>
                <w:highlight w:val="none"/>
              </w:rPr>
              <w:t>制区边界外缘的距离应当符合下列标准，并尽可能在公路一侧建设：</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国道、省道不少于50米；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县道、</w:t>
            </w:r>
            <w:r>
              <w:rPr>
                <w:rFonts w:hint="default" w:ascii="Times New Roman" w:hAnsi="Times New Roman" w:cs="Times New Roman"/>
                <w:snapToGrid/>
                <w:spacing w:val="0"/>
                <w:w w:val="100"/>
                <w:kern w:val="21"/>
                <w:highlight w:val="none"/>
              </w:rPr>
              <w:t>乡道不少于20米。</w:t>
            </w:r>
          </w:p>
          <w:p w14:paraId="734124C0">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第十六条禁止将公路作为检验车辆制动性能的试车场地。</w:t>
            </w:r>
          </w:p>
          <w:p w14:paraId="3C4A78CA">
            <w:pPr>
              <w:pStyle w:val="10"/>
              <w:keepNext w:val="0"/>
              <w:keepLines/>
              <w:pageBreakBefore w:val="0"/>
              <w:widowControl w:val="0"/>
              <w:kinsoku/>
              <w:wordWrap/>
              <w:overflowPunct/>
              <w:topLinePunct/>
              <w:autoSpaceDE/>
              <w:autoSpaceDN/>
              <w:bidi w:val="0"/>
              <w:adjustRightInd/>
              <w:snapToGrid/>
              <w:spacing w:line="280" w:lineRule="exact"/>
              <w:ind w:left="0" w:right="0" w:firstLine="39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禁止在公路、公路用地范围内摆摊设点、堆放物品、倾倒垃圾、设置障碍、挖沟引水、打场晒粮、种植作物、放养牲畜、采石、取土、采空作业、焚烧物品、利用公路边沟排放污物或者进</w:t>
            </w:r>
            <w:r>
              <w:rPr>
                <w:rFonts w:hint="default" w:ascii="Times New Roman" w:hAnsi="Times New Roman" w:cs="Times New Roman"/>
                <w:snapToGrid/>
                <w:spacing w:val="0"/>
                <w:w w:val="100"/>
                <w:kern w:val="21"/>
                <w:highlight w:val="none"/>
              </w:rPr>
              <w:t>行其他损坏、污染公路和影</w:t>
            </w:r>
            <w:r>
              <w:rPr>
                <w:rFonts w:hint="default" w:ascii="Times New Roman" w:hAnsi="Times New Roman" w:cs="Times New Roman"/>
                <w:snapToGrid/>
                <w:spacing w:val="0"/>
                <w:w w:val="100"/>
                <w:kern w:val="21"/>
                <w:highlight w:val="none"/>
              </w:rPr>
              <w:t>响公路畅通的行为。</w:t>
            </w:r>
          </w:p>
          <w:p w14:paraId="59B90C8E">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第十七条禁止在下列范围内从事采矿、采石、取土、爆破作业等危及公路、公路桥梁、公路隧道、公路</w:t>
            </w:r>
            <w:r>
              <w:rPr>
                <w:rFonts w:hint="default" w:ascii="Times New Roman" w:hAnsi="Times New Roman" w:cs="Times New Roman"/>
                <w:snapToGrid/>
                <w:spacing w:val="0"/>
                <w:w w:val="100"/>
                <w:kern w:val="21"/>
                <w:highlight w:val="none"/>
              </w:rPr>
              <w:t>渡口安全的活动：</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国道、省道、县道的公路用地外缘起向外100米，乡道的公路</w:t>
            </w:r>
            <w:r>
              <w:rPr>
                <w:rFonts w:hint="default" w:ascii="Times New Roman" w:hAnsi="Times New Roman" w:cs="Times New Roman"/>
                <w:snapToGrid/>
                <w:spacing w:val="0"/>
                <w:w w:val="100"/>
                <w:kern w:val="21"/>
                <w:highlight w:val="none"/>
              </w:rPr>
              <w:t>用地外缘起向外50米；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公路渡口和中型以上公路桥梁周围200米；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三</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公路隧道上方和洞口外100米。在前款规定的范围内，因抢险、</w:t>
            </w:r>
            <w:r>
              <w:rPr>
                <w:rFonts w:hint="default" w:ascii="Times New Roman" w:hAnsi="Times New Roman" w:cs="Times New Roman"/>
                <w:snapToGrid/>
                <w:spacing w:val="0"/>
                <w:w w:val="100"/>
                <w:kern w:val="21"/>
                <w:highlight w:val="none"/>
              </w:rPr>
              <w:t>防汛需要修筑堤坝、压缩或者拓宽河床的，应当经省、自治区、直辖市人民政府交通运输主管部门会同水行政</w:t>
            </w:r>
            <w:r>
              <w:rPr>
                <w:rFonts w:hint="default" w:ascii="Times New Roman" w:hAnsi="Times New Roman" w:cs="Times New Roman"/>
                <w:snapToGrid/>
                <w:spacing w:val="0"/>
                <w:w w:val="100"/>
                <w:kern w:val="21"/>
                <w:highlight w:val="none"/>
              </w:rPr>
              <w:t>主管部门或者流域管理机构批准，并采取安全防护措施方可进行。</w:t>
            </w:r>
          </w:p>
          <w:p w14:paraId="41035D28">
            <w:pPr>
              <w:pStyle w:val="10"/>
              <w:keepNext w:val="0"/>
              <w:keepLines/>
              <w:pageBreakBefore w:val="0"/>
              <w:widowControl w:val="0"/>
              <w:kinsoku/>
              <w:wordWrap/>
              <w:overflowPunct/>
              <w:topLinePunct/>
              <w:autoSpaceDE/>
              <w:autoSpaceDN/>
              <w:bidi w:val="0"/>
              <w:adjustRightInd/>
              <w:snapToGrid/>
              <w:spacing w:line="280" w:lineRule="exact"/>
              <w:ind w:left="0" w:right="0" w:firstLine="40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第十八条除按照国家有关规定设立的为车辆补充燃料的场所、设施外，</w:t>
            </w:r>
            <w:r>
              <w:rPr>
                <w:rFonts w:hint="default" w:ascii="Times New Roman" w:hAnsi="Times New Roman" w:cs="Times New Roman"/>
                <w:snapToGrid/>
                <w:spacing w:val="0"/>
                <w:w w:val="100"/>
                <w:kern w:val="21"/>
                <w:highlight w:val="none"/>
              </w:rPr>
              <w:t>禁止在下列范围内设立生产、储</w:t>
            </w:r>
            <w:r>
              <w:rPr>
                <w:rFonts w:hint="default" w:ascii="Times New Roman" w:hAnsi="Times New Roman" w:cs="Times New Roman"/>
                <w:snapToGrid/>
                <w:spacing w:val="0"/>
                <w:w w:val="100"/>
                <w:kern w:val="21"/>
                <w:highlight w:val="none"/>
              </w:rPr>
              <w:t>存、销售易燃、易爆、剧毒、放射性等危险物品的</w:t>
            </w:r>
            <w:r>
              <w:rPr>
                <w:rFonts w:hint="default" w:ascii="Times New Roman" w:hAnsi="Times New Roman" w:cs="Times New Roman"/>
                <w:snapToGrid/>
                <w:spacing w:val="0"/>
                <w:w w:val="100"/>
                <w:kern w:val="21"/>
                <w:highlight w:val="none"/>
              </w:rPr>
              <w:t>场所、设施：</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公路用地外缘起向外100米；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公路渡</w:t>
            </w:r>
            <w:r>
              <w:rPr>
                <w:rFonts w:hint="default" w:ascii="Times New Roman" w:hAnsi="Times New Roman" w:cs="Times New Roman"/>
                <w:snapToGrid/>
                <w:spacing w:val="0"/>
                <w:w w:val="100"/>
                <w:kern w:val="21"/>
                <w:highlight w:val="none"/>
              </w:rPr>
              <w:t>口和中型以上公路桥梁周围200米；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三</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公路隧道上方和洞口外100米。</w:t>
            </w:r>
          </w:p>
          <w:p w14:paraId="6BB7490A">
            <w:pPr>
              <w:pStyle w:val="10"/>
              <w:keepNext w:val="0"/>
              <w:keepLines/>
              <w:pageBreakBefore w:val="0"/>
              <w:widowControl w:val="0"/>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第十九条禁止擅自在中型以上公路桥梁跨越的</w:t>
            </w:r>
            <w:r>
              <w:rPr>
                <w:rFonts w:hint="default" w:ascii="Times New Roman" w:hAnsi="Times New Roman" w:cs="Times New Roman"/>
                <w:snapToGrid/>
                <w:spacing w:val="0"/>
                <w:w w:val="100"/>
                <w:kern w:val="21"/>
                <w:highlight w:val="none"/>
              </w:rPr>
              <w:t>河道上下游各1000米范围内抽取地下水、架设浮桥以及修</w:t>
            </w:r>
            <w:r>
              <w:rPr>
                <w:rFonts w:hint="default" w:ascii="Times New Roman" w:hAnsi="Times New Roman" w:cs="Times New Roman"/>
                <w:snapToGrid/>
                <w:spacing w:val="0"/>
                <w:w w:val="100"/>
                <w:kern w:val="21"/>
                <w:highlight w:val="none"/>
              </w:rPr>
              <w:t>建其他危及公路桥梁安全的设施。在前款规定的范围内，确需进行抽取地下水、架设浮桥等活</w:t>
            </w:r>
            <w:r>
              <w:rPr>
                <w:rFonts w:hint="default" w:ascii="Times New Roman" w:hAnsi="Times New Roman" w:cs="Times New Roman"/>
                <w:snapToGrid/>
                <w:spacing w:val="0"/>
                <w:w w:val="100"/>
                <w:kern w:val="21"/>
                <w:highlight w:val="none"/>
              </w:rPr>
              <w:t>动的，应当经水</w:t>
            </w:r>
            <w:r>
              <w:rPr>
                <w:rFonts w:hint="default" w:ascii="Times New Roman" w:hAnsi="Times New Roman" w:cs="Times New Roman"/>
                <w:snapToGrid/>
                <w:spacing w:val="0"/>
                <w:w w:val="100"/>
                <w:kern w:val="21"/>
                <w:highlight w:val="none"/>
              </w:rPr>
              <w:t>行政主管部门、流域管理机构等有关单位会同公路管理机构批准，并采取安全防</w:t>
            </w:r>
            <w:r>
              <w:rPr>
                <w:rFonts w:hint="default" w:ascii="Times New Roman" w:hAnsi="Times New Roman" w:cs="Times New Roman"/>
                <w:snapToGrid/>
                <w:spacing w:val="0"/>
                <w:w w:val="100"/>
                <w:kern w:val="21"/>
                <w:highlight w:val="none"/>
              </w:rPr>
              <w:t>护措施方可进行。</w:t>
            </w:r>
          </w:p>
          <w:p w14:paraId="52D51A97">
            <w:pPr>
              <w:pStyle w:val="10"/>
              <w:keepNext w:val="0"/>
              <w:keepLines/>
              <w:pageBreakBefore w:val="0"/>
              <w:widowControl w:val="0"/>
              <w:kinsoku/>
              <w:wordWrap/>
              <w:overflowPunct/>
              <w:topLinePunct/>
              <w:autoSpaceDE/>
              <w:autoSpaceDN/>
              <w:bidi w:val="0"/>
              <w:adjustRightInd/>
              <w:snapToGrid/>
              <w:spacing w:line="280" w:lineRule="exact"/>
              <w:ind w:left="0" w:right="0" w:firstLine="399"/>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第二十条禁止在公路桥梁跨越的河道上下游的下列范围内采砂</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特大型公路桥梁跨越的河道上游500</w:t>
            </w:r>
            <w:r>
              <w:rPr>
                <w:rFonts w:hint="default" w:ascii="Times New Roman" w:hAnsi="Times New Roman" w:cs="Times New Roman"/>
                <w:snapToGrid/>
                <w:spacing w:val="0"/>
                <w:w w:val="100"/>
                <w:kern w:val="21"/>
                <w:highlight w:val="none"/>
              </w:rPr>
              <w:t>米，下游3000米；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大型公路桥梁跨越的河道上游500米，下游2000米；</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三</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中小型</w:t>
            </w:r>
            <w:r>
              <w:rPr>
                <w:rFonts w:hint="default" w:ascii="Times New Roman" w:hAnsi="Times New Roman" w:cs="Times New Roman"/>
                <w:snapToGrid/>
                <w:spacing w:val="0"/>
                <w:w w:val="100"/>
                <w:kern w:val="21"/>
                <w:highlight w:val="none"/>
              </w:rPr>
              <w:t>公路桥梁跨越的河道</w:t>
            </w:r>
            <w:r>
              <w:rPr>
                <w:rFonts w:hint="default" w:ascii="Times New Roman" w:hAnsi="Times New Roman" w:cs="Times New Roman"/>
                <w:snapToGrid/>
                <w:spacing w:val="0"/>
                <w:w w:val="100"/>
                <w:kern w:val="21"/>
                <w:highlight w:val="none"/>
              </w:rPr>
              <w:t>上游500米，下游1000米。</w:t>
            </w:r>
          </w:p>
        </w:tc>
      </w:tr>
      <w:tr w14:paraId="66C9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31" w:hRule="atLeast"/>
          <w:jc w:val="center"/>
        </w:trPr>
        <w:tc>
          <w:tcPr>
            <w:tcW w:w="652" w:type="dxa"/>
            <w:vAlign w:val="center"/>
          </w:tcPr>
          <w:p w14:paraId="378D25F4">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5</w:t>
            </w:r>
          </w:p>
        </w:tc>
        <w:tc>
          <w:tcPr>
            <w:tcW w:w="1928" w:type="dxa"/>
            <w:vAlign w:val="center"/>
          </w:tcPr>
          <w:p w14:paraId="10A2AFBA">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全行业</w:t>
            </w:r>
          </w:p>
        </w:tc>
        <w:tc>
          <w:tcPr>
            <w:tcW w:w="2551" w:type="dxa"/>
            <w:vAlign w:val="center"/>
          </w:tcPr>
          <w:p w14:paraId="7414943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不符合城市管理需要、未按照规定取得利害关系人书面同意的城镇住宅（含车库、储藏间）。</w:t>
            </w:r>
          </w:p>
        </w:tc>
        <w:tc>
          <w:tcPr>
            <w:tcW w:w="10091" w:type="dxa"/>
            <w:vAlign w:val="center"/>
          </w:tcPr>
          <w:p w14:paraId="6F54D60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《中华人民共和国民法典》2021年1月1日起施行</w:t>
            </w:r>
          </w:p>
          <w:p w14:paraId="455F05B8">
            <w:pPr>
              <w:pStyle w:val="10"/>
              <w:keepNext w:val="0"/>
              <w:keepLines/>
              <w:pageBreakBefore w:val="0"/>
              <w:widowControl w:val="0"/>
              <w:kinsoku/>
              <w:wordWrap/>
              <w:overflowPunct/>
              <w:topLinePunct/>
              <w:autoSpaceDE/>
              <w:autoSpaceDN/>
              <w:bidi w:val="0"/>
              <w:adjustRightInd/>
              <w:snapToGrid/>
              <w:spacing w:line="280" w:lineRule="exact"/>
              <w:ind w:left="0" w:right="0" w:firstLine="397"/>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第二百七十九条业主不得违反法律、法规以及管理规约，将住宅改变为经营性用房。</w:t>
            </w:r>
            <w:r>
              <w:rPr>
                <w:rFonts w:hint="default" w:ascii="Times New Roman" w:hAnsi="Times New Roman" w:cs="Times New Roman"/>
                <w:snapToGrid/>
                <w:spacing w:val="0"/>
                <w:w w:val="100"/>
                <w:kern w:val="21"/>
                <w:highlight w:val="none"/>
              </w:rPr>
              <w:t>业主将住宅改变为</w:t>
            </w:r>
            <w:r>
              <w:rPr>
                <w:rFonts w:hint="default" w:ascii="Times New Roman" w:hAnsi="Times New Roman" w:cs="Times New Roman"/>
                <w:snapToGrid/>
                <w:spacing w:val="0"/>
                <w:w w:val="100"/>
                <w:kern w:val="21"/>
                <w:highlight w:val="none"/>
              </w:rPr>
              <w:t>经营性用房的，除遵守法律、法规以及管理规约外，应当经有</w:t>
            </w:r>
            <w:r>
              <w:rPr>
                <w:rFonts w:hint="default" w:ascii="Times New Roman" w:hAnsi="Times New Roman" w:cs="Times New Roman"/>
                <w:snapToGrid/>
                <w:spacing w:val="0"/>
                <w:w w:val="100"/>
                <w:kern w:val="21"/>
                <w:highlight w:val="none"/>
              </w:rPr>
              <w:t>利害关系的业主一致同意。</w:t>
            </w:r>
          </w:p>
        </w:tc>
      </w:tr>
      <w:tr w14:paraId="4D48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5" w:hRule="atLeast"/>
          <w:jc w:val="center"/>
        </w:trPr>
        <w:tc>
          <w:tcPr>
            <w:tcW w:w="652" w:type="dxa"/>
            <w:vAlign w:val="center"/>
          </w:tcPr>
          <w:p w14:paraId="722C99A7">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6</w:t>
            </w:r>
          </w:p>
        </w:tc>
        <w:tc>
          <w:tcPr>
            <w:tcW w:w="1928" w:type="dxa"/>
            <w:vAlign w:val="center"/>
          </w:tcPr>
          <w:p w14:paraId="3B3C9C6F">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全行业</w:t>
            </w:r>
          </w:p>
        </w:tc>
        <w:tc>
          <w:tcPr>
            <w:tcW w:w="2551" w:type="dxa"/>
            <w:vAlign w:val="center"/>
          </w:tcPr>
          <w:p w14:paraId="613EA48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1.违法设置排污口；</w:t>
            </w:r>
          </w:p>
          <w:p w14:paraId="1F87A4D2">
            <w:pPr>
              <w:pStyle w:val="10"/>
              <w:keepNext w:val="0"/>
              <w:keepLines/>
              <w:pageBreakBefore w:val="0"/>
              <w:widowControl w:val="0"/>
              <w:kinsoku/>
              <w:wordWrap/>
              <w:overflowPunct/>
              <w:topLinePunct/>
              <w:autoSpaceDE/>
              <w:autoSpaceDN/>
              <w:bidi w:val="0"/>
              <w:adjustRightInd/>
              <w:snapToGrid/>
              <w:spacing w:line="280" w:lineRule="exact"/>
              <w:ind w:left="0" w:right="0" w:firstLine="12"/>
              <w:jc w:val="both"/>
              <w:textAlignment w:val="baseline"/>
              <w:rPr>
                <w:rFonts w:hint="default" w:ascii="Times New Roman" w:hAnsi="Times New Roman" w:cs="Times New Roman"/>
                <w:snapToGrid/>
                <w:spacing w:val="0"/>
                <w:w w:val="100"/>
                <w:kern w:val="21"/>
                <w:sz w:val="20"/>
                <w:szCs w:val="20"/>
                <w:highlight w:val="none"/>
              </w:rPr>
            </w:pPr>
            <w:r>
              <w:rPr>
                <w:rFonts w:hint="default" w:ascii="Times New Roman" w:hAnsi="Times New Roman" w:eastAsia="Arial" w:cs="Times New Roman"/>
                <w:snapToGrid/>
                <w:spacing w:val="0"/>
                <w:w w:val="100"/>
                <w:kern w:val="21"/>
                <w:sz w:val="20"/>
                <w:szCs w:val="20"/>
                <w:highlight w:val="none"/>
              </w:rPr>
              <w:t>2.</w:t>
            </w:r>
            <w:r>
              <w:rPr>
                <w:rFonts w:hint="default" w:ascii="Times New Roman" w:hAnsi="Times New Roman" w:cs="Times New Roman"/>
                <w:snapToGrid/>
                <w:spacing w:val="0"/>
                <w:w w:val="100"/>
                <w:kern w:val="21"/>
                <w:sz w:val="20"/>
                <w:szCs w:val="20"/>
                <w:highlight w:val="none"/>
              </w:rPr>
              <w:t>新建、改建、扩建与供水设施和</w:t>
            </w:r>
            <w:r>
              <w:rPr>
                <w:rFonts w:hint="default" w:ascii="Times New Roman" w:hAnsi="Times New Roman" w:cs="Times New Roman"/>
                <w:snapToGrid/>
                <w:spacing w:val="0"/>
                <w:w w:val="100"/>
                <w:kern w:val="21"/>
                <w:sz w:val="20"/>
                <w:szCs w:val="20"/>
                <w:highlight w:val="none"/>
              </w:rPr>
              <w:t>保护水源无关的建设项目</w:t>
            </w:r>
          </w:p>
        </w:tc>
        <w:tc>
          <w:tcPr>
            <w:tcW w:w="10091" w:type="dxa"/>
            <w:vAlign w:val="center"/>
          </w:tcPr>
          <w:p w14:paraId="1BF2E18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《中华人民共和国水污染防治法》</w:t>
            </w:r>
          </w:p>
          <w:p w14:paraId="0ED69F22">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第六十四条在饮用水水源保护区内，禁止设置排污口。</w:t>
            </w:r>
          </w:p>
          <w:p w14:paraId="2415ABD0">
            <w:pPr>
              <w:pStyle w:val="10"/>
              <w:keepNext w:val="0"/>
              <w:keepLines/>
              <w:pageBreakBefore w:val="0"/>
              <w:widowControl w:val="0"/>
              <w:kinsoku/>
              <w:wordWrap/>
              <w:overflowPunct/>
              <w:topLinePunct/>
              <w:autoSpaceDE/>
              <w:autoSpaceDN/>
              <w:bidi w:val="0"/>
              <w:adjustRightInd/>
              <w:snapToGrid/>
              <w:spacing w:line="280" w:lineRule="exact"/>
              <w:ind w:left="0" w:right="0" w:firstLine="370" w:firstLineChars="195"/>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第六十五条禁止在饮用水水源一级保护区内新建、改建、扩建与供水设施和保护水源无关的建</w:t>
            </w:r>
            <w:r>
              <w:rPr>
                <w:rFonts w:hint="default" w:ascii="Times New Roman" w:hAnsi="Times New Roman" w:cs="Times New Roman"/>
                <w:snapToGrid/>
                <w:spacing w:val="0"/>
                <w:w w:val="100"/>
                <w:kern w:val="21"/>
                <w:highlight w:val="none"/>
              </w:rPr>
              <w:t>设项目；已</w:t>
            </w:r>
            <w:r>
              <w:rPr>
                <w:rFonts w:hint="default" w:ascii="Times New Roman" w:hAnsi="Times New Roman" w:cs="Times New Roman"/>
                <w:snapToGrid/>
                <w:spacing w:val="0"/>
                <w:w w:val="100"/>
                <w:kern w:val="21"/>
                <w:highlight w:val="none"/>
              </w:rPr>
              <w:t>建成的与供水设施和保护水源无关的建设项目，由县级以上人民政府责令拆除或者关闭。禁</w:t>
            </w:r>
            <w:r>
              <w:rPr>
                <w:rFonts w:hint="default" w:ascii="Times New Roman" w:hAnsi="Times New Roman" w:cs="Times New Roman"/>
                <w:snapToGrid/>
                <w:spacing w:val="0"/>
                <w:w w:val="100"/>
                <w:kern w:val="21"/>
                <w:highlight w:val="none"/>
              </w:rPr>
              <w:t>止在饮用水水源一</w:t>
            </w:r>
            <w:r>
              <w:rPr>
                <w:rFonts w:hint="default" w:ascii="Times New Roman" w:hAnsi="Times New Roman" w:cs="Times New Roman"/>
                <w:snapToGrid/>
                <w:spacing w:val="0"/>
                <w:w w:val="100"/>
                <w:kern w:val="21"/>
                <w:highlight w:val="none"/>
              </w:rPr>
              <w:t>级保护区内从事网箱养殖、旅游、游泳、垂钓或者</w:t>
            </w:r>
            <w:r>
              <w:rPr>
                <w:rFonts w:hint="default" w:ascii="Times New Roman" w:hAnsi="Times New Roman" w:cs="Times New Roman"/>
                <w:snapToGrid/>
                <w:spacing w:val="0"/>
                <w:w w:val="100"/>
                <w:kern w:val="21"/>
                <w:highlight w:val="none"/>
              </w:rPr>
              <w:t>其他可能污染饮用水水体的活动。</w:t>
            </w:r>
          </w:p>
          <w:p w14:paraId="23C52496">
            <w:pPr>
              <w:pStyle w:val="10"/>
              <w:keepNext w:val="0"/>
              <w:keepLines/>
              <w:pageBreakBefore w:val="0"/>
              <w:widowControl w:val="0"/>
              <w:kinsoku/>
              <w:wordWrap/>
              <w:overflowPunct/>
              <w:topLinePunct/>
              <w:autoSpaceDE/>
              <w:autoSpaceDN/>
              <w:bidi w:val="0"/>
              <w:adjustRightInd/>
              <w:snapToGrid/>
              <w:spacing w:line="280" w:lineRule="exact"/>
              <w:ind w:left="0" w:right="0" w:firstLine="366" w:firstLineChars="19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第六十六条禁止在饮用水水源二级保护区内新建、改建、扩建排放污染物的建设项目；已</w:t>
            </w:r>
            <w:r>
              <w:rPr>
                <w:rFonts w:hint="default" w:ascii="Times New Roman" w:hAnsi="Times New Roman" w:cs="Times New Roman"/>
                <w:snapToGrid/>
                <w:spacing w:val="0"/>
                <w:w w:val="100"/>
                <w:kern w:val="21"/>
                <w:highlight w:val="none"/>
              </w:rPr>
              <w:t>建成的排放污染</w:t>
            </w:r>
            <w:r>
              <w:rPr>
                <w:rFonts w:hint="default" w:ascii="Times New Roman" w:hAnsi="Times New Roman" w:cs="Times New Roman"/>
                <w:snapToGrid/>
                <w:spacing w:val="0"/>
                <w:w w:val="100"/>
                <w:kern w:val="21"/>
                <w:highlight w:val="none"/>
              </w:rPr>
              <w:t>物的建设项目，由县级以上人民政府责令拆除或者关闭。在饮用水水源二级保护区内</w:t>
            </w:r>
            <w:r>
              <w:rPr>
                <w:rFonts w:hint="default" w:ascii="Times New Roman" w:hAnsi="Times New Roman" w:cs="Times New Roman"/>
                <w:snapToGrid/>
                <w:spacing w:val="0"/>
                <w:w w:val="100"/>
                <w:kern w:val="21"/>
                <w:highlight w:val="none"/>
              </w:rPr>
              <w:t>从事网箱养殖、旅游等活</w:t>
            </w:r>
            <w:r>
              <w:rPr>
                <w:rFonts w:hint="default" w:ascii="Times New Roman" w:hAnsi="Times New Roman" w:cs="Times New Roman"/>
                <w:snapToGrid/>
                <w:spacing w:val="0"/>
                <w:w w:val="100"/>
                <w:kern w:val="21"/>
                <w:highlight w:val="none"/>
              </w:rPr>
              <w:t>动的，应当按照规定采取措施，防止污染饮用水水体。</w:t>
            </w:r>
          </w:p>
          <w:p w14:paraId="16D676A4">
            <w:pPr>
              <w:pStyle w:val="10"/>
              <w:keepNext w:val="0"/>
              <w:keepLines/>
              <w:pageBreakBefore w:val="0"/>
              <w:widowControl w:val="0"/>
              <w:kinsoku/>
              <w:wordWrap/>
              <w:overflowPunct/>
              <w:topLinePunct/>
              <w:autoSpaceDE/>
              <w:autoSpaceDN/>
              <w:bidi w:val="0"/>
              <w:adjustRightInd/>
              <w:snapToGrid/>
              <w:spacing w:line="280" w:lineRule="exact"/>
              <w:ind w:left="0" w:right="0" w:firstLine="368" w:firstLineChars="194"/>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第六十七条禁止在饮用水水源地保护区内新建、扩建对水体污染严重的建设项目；改建建设项</w:t>
            </w:r>
            <w:r>
              <w:rPr>
                <w:rFonts w:hint="default" w:ascii="Times New Roman" w:hAnsi="Times New Roman" w:cs="Times New Roman"/>
                <w:snapToGrid/>
                <w:spacing w:val="0"/>
                <w:w w:val="100"/>
                <w:kern w:val="21"/>
                <w:highlight w:val="none"/>
              </w:rPr>
              <w:t>目，不得增</w:t>
            </w:r>
            <w:r>
              <w:rPr>
                <w:rFonts w:hint="default" w:ascii="Times New Roman" w:hAnsi="Times New Roman" w:cs="Times New Roman"/>
                <w:snapToGrid/>
                <w:spacing w:val="0"/>
                <w:w w:val="100"/>
                <w:kern w:val="21"/>
                <w:highlight w:val="none"/>
              </w:rPr>
              <w:t>加排污量。</w:t>
            </w:r>
          </w:p>
        </w:tc>
      </w:tr>
      <w:tr w14:paraId="0642D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98" w:hRule="atLeast"/>
          <w:jc w:val="center"/>
        </w:trPr>
        <w:tc>
          <w:tcPr>
            <w:tcW w:w="652" w:type="dxa"/>
            <w:vAlign w:val="center"/>
          </w:tcPr>
          <w:p w14:paraId="424D1EF4">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eastAsia="微软雅黑"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7</w:t>
            </w:r>
          </w:p>
        </w:tc>
        <w:tc>
          <w:tcPr>
            <w:tcW w:w="1928" w:type="dxa"/>
            <w:shd w:val="clear" w:color="auto" w:fill="auto"/>
            <w:vAlign w:val="center"/>
          </w:tcPr>
          <w:p w14:paraId="77932869">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全行业</w:t>
            </w:r>
          </w:p>
        </w:tc>
        <w:tc>
          <w:tcPr>
            <w:tcW w:w="2551" w:type="dxa"/>
            <w:shd w:val="clear" w:color="auto" w:fill="auto"/>
            <w:vAlign w:val="center"/>
          </w:tcPr>
          <w:p w14:paraId="73810C18">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在征收区域内禁办工商营业执照</w:t>
            </w:r>
          </w:p>
        </w:tc>
        <w:tc>
          <w:tcPr>
            <w:tcW w:w="10091" w:type="dxa"/>
            <w:shd w:val="clear" w:color="auto" w:fill="auto"/>
            <w:vAlign w:val="center"/>
          </w:tcPr>
          <w:p w14:paraId="3811135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《恒山区人民政府关于暂停办理相关手续的封闭通知》</w:t>
            </w:r>
          </w:p>
          <w:p w14:paraId="4A4B76C0">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奋斗办事处、张新办事处、二道河子办事处、小恒山办事处、大恒山办事处、柳毛办事处辖区内所有平房及危楼；</w:t>
            </w:r>
          </w:p>
          <w:p w14:paraId="525A2F16">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红旗乡红旗村1、2、4、5组；义安村1组；</w:t>
            </w:r>
            <w:r>
              <w:rPr>
                <w:rFonts w:hint="default" w:ascii="Times New Roman" w:hAnsi="Times New Roman" w:cs="Times New Roman"/>
                <w:snapToGrid/>
                <w:spacing w:val="0"/>
                <w:w w:val="100"/>
                <w:kern w:val="21"/>
                <w:highlight w:val="none"/>
              </w:rPr>
              <w:t>安乐村1、2、4组。</w:t>
            </w:r>
          </w:p>
          <w:p w14:paraId="6269388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《梨树区人民政府关于暂停办理相关手续的通知》</w:t>
            </w:r>
          </w:p>
          <w:p w14:paraId="1874FC3A">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梨树区工业谷规划范围内（河东委、桥北委、碱北委、中</w:t>
            </w:r>
            <w:r>
              <w:rPr>
                <w:rFonts w:hint="default" w:ascii="Times New Roman" w:hAnsi="Times New Roman" w:cs="Times New Roman"/>
                <w:snapToGrid/>
                <w:spacing w:val="0"/>
                <w:w w:val="100"/>
                <w:kern w:val="21"/>
                <w:highlight w:val="none"/>
              </w:rPr>
              <w:t>兴委、中西委、下屯、河口委</w:t>
            </w:r>
            <w:r>
              <w:rPr>
                <w:rFonts w:hint="default" w:ascii="Times New Roman" w:hAnsi="Times New Roman" w:cs="Times New Roman"/>
                <w:snapToGrid/>
                <w:spacing w:val="0"/>
                <w:w w:val="100"/>
                <w:kern w:val="21"/>
                <w:highlight w:val="none"/>
              </w:rPr>
              <w:t>）；</w:t>
            </w:r>
          </w:p>
          <w:p w14:paraId="0FE233E6">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梨树区振兴路以西，丹阿公路以东，二道街与十一道街之间（建成小区、单位除</w:t>
            </w:r>
            <w:r>
              <w:rPr>
                <w:rFonts w:hint="default" w:ascii="Times New Roman" w:hAnsi="Times New Roman" w:cs="Times New Roman"/>
                <w:snapToGrid/>
                <w:spacing w:val="0"/>
                <w:w w:val="100"/>
                <w:kern w:val="21"/>
                <w:highlight w:val="none"/>
              </w:rPr>
              <w:t>外）围合区域内；慕华路以东，国铁路线以西，八道街至九道街之间围合区域内。</w:t>
            </w:r>
          </w:p>
          <w:p w14:paraId="0866439F">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《密山市人民政府关于对2023-43号地块启动政府征收程序的批复》</w:t>
            </w:r>
          </w:p>
          <w:p w14:paraId="6CDACF9D">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2023-43号地块即长青路东、消防路南、水源路北、万青路西侧。</w:t>
            </w:r>
          </w:p>
          <w:p w14:paraId="682640D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lang w:eastAsia="zh-CN"/>
              </w:rPr>
              <w:t>密山市</w:t>
            </w:r>
            <w:r>
              <w:rPr>
                <w:rFonts w:hint="default" w:ascii="Times New Roman" w:hAnsi="Times New Roman" w:cs="Times New Roman"/>
                <w:b/>
                <w:bCs/>
                <w:snapToGrid/>
                <w:spacing w:val="0"/>
                <w:w w:val="100"/>
                <w:kern w:val="21"/>
                <w:highlight w:val="none"/>
              </w:rPr>
              <w:t>《关于暂缓在北大营铁路北侧等三个地块内办理营业执照的函》</w:t>
            </w:r>
          </w:p>
          <w:p w14:paraId="5E3C9DCD">
            <w:pPr>
              <w:pStyle w:val="10"/>
              <w:keepNext w:val="0"/>
              <w:keepLines/>
              <w:pageBreakBefore w:val="0"/>
              <w:widowControl w:val="0"/>
              <w:kinsoku/>
              <w:wordWrap/>
              <w:overflowPunct/>
              <w:topLinePunct/>
              <w:autoSpaceDE/>
              <w:autoSpaceDN/>
              <w:bidi w:val="0"/>
              <w:adjustRightInd/>
              <w:snapToGrid/>
              <w:spacing w:line="280" w:lineRule="exact"/>
              <w:ind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北大营北侧地块（北大营小屯），即新民街南、平安街北、永固路西、建国路东（66千伏高压线往东85米以西）；2010-35号地块，即光明街南侧、中环南路北侧、崇知三路西侧、光复路东侧。</w:t>
            </w:r>
          </w:p>
        </w:tc>
      </w:tr>
      <w:tr w14:paraId="2CA8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948" w:hRule="atLeast"/>
          <w:jc w:val="center"/>
        </w:trPr>
        <w:tc>
          <w:tcPr>
            <w:tcW w:w="652" w:type="dxa"/>
            <w:vAlign w:val="center"/>
          </w:tcPr>
          <w:p w14:paraId="3F0F096F">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8</w:t>
            </w:r>
          </w:p>
        </w:tc>
        <w:tc>
          <w:tcPr>
            <w:tcW w:w="1928" w:type="dxa"/>
            <w:shd w:val="clear" w:color="auto" w:fill="auto"/>
            <w:vAlign w:val="center"/>
          </w:tcPr>
          <w:p w14:paraId="4DA12DDF">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仿宋" w:cs="Times New Roman"/>
                <w:snapToGrid/>
                <w:color w:val="000000"/>
                <w:spacing w:val="0"/>
                <w:w w:val="100"/>
                <w:kern w:val="21"/>
                <w:sz w:val="20"/>
                <w:szCs w:val="20"/>
                <w:highlight w:val="none"/>
                <w:lang w:val="en-US" w:eastAsia="en-US" w:bidi="ar-SA"/>
              </w:rPr>
            </w:pPr>
            <w:r>
              <w:rPr>
                <w:rFonts w:hint="default" w:ascii="Times New Roman" w:hAnsi="Times New Roman" w:cs="Times New Roman"/>
                <w:snapToGrid/>
                <w:spacing w:val="0"/>
                <w:w w:val="100"/>
                <w:kern w:val="21"/>
                <w:highlight w:val="none"/>
              </w:rPr>
              <w:t>全行业</w:t>
            </w:r>
          </w:p>
        </w:tc>
        <w:tc>
          <w:tcPr>
            <w:tcW w:w="2551" w:type="dxa"/>
            <w:shd w:val="clear" w:color="auto" w:fill="auto"/>
            <w:vAlign w:val="center"/>
          </w:tcPr>
          <w:p w14:paraId="58B9C61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黑龙江省兴凯湖国家级自然保护区核</w:t>
            </w:r>
            <w:r>
              <w:rPr>
                <w:rFonts w:hint="default" w:ascii="Times New Roman" w:hAnsi="Times New Roman" w:cs="Times New Roman"/>
                <w:snapToGrid/>
                <w:spacing w:val="0"/>
                <w:w w:val="100"/>
                <w:kern w:val="21"/>
                <w:highlight w:val="none"/>
              </w:rPr>
              <w:t>心区、缓冲区</w:t>
            </w:r>
          </w:p>
        </w:tc>
        <w:tc>
          <w:tcPr>
            <w:tcW w:w="10091" w:type="dxa"/>
            <w:shd w:val="clear" w:color="auto" w:fill="auto"/>
            <w:vAlign w:val="center"/>
          </w:tcPr>
          <w:p w14:paraId="73D895E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《黑龙江省兴凯湖国家级自然保护区管理条例》</w:t>
            </w:r>
          </w:p>
          <w:p w14:paraId="1A65BB83">
            <w:pPr>
              <w:pStyle w:val="10"/>
              <w:keepNext w:val="0"/>
              <w:keepLines/>
              <w:pageBreakBefore w:val="0"/>
              <w:widowControl w:val="0"/>
              <w:kinsoku/>
              <w:wordWrap/>
              <w:overflowPunct/>
              <w:topLinePunct/>
              <w:autoSpaceDE/>
              <w:autoSpaceDN/>
              <w:bidi w:val="0"/>
              <w:adjustRightInd/>
              <w:snapToGrid/>
              <w:spacing w:line="280" w:lineRule="exact"/>
              <w:ind w:left="0" w:right="0" w:firstLine="39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第十四条禁止任何人进入自然保护区的核心区。因科学研究的需要，必须进入核心区从事科学研</w:t>
            </w:r>
            <w:r>
              <w:rPr>
                <w:rFonts w:hint="default" w:ascii="Times New Roman" w:hAnsi="Times New Roman" w:cs="Times New Roman"/>
                <w:snapToGrid/>
                <w:spacing w:val="0"/>
                <w:w w:val="100"/>
                <w:kern w:val="21"/>
                <w:highlight w:val="none"/>
              </w:rPr>
              <w:t>究观测、</w:t>
            </w:r>
            <w:r>
              <w:rPr>
                <w:rFonts w:hint="default" w:ascii="Times New Roman" w:hAnsi="Times New Roman" w:cs="Times New Roman"/>
                <w:snapToGrid/>
                <w:spacing w:val="0"/>
                <w:w w:val="100"/>
                <w:kern w:val="21"/>
                <w:highlight w:val="none"/>
              </w:rPr>
              <w:t>调查活动的，应当事先向管理局提交申请和</w:t>
            </w:r>
            <w:r>
              <w:rPr>
                <w:rFonts w:hint="default" w:ascii="Times New Roman" w:hAnsi="Times New Roman" w:cs="Times New Roman"/>
                <w:snapToGrid/>
                <w:spacing w:val="0"/>
                <w:w w:val="100"/>
                <w:kern w:val="21"/>
                <w:highlight w:val="none"/>
              </w:rPr>
              <w:t>活动计划，并按照国家有关规定办理审批手续。</w:t>
            </w:r>
          </w:p>
          <w:p w14:paraId="3242A4E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核心区内现有的耕地应当逐步退耕还湿、还林、还草；现有的居民，应当有计划地迁出。</w:t>
            </w:r>
          </w:p>
          <w:p w14:paraId="38D8D9C1">
            <w:pPr>
              <w:pStyle w:val="10"/>
              <w:keepNext w:val="0"/>
              <w:keepLines/>
              <w:pageBreakBefore w:val="0"/>
              <w:widowControl w:val="0"/>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第十五条禁止在缓冲区开展旅游和生产经营活动。因教</w:t>
            </w:r>
            <w:r>
              <w:rPr>
                <w:rFonts w:hint="default" w:ascii="Times New Roman" w:hAnsi="Times New Roman" w:cs="Times New Roman"/>
                <w:snapToGrid/>
                <w:spacing w:val="0"/>
                <w:w w:val="100"/>
                <w:kern w:val="21"/>
                <w:highlight w:val="none"/>
              </w:rPr>
              <w:t>学科研的目的，需要进入缓冲区从事非破坏性的科学研究、教学实习和标本采集活动的，应当事先向管理局提交申请和活动计划，经管理</w:t>
            </w:r>
            <w:r>
              <w:rPr>
                <w:rFonts w:hint="default" w:ascii="Times New Roman" w:hAnsi="Times New Roman" w:cs="Times New Roman"/>
                <w:snapToGrid/>
                <w:spacing w:val="0"/>
                <w:w w:val="100"/>
                <w:kern w:val="21"/>
                <w:highlight w:val="none"/>
              </w:rPr>
              <w:t>局批准。</w:t>
            </w:r>
            <w:r>
              <w:rPr>
                <w:rFonts w:hint="default" w:ascii="Times New Roman" w:hAnsi="Times New Roman" w:cs="Times New Roman"/>
                <w:snapToGrid/>
                <w:spacing w:val="0"/>
                <w:w w:val="100"/>
                <w:kern w:val="21"/>
                <w:highlight w:val="none"/>
              </w:rPr>
              <w:t>经批准进入缓冲区从事前款规定活动的单位和个人，应当在指定的时间、地点、路线、范围内进行</w:t>
            </w:r>
            <w:r>
              <w:rPr>
                <w:rFonts w:hint="default" w:ascii="Times New Roman" w:hAnsi="Times New Roman" w:cs="Times New Roman"/>
                <w:snapToGrid/>
                <w:spacing w:val="0"/>
                <w:w w:val="100"/>
                <w:kern w:val="21"/>
                <w:highlight w:val="none"/>
              </w:rPr>
              <w:t>，按照</w:t>
            </w:r>
            <w:r>
              <w:rPr>
                <w:rFonts w:hint="default" w:ascii="Times New Roman" w:hAnsi="Times New Roman" w:cs="Times New Roman"/>
                <w:snapToGrid/>
                <w:spacing w:val="0"/>
                <w:w w:val="100"/>
                <w:kern w:val="21"/>
                <w:highlight w:val="none"/>
              </w:rPr>
              <w:t>批准的品种、数量采集标本。各项活动均应当接受</w:t>
            </w:r>
            <w:r>
              <w:rPr>
                <w:rFonts w:hint="default" w:ascii="Times New Roman" w:hAnsi="Times New Roman" w:cs="Times New Roman"/>
                <w:snapToGrid/>
                <w:spacing w:val="0"/>
                <w:w w:val="100"/>
                <w:kern w:val="21"/>
                <w:highlight w:val="none"/>
              </w:rPr>
              <w:t>管理局的管理和监督，并将活动成果副本提交管理局存档。</w:t>
            </w:r>
          </w:p>
        </w:tc>
      </w:tr>
      <w:tr w14:paraId="0A43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57" w:hRule="atLeast"/>
          <w:jc w:val="center"/>
        </w:trPr>
        <w:tc>
          <w:tcPr>
            <w:tcW w:w="652" w:type="dxa"/>
            <w:vAlign w:val="center"/>
          </w:tcPr>
          <w:p w14:paraId="7B97E095">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9</w:t>
            </w:r>
          </w:p>
        </w:tc>
        <w:tc>
          <w:tcPr>
            <w:tcW w:w="1928" w:type="dxa"/>
            <w:vAlign w:val="center"/>
          </w:tcPr>
          <w:p w14:paraId="6E31FF44">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烟花爆竹批发、零售</w:t>
            </w:r>
          </w:p>
        </w:tc>
        <w:tc>
          <w:tcPr>
            <w:tcW w:w="2551" w:type="dxa"/>
            <w:vAlign w:val="center"/>
          </w:tcPr>
          <w:p w14:paraId="39DE5975">
            <w:pPr>
              <w:pStyle w:val="10"/>
              <w:keepNext w:val="0"/>
              <w:keepLines/>
              <w:pageBreakBefore w:val="0"/>
              <w:widowControl w:val="0"/>
              <w:kinsoku/>
              <w:wordWrap/>
              <w:overflowPunct/>
              <w:topLinePunct/>
              <w:autoSpaceDE/>
              <w:autoSpaceDN/>
              <w:bidi w:val="0"/>
              <w:adjustRightInd/>
              <w:snapToGrid/>
              <w:spacing w:line="280" w:lineRule="exact"/>
              <w:ind w:left="0" w:right="0" w:firstLine="1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1.所在地省级安全监管局制定的批发</w:t>
            </w:r>
            <w:r>
              <w:rPr>
                <w:rFonts w:hint="default" w:ascii="Times New Roman" w:hAnsi="Times New Roman" w:cs="Times New Roman"/>
                <w:snapToGrid/>
                <w:spacing w:val="0"/>
                <w:w w:val="100"/>
                <w:kern w:val="21"/>
                <w:highlight w:val="none"/>
              </w:rPr>
              <w:t>企业布点以外，县级安全监管部门制定的零售经营布点以外；</w:t>
            </w:r>
          </w:p>
          <w:p w14:paraId="76E76F98">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2.城市建成区内设立烟花爆竹储存仓</w:t>
            </w:r>
            <w:r>
              <w:rPr>
                <w:rFonts w:hint="default" w:ascii="Times New Roman" w:hAnsi="Times New Roman" w:cs="Times New Roman"/>
                <w:snapToGrid/>
                <w:spacing w:val="0"/>
                <w:w w:val="100"/>
                <w:kern w:val="21"/>
                <w:highlight w:val="none"/>
              </w:rPr>
              <w:t>库；</w:t>
            </w:r>
          </w:p>
          <w:p w14:paraId="1818573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3.</w:t>
            </w:r>
            <w:r>
              <w:rPr>
                <w:rFonts w:hint="default" w:ascii="Times New Roman" w:hAnsi="Times New Roman" w:cs="Times New Roman"/>
                <w:snapToGrid/>
                <w:spacing w:val="0"/>
                <w:w w:val="100"/>
                <w:kern w:val="21"/>
                <w:highlight w:val="none"/>
              </w:rPr>
              <w:t>面积小于10平方米（零售</w:t>
            </w:r>
            <w:r>
              <w:rPr>
                <w:rFonts w:hint="default" w:ascii="Times New Roman" w:hAnsi="Times New Roman" w:cs="Times New Roman"/>
                <w:snapToGrid/>
                <w:spacing w:val="0"/>
                <w:w w:val="100"/>
                <w:kern w:val="21"/>
                <w:highlight w:val="none"/>
              </w:rPr>
              <w:t>）；</w:t>
            </w:r>
          </w:p>
          <w:p w14:paraId="7B84F4C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4.</w:t>
            </w:r>
            <w:r>
              <w:rPr>
                <w:rFonts w:hint="default" w:ascii="Times New Roman" w:hAnsi="Times New Roman" w:cs="Times New Roman"/>
                <w:snapToGrid/>
                <w:spacing w:val="0"/>
                <w:w w:val="100"/>
                <w:kern w:val="21"/>
                <w:highlight w:val="none"/>
              </w:rPr>
              <w:t>周边50米范围内已有其他烟花爆</w:t>
            </w:r>
            <w:r>
              <w:rPr>
                <w:rFonts w:hint="default" w:ascii="Times New Roman" w:hAnsi="Times New Roman" w:cs="Times New Roman"/>
                <w:snapToGrid/>
                <w:spacing w:val="0"/>
                <w:w w:val="100"/>
                <w:kern w:val="21"/>
                <w:highlight w:val="none"/>
              </w:rPr>
              <w:t>竹零售点（零售</w:t>
            </w:r>
            <w:r>
              <w:rPr>
                <w:rFonts w:hint="default" w:ascii="Times New Roman" w:hAnsi="Times New Roman" w:cs="Times New Roman"/>
                <w:snapToGrid/>
                <w:spacing w:val="0"/>
                <w:w w:val="100"/>
                <w:kern w:val="21"/>
                <w:highlight w:val="none"/>
              </w:rPr>
              <w:t>）；</w:t>
            </w:r>
          </w:p>
          <w:p w14:paraId="1B2F9BD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5.</w:t>
            </w:r>
            <w:r>
              <w:rPr>
                <w:rFonts w:hint="default" w:ascii="Times New Roman" w:hAnsi="Times New Roman" w:cs="Times New Roman"/>
                <w:snapToGrid/>
                <w:spacing w:val="0"/>
                <w:w w:val="100"/>
                <w:kern w:val="21"/>
                <w:highlight w:val="none"/>
              </w:rPr>
              <w:t>与学校、幼儿园、医院、集贸市场</w:t>
            </w:r>
            <w:r>
              <w:rPr>
                <w:rFonts w:hint="default" w:ascii="Times New Roman" w:hAnsi="Times New Roman" w:cs="Times New Roman"/>
                <w:snapToGrid/>
                <w:spacing w:val="0"/>
                <w:w w:val="100"/>
                <w:kern w:val="21"/>
                <w:highlight w:val="none"/>
              </w:rPr>
              <w:t>等人员密集场所和加油站等易燃易爆</w:t>
            </w:r>
            <w:r>
              <w:rPr>
                <w:rFonts w:hint="default" w:ascii="Times New Roman" w:hAnsi="Times New Roman" w:cs="Times New Roman"/>
                <w:snapToGrid/>
                <w:spacing w:val="0"/>
                <w:w w:val="100"/>
                <w:kern w:val="21"/>
                <w:highlight w:val="none"/>
              </w:rPr>
              <w:t>物品生产、储存设施等重点建筑物距</w:t>
            </w:r>
            <w:r>
              <w:rPr>
                <w:rFonts w:hint="default" w:ascii="Times New Roman" w:hAnsi="Times New Roman" w:cs="Times New Roman"/>
                <w:snapToGrid/>
                <w:spacing w:val="0"/>
                <w:w w:val="100"/>
                <w:kern w:val="21"/>
                <w:highlight w:val="none"/>
              </w:rPr>
              <w:t>离100米以下（零售</w:t>
            </w:r>
            <w:r>
              <w:rPr>
                <w:rFonts w:hint="default" w:ascii="Times New Roman" w:hAnsi="Times New Roman" w:cs="Times New Roman"/>
                <w:snapToGrid/>
                <w:spacing w:val="0"/>
                <w:w w:val="100"/>
                <w:kern w:val="21"/>
                <w:highlight w:val="none"/>
              </w:rPr>
              <w:t>）；</w:t>
            </w:r>
          </w:p>
          <w:p w14:paraId="508BF8A6">
            <w:pPr>
              <w:pStyle w:val="10"/>
              <w:keepNext w:val="0"/>
              <w:keepLines/>
              <w:pageBreakBefore w:val="0"/>
              <w:widowControl w:val="0"/>
              <w:kinsoku/>
              <w:wordWrap/>
              <w:overflowPunct/>
              <w:topLinePunct/>
              <w:autoSpaceDE/>
              <w:autoSpaceDN/>
              <w:bidi w:val="0"/>
              <w:adjustRightInd/>
              <w:snapToGrid/>
              <w:spacing w:line="280" w:lineRule="exact"/>
              <w:ind w:left="0" w:right="0" w:hanging="17"/>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6.</w:t>
            </w:r>
            <w:r>
              <w:rPr>
                <w:rFonts w:hint="default" w:ascii="Times New Roman" w:hAnsi="Times New Roman" w:cs="Times New Roman"/>
                <w:snapToGrid/>
                <w:spacing w:val="0"/>
                <w:w w:val="100"/>
                <w:kern w:val="21"/>
                <w:highlight w:val="none"/>
              </w:rPr>
              <w:t>与居民居住场所设置在同一建筑物</w:t>
            </w:r>
            <w:r>
              <w:rPr>
                <w:rFonts w:hint="default" w:ascii="Times New Roman" w:hAnsi="Times New Roman" w:cs="Times New Roman"/>
                <w:snapToGrid/>
                <w:spacing w:val="0"/>
                <w:w w:val="100"/>
                <w:kern w:val="21"/>
                <w:highlight w:val="none"/>
              </w:rPr>
              <w:t>内（零售点</w:t>
            </w:r>
            <w:r>
              <w:rPr>
                <w:rFonts w:hint="default" w:ascii="Times New Roman" w:hAnsi="Times New Roman" w:cs="Times New Roman"/>
                <w:snapToGrid/>
                <w:spacing w:val="0"/>
                <w:w w:val="100"/>
                <w:kern w:val="21"/>
                <w:highlight w:val="none"/>
              </w:rPr>
              <w:t>）；</w:t>
            </w:r>
          </w:p>
          <w:p w14:paraId="2223C69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7.军事管理区、文物保护区；</w:t>
            </w:r>
          </w:p>
          <w:p w14:paraId="2348FA7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8.居民集中居住小区内，以及桥下与</w:t>
            </w:r>
            <w:r>
              <w:rPr>
                <w:rFonts w:hint="default" w:ascii="Times New Roman" w:hAnsi="Times New Roman" w:cs="Times New Roman"/>
                <w:snapToGrid/>
                <w:spacing w:val="0"/>
                <w:w w:val="100"/>
                <w:kern w:val="21"/>
                <w:highlight w:val="none"/>
              </w:rPr>
              <w:t>涵洞内；</w:t>
            </w:r>
          </w:p>
          <w:p w14:paraId="1175F1F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9.地下、室内或上方有输送石油、天</w:t>
            </w:r>
            <w:r>
              <w:rPr>
                <w:rFonts w:hint="default" w:ascii="Times New Roman" w:hAnsi="Times New Roman" w:cs="Times New Roman"/>
                <w:snapToGrid/>
                <w:spacing w:val="0"/>
                <w:w w:val="100"/>
                <w:kern w:val="21"/>
                <w:highlight w:val="none"/>
              </w:rPr>
              <w:t>然气等易燃易爆物质管道的建筑物</w:t>
            </w:r>
            <w:r>
              <w:rPr>
                <w:rFonts w:hint="default" w:ascii="Times New Roman" w:hAnsi="Times New Roman" w:cs="Times New Roman"/>
                <w:snapToGrid/>
                <w:spacing w:val="0"/>
                <w:w w:val="100"/>
                <w:kern w:val="21"/>
                <w:highlight w:val="none"/>
              </w:rPr>
              <w:t>内；</w:t>
            </w:r>
          </w:p>
          <w:p w14:paraId="4319FF7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10.电压高于1</w:t>
            </w:r>
            <w:r>
              <w:rPr>
                <w:rFonts w:hint="default" w:ascii="Times New Roman" w:hAnsi="Times New Roman" w:cs="Times New Roman"/>
                <w:snapToGrid/>
                <w:spacing w:val="0"/>
                <w:w w:val="100"/>
                <w:kern w:val="21"/>
                <w:highlight w:val="none"/>
              </w:rPr>
              <w:t>kV</w:t>
            </w:r>
            <w:r>
              <w:rPr>
                <w:rFonts w:hint="default" w:ascii="Times New Roman" w:hAnsi="Times New Roman" w:cs="Times New Roman"/>
                <w:snapToGrid/>
                <w:spacing w:val="0"/>
                <w:w w:val="100"/>
                <w:kern w:val="21"/>
                <w:highlight w:val="none"/>
              </w:rPr>
              <w:t>的电力线路下方。</w:t>
            </w:r>
          </w:p>
        </w:tc>
        <w:tc>
          <w:tcPr>
            <w:tcW w:w="10091" w:type="dxa"/>
            <w:vAlign w:val="center"/>
          </w:tcPr>
          <w:p w14:paraId="1BC33F7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《烟花爆竹安全管理条例》（中华人民共和</w:t>
            </w:r>
            <w:r>
              <w:rPr>
                <w:rFonts w:hint="default" w:ascii="Times New Roman" w:hAnsi="Times New Roman" w:cs="Times New Roman"/>
                <w:b/>
                <w:bCs/>
                <w:snapToGrid/>
                <w:spacing w:val="0"/>
                <w:w w:val="100"/>
                <w:kern w:val="21"/>
                <w:highlight w:val="none"/>
              </w:rPr>
              <w:t>国国务院令第666号）</w:t>
            </w:r>
          </w:p>
          <w:p w14:paraId="528A4527">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第十六条烟花爆竹的经营分为批发和零售。</w:t>
            </w:r>
          </w:p>
          <w:p w14:paraId="08176BD6">
            <w:pPr>
              <w:pStyle w:val="10"/>
              <w:keepNext w:val="0"/>
              <w:keepLines/>
              <w:pageBreakBefore w:val="0"/>
              <w:widowControl w:val="0"/>
              <w:kinsoku/>
              <w:wordWrap/>
              <w:overflowPunct/>
              <w:topLinePunct/>
              <w:autoSpaceDE/>
              <w:autoSpaceDN/>
              <w:bidi w:val="0"/>
              <w:adjustRightInd/>
              <w:snapToGrid/>
              <w:spacing w:line="280" w:lineRule="exact"/>
              <w:ind w:left="0" w:right="0" w:firstLine="39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从事烟花爆竹批发的企业和零售经营者的经营布点，应当经安全生产监督管理部</w:t>
            </w:r>
            <w:r>
              <w:rPr>
                <w:rFonts w:hint="default" w:ascii="Times New Roman" w:hAnsi="Times New Roman" w:cs="Times New Roman"/>
                <w:snapToGrid/>
                <w:spacing w:val="0"/>
                <w:w w:val="100"/>
                <w:kern w:val="21"/>
                <w:highlight w:val="none"/>
              </w:rPr>
              <w:t>门审批。禁止在城市市区</w:t>
            </w:r>
            <w:r>
              <w:rPr>
                <w:rFonts w:hint="default" w:ascii="Times New Roman" w:hAnsi="Times New Roman" w:cs="Times New Roman"/>
                <w:snapToGrid/>
                <w:spacing w:val="0"/>
                <w:w w:val="100"/>
                <w:kern w:val="21"/>
                <w:highlight w:val="none"/>
              </w:rPr>
              <w:t>布设烟花爆竹批发场所；城市市区的烟花爆竹零售网点，应当按照严格控</w:t>
            </w:r>
            <w:r>
              <w:rPr>
                <w:rFonts w:hint="default" w:ascii="Times New Roman" w:hAnsi="Times New Roman" w:cs="Times New Roman"/>
                <w:snapToGrid/>
                <w:spacing w:val="0"/>
                <w:w w:val="100"/>
                <w:kern w:val="21"/>
                <w:highlight w:val="none"/>
              </w:rPr>
              <w:t>制的原则合理布设。</w:t>
            </w:r>
          </w:p>
          <w:p w14:paraId="5F0CB85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《烟花爆竹经营许可实施办法》（国家安全生产</w:t>
            </w:r>
            <w:r>
              <w:rPr>
                <w:rFonts w:hint="default" w:ascii="Times New Roman" w:hAnsi="Times New Roman" w:cs="Times New Roman"/>
                <w:b/>
                <w:bCs/>
                <w:snapToGrid/>
                <w:spacing w:val="0"/>
                <w:w w:val="100"/>
                <w:kern w:val="21"/>
                <w:highlight w:val="none"/>
              </w:rPr>
              <w:t>监督管理总局令第65号）</w:t>
            </w:r>
          </w:p>
          <w:p w14:paraId="7864F30C">
            <w:pPr>
              <w:pStyle w:val="10"/>
              <w:keepNext w:val="0"/>
              <w:keepLines/>
              <w:pageBreakBefore w:val="0"/>
              <w:widowControl w:val="0"/>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第四条第二款批发企业不得在城市建成区内设立烟花爆竹储存仓库，不得在批发（展示）场所摆放</w:t>
            </w:r>
            <w:r>
              <w:rPr>
                <w:rFonts w:hint="default" w:ascii="Times New Roman" w:hAnsi="Times New Roman" w:cs="Times New Roman"/>
                <w:snapToGrid/>
                <w:spacing w:val="0"/>
                <w:w w:val="100"/>
                <w:kern w:val="21"/>
                <w:highlight w:val="none"/>
                <w:lang w:eastAsia="zh-CN"/>
              </w:rPr>
              <w:t>有害</w:t>
            </w:r>
            <w:r>
              <w:rPr>
                <w:rFonts w:hint="default" w:ascii="Times New Roman" w:hAnsi="Times New Roman" w:cs="Times New Roman"/>
                <w:snapToGrid/>
                <w:spacing w:val="0"/>
                <w:w w:val="100"/>
                <w:kern w:val="21"/>
                <w:highlight w:val="none"/>
              </w:rPr>
              <w:t>样品；严格控制城市建成区内烟花爆竹零售点数量，且烟花爆竹零售点不得与居民居住场所</w:t>
            </w:r>
            <w:r>
              <w:rPr>
                <w:rFonts w:hint="default" w:ascii="Times New Roman" w:hAnsi="Times New Roman" w:cs="Times New Roman"/>
                <w:snapToGrid/>
                <w:spacing w:val="0"/>
                <w:w w:val="100"/>
                <w:kern w:val="21"/>
                <w:highlight w:val="none"/>
              </w:rPr>
              <w:t>设置在同一建筑物</w:t>
            </w:r>
            <w:r>
              <w:rPr>
                <w:rFonts w:hint="default" w:ascii="Times New Roman" w:hAnsi="Times New Roman" w:cs="Times New Roman"/>
                <w:snapToGrid/>
                <w:spacing w:val="0"/>
                <w:w w:val="100"/>
                <w:kern w:val="21"/>
                <w:highlight w:val="none"/>
              </w:rPr>
              <w:t>内。</w:t>
            </w:r>
          </w:p>
          <w:p w14:paraId="251B408B">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第十六条零售经营者应当符合下列条件</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一）符合所在地县级安全监管局制定的零售</w:t>
            </w:r>
            <w:r>
              <w:rPr>
                <w:rFonts w:hint="default" w:ascii="Times New Roman" w:hAnsi="Times New Roman" w:cs="Times New Roman"/>
                <w:snapToGrid/>
                <w:spacing w:val="0"/>
                <w:w w:val="100"/>
                <w:kern w:val="21"/>
                <w:highlight w:val="none"/>
              </w:rPr>
              <w:t>经营布点规划；</w:t>
            </w:r>
          </w:p>
          <w:p w14:paraId="028A4CDC">
            <w:pPr>
              <w:pStyle w:val="10"/>
              <w:keepNext w:val="0"/>
              <w:keepLines/>
              <w:pageBreakBefore w:val="0"/>
              <w:widowControl w:val="0"/>
              <w:kinsoku/>
              <w:wordWrap/>
              <w:overflowPunct/>
              <w:topLinePunct/>
              <w:autoSpaceDE/>
              <w:autoSpaceDN/>
              <w:bidi w:val="0"/>
              <w:adjustRightInd/>
              <w:snapToGrid/>
              <w:spacing w:line="280" w:lineRule="exact"/>
              <w:ind w:left="0" w:right="0" w:firstLine="19"/>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四）零售场所的面积不小于10平方米，其周边50米范围内没有其他烟花爆竹零</w:t>
            </w:r>
            <w:r>
              <w:rPr>
                <w:rFonts w:hint="default" w:ascii="Times New Roman" w:hAnsi="Times New Roman" w:cs="Times New Roman"/>
                <w:snapToGrid/>
                <w:spacing w:val="0"/>
                <w:w w:val="100"/>
                <w:kern w:val="21"/>
                <w:highlight w:val="none"/>
              </w:rPr>
              <w:t>售点，并与学校、幼儿园、医</w:t>
            </w:r>
            <w:r>
              <w:rPr>
                <w:rFonts w:hint="default" w:ascii="Times New Roman" w:hAnsi="Times New Roman" w:cs="Times New Roman"/>
                <w:snapToGrid/>
                <w:spacing w:val="0"/>
                <w:w w:val="100"/>
                <w:kern w:val="21"/>
                <w:highlight w:val="none"/>
              </w:rPr>
              <w:t>院、集贸市场等人员密集场所和加油站等易燃易爆物品生产、储存设施等重点建筑物保持100米以上的安全距</w:t>
            </w:r>
            <w:r>
              <w:rPr>
                <w:rFonts w:hint="default" w:ascii="Times New Roman" w:hAnsi="Times New Roman" w:cs="Times New Roman"/>
                <w:snapToGrid/>
                <w:spacing w:val="0"/>
                <w:w w:val="100"/>
                <w:kern w:val="21"/>
                <w:highlight w:val="none"/>
              </w:rPr>
              <w:t>离。</w:t>
            </w:r>
          </w:p>
          <w:p w14:paraId="37A9982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《烟花爆竹零售店（点）安全技术规范》（</w:t>
            </w:r>
            <w:r>
              <w:rPr>
                <w:rFonts w:hint="default" w:ascii="Times New Roman" w:hAnsi="Times New Roman" w:cs="Times New Roman"/>
                <w:b/>
                <w:bCs/>
                <w:snapToGrid/>
                <w:spacing w:val="0"/>
                <w:w w:val="100"/>
                <w:kern w:val="21"/>
                <w:highlight w:val="none"/>
              </w:rPr>
              <w:t>AQ</w:t>
            </w:r>
            <w:r>
              <w:rPr>
                <w:rFonts w:hint="default" w:ascii="Times New Roman" w:hAnsi="Times New Roman" w:cs="Times New Roman"/>
                <w:b/>
                <w:bCs/>
                <w:snapToGrid/>
                <w:spacing w:val="0"/>
                <w:w w:val="100"/>
                <w:kern w:val="21"/>
                <w:highlight w:val="none"/>
              </w:rPr>
              <w:t>4128-201</w:t>
            </w:r>
            <w:r>
              <w:rPr>
                <w:rFonts w:hint="default" w:ascii="Times New Roman" w:hAnsi="Times New Roman" w:cs="Times New Roman"/>
                <w:b/>
                <w:bCs/>
                <w:snapToGrid/>
                <w:spacing w:val="0"/>
                <w:w w:val="100"/>
                <w:kern w:val="21"/>
                <w:highlight w:val="none"/>
              </w:rPr>
              <w:t>9）</w:t>
            </w:r>
          </w:p>
          <w:p w14:paraId="261652DA">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4.1选址</w:t>
            </w:r>
          </w:p>
          <w:p w14:paraId="761B504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烟花爆竹零售店、零售点的选址应符合下列要求：</w:t>
            </w:r>
          </w:p>
          <w:p w14:paraId="1ADFF35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a）应选择在消防车辆可以顺畅到达的区域；</w:t>
            </w:r>
          </w:p>
          <w:p w14:paraId="528F8AC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b）不应设置在军事管理区、文物保护区等禁止燃</w:t>
            </w:r>
            <w:r>
              <w:rPr>
                <w:rFonts w:hint="default" w:ascii="Times New Roman" w:hAnsi="Times New Roman" w:cs="Times New Roman"/>
                <w:snapToGrid/>
                <w:spacing w:val="0"/>
                <w:w w:val="100"/>
                <w:kern w:val="21"/>
                <w:highlight w:val="none"/>
              </w:rPr>
              <w:t>放烟花爆竹区域内；</w:t>
            </w:r>
          </w:p>
          <w:p w14:paraId="026C417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c）不应设置在居民集中居住小区内，不应设置在桥下与涵洞内；</w:t>
            </w:r>
          </w:p>
          <w:p w14:paraId="50BBF68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d）不应与居住场所设置在同一建筑物内，不应设置在地下及半地下室内；</w:t>
            </w:r>
          </w:p>
          <w:p w14:paraId="0FC5558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e）不应设置在其地下、室内或上方有输送石油、天然气等易燃易爆物质管道的建筑物内；</w:t>
            </w:r>
          </w:p>
          <w:p w14:paraId="437DA0C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f）不应设置在电压高于1</w:t>
            </w:r>
            <w:r>
              <w:rPr>
                <w:rFonts w:hint="default" w:ascii="Times New Roman" w:hAnsi="Times New Roman" w:cs="Times New Roman"/>
                <w:snapToGrid/>
                <w:spacing w:val="0"/>
                <w:w w:val="100"/>
                <w:kern w:val="21"/>
                <w:highlight w:val="none"/>
              </w:rPr>
              <w:t>kV</w:t>
            </w:r>
            <w:r>
              <w:rPr>
                <w:rFonts w:hint="default" w:ascii="Times New Roman" w:hAnsi="Times New Roman" w:cs="Times New Roman"/>
                <w:snapToGrid/>
                <w:spacing w:val="0"/>
                <w:w w:val="100"/>
                <w:kern w:val="21"/>
                <w:highlight w:val="none"/>
              </w:rPr>
              <w:t>的电力线路下方。</w:t>
            </w:r>
          </w:p>
        </w:tc>
      </w:tr>
      <w:tr w14:paraId="36422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74" w:hRule="atLeast"/>
          <w:jc w:val="center"/>
        </w:trPr>
        <w:tc>
          <w:tcPr>
            <w:tcW w:w="652" w:type="dxa"/>
            <w:shd w:val="clear" w:color="auto" w:fill="auto"/>
            <w:vAlign w:val="center"/>
          </w:tcPr>
          <w:p w14:paraId="727B8E68">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10</w:t>
            </w:r>
          </w:p>
        </w:tc>
        <w:tc>
          <w:tcPr>
            <w:tcW w:w="1928" w:type="dxa"/>
            <w:vAlign w:val="center"/>
          </w:tcPr>
          <w:p w14:paraId="25B8B9A5">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工业固体废物、危险废物集中贮存、处置和生</w:t>
            </w:r>
            <w:r>
              <w:rPr>
                <w:rFonts w:hint="default" w:ascii="Times New Roman" w:hAnsi="Times New Roman" w:cs="Times New Roman"/>
                <w:snapToGrid/>
                <w:spacing w:val="0"/>
                <w:w w:val="100"/>
                <w:kern w:val="21"/>
                <w:highlight w:val="none"/>
              </w:rPr>
              <w:t>活垃圾填埋场。</w:t>
            </w:r>
          </w:p>
        </w:tc>
        <w:tc>
          <w:tcPr>
            <w:tcW w:w="2551" w:type="dxa"/>
            <w:vAlign w:val="center"/>
          </w:tcPr>
          <w:p w14:paraId="6E31E61B">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在生态保护红线区域、永久基本农田集中区域和其他需要特别保护的区域</w:t>
            </w:r>
            <w:r>
              <w:rPr>
                <w:rFonts w:hint="default" w:ascii="Times New Roman" w:hAnsi="Times New Roman" w:cs="Times New Roman"/>
                <w:snapToGrid/>
                <w:spacing w:val="0"/>
                <w:w w:val="100"/>
                <w:kern w:val="21"/>
                <w:highlight w:val="none"/>
              </w:rPr>
              <w:t>内。</w:t>
            </w:r>
          </w:p>
        </w:tc>
        <w:tc>
          <w:tcPr>
            <w:tcW w:w="10091" w:type="dxa"/>
            <w:vAlign w:val="center"/>
          </w:tcPr>
          <w:p w14:paraId="5BEE2D9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《中华人民共和国固体废物污染环境防治法》（2020年修订）</w:t>
            </w:r>
          </w:p>
          <w:p w14:paraId="42BE9EE1">
            <w:pPr>
              <w:pStyle w:val="10"/>
              <w:keepNext w:val="0"/>
              <w:keepLines/>
              <w:pageBreakBefore w:val="0"/>
              <w:widowControl w:val="0"/>
              <w:kinsoku/>
              <w:wordWrap/>
              <w:overflowPunct/>
              <w:topLinePunct/>
              <w:autoSpaceDE/>
              <w:autoSpaceDN/>
              <w:bidi w:val="0"/>
              <w:adjustRightInd/>
              <w:snapToGrid/>
              <w:spacing w:line="280" w:lineRule="exact"/>
              <w:ind w:left="0" w:right="0" w:firstLine="379"/>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第二十一条在生态保护红线区域、永久基本农田集中区域和其他需要特别保护的区域内，</w:t>
            </w:r>
            <w:r>
              <w:rPr>
                <w:rFonts w:hint="default" w:ascii="Times New Roman" w:hAnsi="Times New Roman" w:cs="Times New Roman"/>
                <w:snapToGrid/>
                <w:spacing w:val="0"/>
                <w:w w:val="100"/>
                <w:kern w:val="21"/>
                <w:highlight w:val="none"/>
              </w:rPr>
              <w:t>禁止建设工业</w:t>
            </w:r>
            <w:r>
              <w:rPr>
                <w:rFonts w:hint="default" w:ascii="Times New Roman" w:hAnsi="Times New Roman" w:cs="Times New Roman"/>
                <w:snapToGrid/>
                <w:spacing w:val="0"/>
                <w:w w:val="100"/>
                <w:kern w:val="21"/>
                <w:highlight w:val="none"/>
              </w:rPr>
              <w:t>固体废物、危险废物集中贮存、利用、处置的设施、场所和生活垃圾填埋</w:t>
            </w:r>
            <w:r>
              <w:rPr>
                <w:rFonts w:hint="default" w:ascii="Times New Roman" w:hAnsi="Times New Roman" w:cs="Times New Roman"/>
                <w:snapToGrid/>
                <w:spacing w:val="0"/>
                <w:w w:val="100"/>
                <w:kern w:val="21"/>
                <w:highlight w:val="none"/>
              </w:rPr>
              <w:t>场。</w:t>
            </w:r>
          </w:p>
        </w:tc>
      </w:tr>
      <w:tr w14:paraId="3A6BD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61" w:hRule="atLeast"/>
          <w:jc w:val="center"/>
        </w:trPr>
        <w:tc>
          <w:tcPr>
            <w:tcW w:w="652" w:type="dxa"/>
            <w:shd w:val="clear" w:color="auto" w:fill="auto"/>
            <w:vAlign w:val="center"/>
          </w:tcPr>
          <w:p w14:paraId="667BE04A">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11</w:t>
            </w:r>
          </w:p>
        </w:tc>
        <w:tc>
          <w:tcPr>
            <w:tcW w:w="1928" w:type="dxa"/>
            <w:vAlign w:val="center"/>
          </w:tcPr>
          <w:p w14:paraId="57B906D3">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生产、储存爆炸、剧毒、易燃、放射性和腐蚀性物品</w:t>
            </w:r>
          </w:p>
        </w:tc>
        <w:tc>
          <w:tcPr>
            <w:tcW w:w="2551" w:type="dxa"/>
            <w:vAlign w:val="center"/>
          </w:tcPr>
          <w:p w14:paraId="18F422C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人民防空工程内</w:t>
            </w:r>
          </w:p>
        </w:tc>
        <w:tc>
          <w:tcPr>
            <w:tcW w:w="10091" w:type="dxa"/>
            <w:vAlign w:val="center"/>
          </w:tcPr>
          <w:p w14:paraId="4607DF7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《中华人民共和国人民防空法》（2009年修正）</w:t>
            </w:r>
          </w:p>
          <w:p w14:paraId="1DBB394E">
            <w:pPr>
              <w:pStyle w:val="10"/>
              <w:keepNext w:val="0"/>
              <w:keepLines/>
              <w:pageBreakBefore w:val="0"/>
              <w:widowControl w:val="0"/>
              <w:kinsoku/>
              <w:wordWrap/>
              <w:overflowPunct/>
              <w:topLinePunct/>
              <w:autoSpaceDE/>
              <w:autoSpaceDN/>
              <w:bidi w:val="0"/>
              <w:adjustRightInd/>
              <w:snapToGrid/>
              <w:spacing w:line="280" w:lineRule="exact"/>
              <w:ind w:left="0" w:right="0" w:firstLine="39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第二十七条任何组织或者个人不得进行影响人民防空工程使用或者降低人民防空工程防护能力的作业，</w:t>
            </w:r>
            <w:r>
              <w:rPr>
                <w:rFonts w:hint="default" w:ascii="Times New Roman" w:hAnsi="Times New Roman" w:cs="Times New Roman"/>
                <w:snapToGrid/>
                <w:spacing w:val="0"/>
                <w:w w:val="100"/>
                <w:kern w:val="21"/>
                <w:highlight w:val="none"/>
              </w:rPr>
              <w:t>不得向人民防空工程内排入废水、废气和倾倒废弃物，不得在人民防空工程内生产、储存爆炸、</w:t>
            </w:r>
            <w:r>
              <w:rPr>
                <w:rFonts w:hint="default" w:ascii="Times New Roman" w:hAnsi="Times New Roman" w:cs="Times New Roman"/>
                <w:snapToGrid/>
                <w:spacing w:val="0"/>
                <w:w w:val="100"/>
                <w:kern w:val="21"/>
                <w:highlight w:val="none"/>
              </w:rPr>
              <w:t>剧毒、易燃、</w:t>
            </w:r>
            <w:r>
              <w:rPr>
                <w:rFonts w:hint="default" w:ascii="Times New Roman" w:hAnsi="Times New Roman" w:cs="Times New Roman"/>
                <w:snapToGrid/>
                <w:spacing w:val="0"/>
                <w:w w:val="100"/>
                <w:kern w:val="21"/>
                <w:highlight w:val="none"/>
              </w:rPr>
              <w:t>放射性和腐蚀性物品。</w:t>
            </w:r>
          </w:p>
        </w:tc>
      </w:tr>
      <w:tr w14:paraId="0E85E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4" w:hRule="atLeast"/>
          <w:jc w:val="center"/>
        </w:trPr>
        <w:tc>
          <w:tcPr>
            <w:tcW w:w="652" w:type="dxa"/>
            <w:shd w:val="clear" w:color="auto" w:fill="auto"/>
            <w:vAlign w:val="center"/>
          </w:tcPr>
          <w:p w14:paraId="5BFC8FF8">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12</w:t>
            </w:r>
          </w:p>
        </w:tc>
        <w:tc>
          <w:tcPr>
            <w:tcW w:w="1928" w:type="dxa"/>
            <w:vAlign w:val="center"/>
          </w:tcPr>
          <w:p w14:paraId="2891B42C">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私人会所</w:t>
            </w:r>
          </w:p>
        </w:tc>
        <w:tc>
          <w:tcPr>
            <w:tcW w:w="2551" w:type="dxa"/>
            <w:vAlign w:val="center"/>
          </w:tcPr>
          <w:p w14:paraId="5444CA2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历史建筑、公园等公共资源中。</w:t>
            </w:r>
          </w:p>
        </w:tc>
        <w:tc>
          <w:tcPr>
            <w:tcW w:w="10091" w:type="dxa"/>
            <w:vAlign w:val="center"/>
          </w:tcPr>
          <w:p w14:paraId="6747F2D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《关于严禁在历史建筑</w:t>
            </w:r>
            <w:r>
              <w:rPr>
                <w:rFonts w:hint="default" w:ascii="Times New Roman" w:hAnsi="Times New Roman" w:cs="Times New Roman"/>
                <w:b/>
                <w:bCs/>
                <w:snapToGrid/>
                <w:spacing w:val="0"/>
                <w:w w:val="100"/>
                <w:kern w:val="21"/>
                <w:highlight w:val="none"/>
                <w:lang w:eastAsia="zh-CN"/>
              </w:rPr>
              <w:t>，</w:t>
            </w:r>
            <w:r>
              <w:rPr>
                <w:rFonts w:hint="default" w:ascii="Times New Roman" w:hAnsi="Times New Roman" w:cs="Times New Roman"/>
                <w:b/>
                <w:bCs/>
                <w:snapToGrid/>
                <w:spacing w:val="0"/>
                <w:w w:val="100"/>
                <w:kern w:val="21"/>
                <w:highlight w:val="none"/>
              </w:rPr>
              <w:t>公园等公共资源中设立私人会所的暂行规定》</w:t>
            </w:r>
          </w:p>
          <w:p w14:paraId="471DD1A9">
            <w:pPr>
              <w:pStyle w:val="10"/>
              <w:keepNext w:val="0"/>
              <w:keepLines/>
              <w:pageBreakBefore w:val="0"/>
              <w:widowControl w:val="0"/>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第三条严禁在历史建筑、公园等公共资源中以自建、租赁、承包、转让、出借、抵押、</w:t>
            </w:r>
            <w:r>
              <w:rPr>
                <w:rFonts w:hint="default" w:ascii="Times New Roman" w:hAnsi="Times New Roman" w:cs="Times New Roman"/>
                <w:snapToGrid/>
                <w:spacing w:val="0"/>
                <w:w w:val="100"/>
                <w:kern w:val="21"/>
                <w:highlight w:val="none"/>
              </w:rPr>
              <w:t>买断、合资、合</w:t>
            </w:r>
            <w:r>
              <w:rPr>
                <w:rFonts w:hint="default" w:ascii="Times New Roman" w:hAnsi="Times New Roman" w:cs="Times New Roman"/>
                <w:snapToGrid/>
                <w:spacing w:val="0"/>
                <w:w w:val="100"/>
                <w:kern w:val="21"/>
                <w:highlight w:val="none"/>
              </w:rPr>
              <w:t>作等形式设立私人会所。</w:t>
            </w:r>
          </w:p>
          <w:p w14:paraId="79FD977E">
            <w:pPr>
              <w:pStyle w:val="10"/>
              <w:keepNext w:val="0"/>
              <w:keepLines/>
              <w:pageBreakBefore w:val="0"/>
              <w:widowControl w:val="0"/>
              <w:kinsoku/>
              <w:wordWrap/>
              <w:overflowPunct/>
              <w:topLinePunct/>
              <w:autoSpaceDE/>
              <w:autoSpaceDN/>
              <w:bidi w:val="0"/>
              <w:adjustRightInd/>
              <w:snapToGrid/>
              <w:spacing w:line="280" w:lineRule="exact"/>
              <w:ind w:left="0" w:right="0" w:firstLine="39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第五条坚持谁主管、谁负责原则。住房城乡建设（园林）、文化、公安、民政、商务、税务、工商、旅</w:t>
            </w:r>
            <w:r>
              <w:rPr>
                <w:rFonts w:hint="default" w:ascii="Times New Roman" w:hAnsi="Times New Roman" w:cs="Times New Roman"/>
                <w:snapToGrid/>
                <w:spacing w:val="0"/>
                <w:w w:val="100"/>
                <w:kern w:val="21"/>
                <w:highlight w:val="none"/>
              </w:rPr>
              <w:t>游、宗教、文物等部门，应当按照各自职能，认真履行职责，对历史建筑、公园等公共资源中涉及的项目立项、</w:t>
            </w:r>
            <w:r>
              <w:rPr>
                <w:rFonts w:hint="default" w:ascii="Times New Roman" w:hAnsi="Times New Roman" w:cs="Times New Roman"/>
                <w:snapToGrid/>
                <w:spacing w:val="0"/>
                <w:w w:val="100"/>
                <w:kern w:val="21"/>
                <w:highlight w:val="none"/>
              </w:rPr>
              <w:t>规划建设、消防审批、经营许可、工商登记、税务登记等事项严格审核把关，属于私人会</w:t>
            </w:r>
            <w:r>
              <w:rPr>
                <w:rFonts w:hint="default" w:ascii="Times New Roman" w:hAnsi="Times New Roman" w:cs="Times New Roman"/>
                <w:snapToGrid/>
                <w:spacing w:val="0"/>
                <w:w w:val="100"/>
                <w:kern w:val="21"/>
                <w:highlight w:val="none"/>
              </w:rPr>
              <w:t>所性质的不予办理。</w:t>
            </w:r>
          </w:p>
        </w:tc>
      </w:tr>
      <w:tr w14:paraId="0B8FA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683" w:hRule="atLeast"/>
          <w:jc w:val="center"/>
        </w:trPr>
        <w:tc>
          <w:tcPr>
            <w:tcW w:w="652" w:type="dxa"/>
            <w:shd w:val="clear" w:color="auto" w:fill="auto"/>
            <w:vAlign w:val="center"/>
          </w:tcPr>
          <w:p w14:paraId="2E5799CF">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13</w:t>
            </w:r>
          </w:p>
        </w:tc>
        <w:tc>
          <w:tcPr>
            <w:tcW w:w="1928" w:type="dxa"/>
            <w:shd w:val="clear" w:color="auto" w:fill="auto"/>
            <w:vAlign w:val="center"/>
          </w:tcPr>
          <w:p w14:paraId="4667945D">
            <w:pPr>
              <w:pStyle w:val="10"/>
              <w:keepNext w:val="0"/>
              <w:keepLines/>
              <w:pageBreakBefore w:val="0"/>
              <w:widowControl w:val="0"/>
              <w:kinsoku/>
              <w:wordWrap/>
              <w:overflowPunct/>
              <w:topLinePunct/>
              <w:autoSpaceDE/>
              <w:autoSpaceDN/>
              <w:bidi w:val="0"/>
              <w:adjustRightInd/>
              <w:snapToGrid/>
              <w:spacing w:line="280" w:lineRule="exact"/>
              <w:ind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lang w:eastAsia="zh-CN"/>
              </w:rPr>
              <w:t>化</w:t>
            </w:r>
            <w:r>
              <w:rPr>
                <w:rFonts w:hint="default" w:ascii="Times New Roman" w:hAnsi="Times New Roman" w:cs="Times New Roman"/>
                <w:snapToGrid/>
                <w:spacing w:val="0"/>
                <w:w w:val="100"/>
                <w:kern w:val="21"/>
                <w:highlight w:val="none"/>
              </w:rPr>
              <w:t>学品生产、经</w:t>
            </w:r>
            <w:r>
              <w:rPr>
                <w:rFonts w:hint="default" w:ascii="Times New Roman" w:hAnsi="Times New Roman" w:cs="Times New Roman"/>
                <w:snapToGrid/>
                <w:spacing w:val="0"/>
                <w:w w:val="100"/>
                <w:kern w:val="21"/>
                <w:highlight w:val="none"/>
              </w:rPr>
              <w:t>营、储存</w:t>
            </w:r>
          </w:p>
        </w:tc>
        <w:tc>
          <w:tcPr>
            <w:tcW w:w="2551" w:type="dxa"/>
            <w:shd w:val="clear" w:color="auto" w:fill="auto"/>
            <w:vAlign w:val="center"/>
          </w:tcPr>
          <w:p w14:paraId="7998CB94">
            <w:pPr>
              <w:pStyle w:val="10"/>
              <w:keepNext w:val="0"/>
              <w:keepLines/>
              <w:pageBreakBefore w:val="0"/>
              <w:widowControl w:val="0"/>
              <w:kinsoku/>
              <w:wordWrap/>
              <w:overflowPunct/>
              <w:topLinePunct/>
              <w:autoSpaceDE/>
              <w:autoSpaceDN/>
              <w:bidi w:val="0"/>
              <w:adjustRightInd/>
              <w:snapToGrid/>
              <w:spacing w:line="280" w:lineRule="exact"/>
              <w:ind w:left="0" w:right="0" w:firstLine="9"/>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1.危险化学品生产装置或者储存数量</w:t>
            </w:r>
            <w:r>
              <w:rPr>
                <w:rFonts w:hint="default" w:ascii="Times New Roman" w:hAnsi="Times New Roman" w:cs="Times New Roman"/>
                <w:snapToGrid/>
                <w:spacing w:val="0"/>
                <w:w w:val="100"/>
                <w:kern w:val="21"/>
                <w:highlight w:val="none"/>
              </w:rPr>
              <w:t>构成重大危险源的与下列场所、设施、</w:t>
            </w:r>
            <w:r>
              <w:rPr>
                <w:rFonts w:hint="default" w:ascii="Times New Roman" w:hAnsi="Times New Roman" w:cs="Times New Roman"/>
                <w:snapToGrid/>
                <w:spacing w:val="0"/>
                <w:w w:val="100"/>
                <w:kern w:val="21"/>
                <w:highlight w:val="none"/>
              </w:rPr>
              <w:t>区域的距离不符合国家有关规定：</w:t>
            </w:r>
          </w:p>
          <w:p w14:paraId="6D335555">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（一）居住区以及商业中心、公园等</w:t>
            </w:r>
            <w:r>
              <w:rPr>
                <w:rFonts w:hint="default" w:ascii="Times New Roman" w:hAnsi="Times New Roman" w:cs="Times New Roman"/>
                <w:snapToGrid/>
                <w:spacing w:val="0"/>
                <w:w w:val="100"/>
                <w:kern w:val="21"/>
                <w:highlight w:val="none"/>
              </w:rPr>
              <w:t>人员密集场所</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二）学校、医院、</w:t>
            </w:r>
            <w:r>
              <w:rPr>
                <w:rFonts w:hint="default" w:ascii="Times New Roman" w:hAnsi="Times New Roman" w:cs="Times New Roman"/>
                <w:snapToGrid/>
                <w:spacing w:val="0"/>
                <w:w w:val="100"/>
                <w:kern w:val="21"/>
                <w:highlight w:val="none"/>
              </w:rPr>
              <w:t>影剧院、体育场（馆）等公共设施；（三）饮用水源、水厂以及水源保护</w:t>
            </w:r>
            <w:r>
              <w:rPr>
                <w:rFonts w:hint="default" w:ascii="Times New Roman" w:hAnsi="Times New Roman" w:cs="Times New Roman"/>
                <w:snapToGrid/>
                <w:spacing w:val="0"/>
                <w:w w:val="100"/>
                <w:kern w:val="21"/>
                <w:highlight w:val="none"/>
              </w:rPr>
              <w:t>区</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四）车站、码头（依法经许可</w:t>
            </w:r>
            <w:r>
              <w:rPr>
                <w:rFonts w:hint="default" w:ascii="Times New Roman" w:hAnsi="Times New Roman" w:cs="Times New Roman"/>
                <w:snapToGrid/>
                <w:spacing w:val="0"/>
                <w:w w:val="100"/>
                <w:kern w:val="21"/>
                <w:highlight w:val="none"/>
              </w:rPr>
              <w:t>从事危险化学品装卸作业的除外）、</w:t>
            </w:r>
            <w:r>
              <w:rPr>
                <w:rFonts w:hint="default" w:ascii="Times New Roman" w:hAnsi="Times New Roman" w:cs="Times New Roman"/>
                <w:snapToGrid/>
                <w:spacing w:val="0"/>
                <w:w w:val="100"/>
                <w:kern w:val="21"/>
                <w:highlight w:val="none"/>
              </w:rPr>
              <w:t>机场以及通信干线、通信枢纽、铁路</w:t>
            </w:r>
            <w:r>
              <w:rPr>
                <w:rFonts w:hint="default" w:ascii="Times New Roman" w:hAnsi="Times New Roman" w:cs="Times New Roman"/>
                <w:snapToGrid/>
                <w:spacing w:val="0"/>
                <w:w w:val="100"/>
                <w:kern w:val="21"/>
                <w:highlight w:val="none"/>
              </w:rPr>
              <w:t>线路、道路交通干线、水路交通干线、</w:t>
            </w:r>
            <w:r>
              <w:rPr>
                <w:rFonts w:hint="default" w:ascii="Times New Roman" w:hAnsi="Times New Roman" w:cs="Times New Roman"/>
                <w:snapToGrid/>
                <w:spacing w:val="0"/>
                <w:w w:val="100"/>
                <w:kern w:val="21"/>
                <w:highlight w:val="none"/>
              </w:rPr>
              <w:t>地铁风亭以及地铁站出入口</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五）</w:t>
            </w:r>
            <w:r>
              <w:rPr>
                <w:rFonts w:hint="default" w:ascii="Times New Roman" w:hAnsi="Times New Roman" w:cs="Times New Roman"/>
                <w:snapToGrid/>
                <w:spacing w:val="0"/>
                <w:w w:val="100"/>
                <w:kern w:val="21"/>
                <w:highlight w:val="none"/>
              </w:rPr>
              <w:t>基本农田保护区、基本草原、畜禽遗</w:t>
            </w:r>
            <w:r>
              <w:rPr>
                <w:rFonts w:hint="default" w:ascii="Times New Roman" w:hAnsi="Times New Roman" w:cs="Times New Roman"/>
                <w:snapToGrid/>
                <w:spacing w:val="0"/>
                <w:w w:val="100"/>
                <w:kern w:val="21"/>
                <w:highlight w:val="none"/>
              </w:rPr>
              <w:t>传资源保护区、畜禽规模化养殖场（养</w:t>
            </w:r>
            <w:r>
              <w:rPr>
                <w:rFonts w:hint="default" w:ascii="Times New Roman" w:hAnsi="Times New Roman" w:cs="Times New Roman"/>
                <w:snapToGrid/>
                <w:spacing w:val="0"/>
                <w:w w:val="100"/>
                <w:kern w:val="21"/>
                <w:highlight w:val="none"/>
              </w:rPr>
              <w:t>殖小区）、渔业水域以及种子、种畜</w:t>
            </w:r>
            <w:r>
              <w:rPr>
                <w:rFonts w:hint="default" w:ascii="Times New Roman" w:hAnsi="Times New Roman" w:cs="Times New Roman"/>
                <w:snapToGrid/>
                <w:spacing w:val="0"/>
                <w:w w:val="100"/>
                <w:kern w:val="21"/>
                <w:highlight w:val="none"/>
              </w:rPr>
              <w:t>禽、水产苗种生产基地</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六）河流、</w:t>
            </w:r>
            <w:r>
              <w:rPr>
                <w:rFonts w:hint="default" w:ascii="Times New Roman" w:hAnsi="Times New Roman" w:cs="Times New Roman"/>
                <w:snapToGrid/>
                <w:spacing w:val="0"/>
                <w:w w:val="100"/>
                <w:kern w:val="21"/>
                <w:highlight w:val="none"/>
              </w:rPr>
              <w:t>湖泊、风景名胜区、自然保护区</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七）</w:t>
            </w:r>
            <w:r>
              <w:rPr>
                <w:rFonts w:hint="default" w:ascii="Times New Roman" w:hAnsi="Times New Roman" w:cs="Times New Roman"/>
                <w:snapToGrid/>
                <w:spacing w:val="0"/>
                <w:w w:val="100"/>
                <w:kern w:val="21"/>
                <w:highlight w:val="none"/>
              </w:rPr>
              <w:t>军事禁区、军事管理区</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八）法律、</w:t>
            </w:r>
            <w:r>
              <w:rPr>
                <w:rFonts w:hint="default" w:ascii="Times New Roman" w:hAnsi="Times New Roman" w:cs="Times New Roman"/>
                <w:snapToGrid/>
                <w:spacing w:val="0"/>
                <w:w w:val="100"/>
                <w:kern w:val="21"/>
                <w:highlight w:val="none"/>
              </w:rPr>
              <w:t>行政法规规定的其他场所、设施、区</w:t>
            </w:r>
            <w:r>
              <w:rPr>
                <w:rFonts w:hint="default" w:ascii="Times New Roman" w:hAnsi="Times New Roman" w:cs="Times New Roman"/>
                <w:snapToGrid/>
                <w:spacing w:val="0"/>
                <w:w w:val="100"/>
                <w:kern w:val="21"/>
                <w:highlight w:val="none"/>
              </w:rPr>
              <w:t>域的距离不符合国家有关规定的。</w:t>
            </w:r>
          </w:p>
          <w:p w14:paraId="5FC736C5">
            <w:pPr>
              <w:pStyle w:val="10"/>
              <w:keepNext w:val="0"/>
              <w:keepLines/>
              <w:pageBreakBefore w:val="0"/>
              <w:widowControl w:val="0"/>
              <w:kinsoku/>
              <w:wordWrap/>
              <w:overflowPunct/>
              <w:topLinePunct/>
              <w:autoSpaceDE/>
              <w:autoSpaceDN/>
              <w:bidi w:val="0"/>
              <w:adjustRightInd/>
              <w:snapToGrid/>
              <w:spacing w:line="280" w:lineRule="exact"/>
              <w:ind w:left="0" w:right="0" w:firstLine="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2.不符合国家标准、行业标准的经营</w:t>
            </w:r>
            <w:r>
              <w:rPr>
                <w:rFonts w:hint="default" w:ascii="Times New Roman" w:hAnsi="Times New Roman" w:cs="Times New Roman"/>
                <w:snapToGrid/>
                <w:spacing w:val="0"/>
                <w:w w:val="100"/>
                <w:kern w:val="21"/>
                <w:highlight w:val="none"/>
              </w:rPr>
              <w:t>场所。</w:t>
            </w:r>
          </w:p>
          <w:p w14:paraId="6FAEF55B">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3.与居住场所设置在同一建筑物内；</w:t>
            </w:r>
          </w:p>
        </w:tc>
        <w:tc>
          <w:tcPr>
            <w:tcW w:w="10091" w:type="dxa"/>
            <w:shd w:val="clear" w:color="auto" w:fill="auto"/>
            <w:vAlign w:val="center"/>
          </w:tcPr>
          <w:p w14:paraId="6F582C46">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《危险化学品安全管理条例》（2013年1</w:t>
            </w:r>
            <w:r>
              <w:rPr>
                <w:rFonts w:hint="default" w:ascii="Times New Roman" w:hAnsi="Times New Roman" w:cs="Times New Roman"/>
                <w:b/>
                <w:bCs/>
                <w:snapToGrid/>
                <w:spacing w:val="0"/>
                <w:w w:val="100"/>
                <w:kern w:val="21"/>
                <w:highlight w:val="none"/>
              </w:rPr>
              <w:t>2月7日修正）</w:t>
            </w:r>
          </w:p>
          <w:p w14:paraId="0DD3238F">
            <w:pPr>
              <w:pStyle w:val="10"/>
              <w:keepNext w:val="0"/>
              <w:keepLines/>
              <w:pageBreakBefore w:val="0"/>
              <w:widowControl w:val="0"/>
              <w:kinsoku/>
              <w:wordWrap/>
              <w:overflowPunct/>
              <w:topLinePunct/>
              <w:autoSpaceDE/>
              <w:autoSpaceDN/>
              <w:bidi w:val="0"/>
              <w:adjustRightInd/>
              <w:snapToGrid/>
              <w:spacing w:line="280" w:lineRule="exact"/>
              <w:ind w:left="0" w:right="0" w:firstLine="399"/>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第十九条危险化学品生产装置或者储存数量构成重大危险源</w:t>
            </w:r>
            <w:r>
              <w:rPr>
                <w:rFonts w:hint="default" w:ascii="Times New Roman" w:hAnsi="Times New Roman" w:cs="Times New Roman"/>
                <w:snapToGrid/>
                <w:spacing w:val="0"/>
                <w:w w:val="100"/>
                <w:kern w:val="21"/>
                <w:highlight w:val="none"/>
              </w:rPr>
              <w:t>的危险化学品储存设施</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运输工具加油站、</w:t>
            </w:r>
            <w:r>
              <w:rPr>
                <w:rFonts w:hint="default" w:ascii="Times New Roman" w:hAnsi="Times New Roman" w:cs="Times New Roman"/>
                <w:snapToGrid/>
                <w:spacing w:val="0"/>
                <w:w w:val="100"/>
                <w:kern w:val="21"/>
                <w:highlight w:val="none"/>
              </w:rPr>
              <w:t>加气站除外</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，与下列场所、设施、区域的距离应当符合国家有关规定：</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居住区以及商业中</w:t>
            </w:r>
            <w:r>
              <w:rPr>
                <w:rFonts w:hint="default" w:ascii="Times New Roman" w:hAnsi="Times New Roman" w:cs="Times New Roman"/>
                <w:snapToGrid/>
                <w:spacing w:val="0"/>
                <w:w w:val="100"/>
                <w:kern w:val="21"/>
                <w:highlight w:val="none"/>
              </w:rPr>
              <w:t>心、公园等人员</w:t>
            </w:r>
            <w:r>
              <w:rPr>
                <w:rFonts w:hint="default" w:ascii="Times New Roman" w:hAnsi="Times New Roman" w:cs="Times New Roman"/>
                <w:snapToGrid/>
                <w:spacing w:val="0"/>
                <w:w w:val="100"/>
                <w:kern w:val="21"/>
                <w:highlight w:val="none"/>
              </w:rPr>
              <w:t>密集场所；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学校、医院、影剧院、体育场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馆</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等公共设施；</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三</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饮用水源、水厂以及水源保护区；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四</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车站、</w:t>
            </w:r>
            <w:r>
              <w:rPr>
                <w:rFonts w:hint="default" w:ascii="Times New Roman" w:hAnsi="Times New Roman" w:cs="Times New Roman"/>
                <w:snapToGrid/>
                <w:spacing w:val="0"/>
                <w:w w:val="100"/>
                <w:kern w:val="21"/>
                <w:highlight w:val="none"/>
              </w:rPr>
              <w:t>码头</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依法经许可从事危险化学品装卸作业的除外</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、机场以及通信干线、通信枢纽、铁路线路、道路交通干线、</w:t>
            </w:r>
            <w:r>
              <w:rPr>
                <w:rFonts w:hint="default" w:ascii="Times New Roman" w:hAnsi="Times New Roman" w:cs="Times New Roman"/>
                <w:snapToGrid/>
                <w:spacing w:val="0"/>
                <w:w w:val="100"/>
                <w:kern w:val="21"/>
                <w:highlight w:val="none"/>
              </w:rPr>
              <w:t>水路交通干线、地铁风亭以及地铁站出入口；</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五</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基本农田保护区、基本草原、畜禽遗传资源保护区、畜禽规</w:t>
            </w:r>
            <w:r>
              <w:rPr>
                <w:rFonts w:hint="default" w:ascii="Times New Roman" w:hAnsi="Times New Roman" w:cs="Times New Roman"/>
                <w:snapToGrid/>
                <w:spacing w:val="0"/>
                <w:w w:val="100"/>
                <w:kern w:val="21"/>
                <w:highlight w:val="none"/>
              </w:rPr>
              <w:t>模化养殖场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养殖小区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、渔业水域以及种子、种畜禽、水产苗种生产基地；河流、湖泊、风景名胜区、自然保</w:t>
            </w:r>
            <w:r>
              <w:rPr>
                <w:rFonts w:hint="default" w:ascii="Times New Roman" w:hAnsi="Times New Roman" w:cs="Times New Roman"/>
                <w:snapToGrid/>
                <w:spacing w:val="0"/>
                <w:w w:val="100"/>
                <w:kern w:val="21"/>
                <w:highlight w:val="none"/>
              </w:rPr>
              <w:t>护区；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七</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军事禁区、军事管理区；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八</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法律、行政法规规定的其他场所、设施、区域。</w:t>
            </w:r>
            <w:r>
              <w:rPr>
                <w:rFonts w:hint="default" w:ascii="Times New Roman" w:hAnsi="Times New Roman" w:cs="Times New Roman"/>
                <w:snapToGrid/>
                <w:spacing w:val="0"/>
                <w:w w:val="100"/>
                <w:kern w:val="21"/>
                <w:highlight w:val="none"/>
              </w:rPr>
              <w:t>已建的危险化学品生产装置或者储存数量构成重大危险源的危险化学品储存设施不符合前款规定的，由所</w:t>
            </w:r>
            <w:r>
              <w:rPr>
                <w:rFonts w:hint="default" w:ascii="Times New Roman" w:hAnsi="Times New Roman" w:cs="Times New Roman"/>
                <w:snapToGrid/>
                <w:spacing w:val="0"/>
                <w:w w:val="100"/>
                <w:kern w:val="21"/>
                <w:highlight w:val="none"/>
              </w:rPr>
              <w:t>在地设区的市级人民政府安全生产监督管理部门会同有关部门监督其所属单位在规定期限</w:t>
            </w:r>
            <w:r>
              <w:rPr>
                <w:rFonts w:hint="default" w:ascii="Times New Roman" w:hAnsi="Times New Roman" w:cs="Times New Roman"/>
                <w:snapToGrid/>
                <w:spacing w:val="0"/>
                <w:w w:val="100"/>
                <w:kern w:val="21"/>
                <w:highlight w:val="none"/>
              </w:rPr>
              <w:t>内进行整改；需要转产、停产、搬迁、关闭的，由本级人民政府决定并组</w:t>
            </w:r>
            <w:r>
              <w:rPr>
                <w:rFonts w:hint="default" w:ascii="Times New Roman" w:hAnsi="Times New Roman" w:cs="Times New Roman"/>
                <w:snapToGrid/>
                <w:spacing w:val="0"/>
                <w:w w:val="100"/>
                <w:kern w:val="21"/>
                <w:highlight w:val="none"/>
              </w:rPr>
              <w:t>织实施。</w:t>
            </w:r>
            <w:r>
              <w:rPr>
                <w:rFonts w:hint="default" w:ascii="Times New Roman" w:hAnsi="Times New Roman" w:cs="Times New Roman"/>
                <w:snapToGrid/>
                <w:spacing w:val="0"/>
                <w:w w:val="100"/>
                <w:kern w:val="21"/>
                <w:highlight w:val="none"/>
              </w:rPr>
              <w:t>储存数量构成重大危险源的危险化学品储存设施的选址，应当避开地震活动断层</w:t>
            </w:r>
            <w:r>
              <w:rPr>
                <w:rFonts w:hint="default" w:ascii="Times New Roman" w:hAnsi="Times New Roman" w:cs="Times New Roman"/>
                <w:snapToGrid/>
                <w:spacing w:val="0"/>
                <w:w w:val="100"/>
                <w:kern w:val="21"/>
                <w:highlight w:val="none"/>
              </w:rPr>
              <w:t>和容易发生洪灾、地质灾</w:t>
            </w:r>
            <w:r>
              <w:rPr>
                <w:rFonts w:hint="default" w:ascii="Times New Roman" w:hAnsi="Times New Roman" w:cs="Times New Roman"/>
                <w:snapToGrid/>
                <w:spacing w:val="0"/>
                <w:w w:val="100"/>
                <w:kern w:val="21"/>
                <w:highlight w:val="none"/>
              </w:rPr>
              <w:t>害的区域。本条例所称重大危险源，是指生产、储存、使用或者搬运危险化学品，且危</w:t>
            </w:r>
            <w:r>
              <w:rPr>
                <w:rFonts w:hint="default" w:ascii="Times New Roman" w:hAnsi="Times New Roman" w:cs="Times New Roman"/>
                <w:snapToGrid/>
                <w:spacing w:val="0"/>
                <w:w w:val="100"/>
                <w:kern w:val="21"/>
                <w:highlight w:val="none"/>
              </w:rPr>
              <w:t>险化学品的数量等于或者超过临界量的单元</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包括场所和设施</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w:t>
            </w:r>
          </w:p>
          <w:p w14:paraId="5F83BC6C">
            <w:pPr>
              <w:pStyle w:val="10"/>
              <w:keepNext w:val="0"/>
              <w:keepLines/>
              <w:pageBreakBefore w:val="0"/>
              <w:widowControl w:val="0"/>
              <w:kinsoku/>
              <w:wordWrap/>
              <w:overflowPunct/>
              <w:topLinePunct/>
              <w:autoSpaceDE/>
              <w:autoSpaceDN/>
              <w:bidi w:val="0"/>
              <w:adjustRightInd/>
              <w:snapToGrid/>
              <w:spacing w:line="280" w:lineRule="exact"/>
              <w:ind w:left="0" w:right="0" w:firstLine="399"/>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第三十四条从事危险化学品经营的企业应当具备下列条件：</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一</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有符合国家标准、行业标准的经营场所，</w:t>
            </w:r>
            <w:r>
              <w:rPr>
                <w:rFonts w:hint="default" w:ascii="Times New Roman" w:hAnsi="Times New Roman" w:cs="Times New Roman"/>
                <w:snapToGrid/>
                <w:spacing w:val="0"/>
                <w:w w:val="100"/>
                <w:kern w:val="21"/>
                <w:highlight w:val="none"/>
              </w:rPr>
              <w:t>储存危险化学品的，还应当有符合国家标准、行业标准的储存设施；</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从业人员经过专业技术培训并经考核</w:t>
            </w:r>
            <w:r>
              <w:rPr>
                <w:rFonts w:hint="default" w:ascii="Times New Roman" w:hAnsi="Times New Roman" w:cs="Times New Roman"/>
                <w:snapToGrid/>
                <w:spacing w:val="0"/>
                <w:w w:val="100"/>
                <w:kern w:val="21"/>
                <w:highlight w:val="none"/>
              </w:rPr>
              <w:t>合格；</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三</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有健全的安全管理规章制度；</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四</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有专职安全管理人员；</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五</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有符合国家规定的危险化学品事故应急</w:t>
            </w:r>
            <w:r>
              <w:rPr>
                <w:rFonts w:hint="default" w:ascii="Times New Roman" w:hAnsi="Times New Roman" w:cs="Times New Roman"/>
                <w:snapToGrid/>
                <w:spacing w:val="0"/>
                <w:w w:val="100"/>
                <w:kern w:val="21"/>
                <w:highlight w:val="none"/>
              </w:rPr>
              <w:t>预案和必要的应急救援器材、设备；</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六</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法律、法规</w:t>
            </w:r>
            <w:r>
              <w:rPr>
                <w:rFonts w:hint="default" w:ascii="Times New Roman" w:hAnsi="Times New Roman" w:cs="Times New Roman"/>
                <w:snapToGrid/>
                <w:spacing w:val="0"/>
                <w:w w:val="100"/>
                <w:kern w:val="21"/>
                <w:highlight w:val="none"/>
              </w:rPr>
              <w:t>规定的其他条件。</w:t>
            </w:r>
          </w:p>
          <w:p w14:paraId="6CDD081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《中华人民共和国消防法》（2021年修正）</w:t>
            </w:r>
          </w:p>
          <w:p w14:paraId="20C63D66">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firstLine="397" w:firstLine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第十九条生产、储存、经营易燃易爆危险品的场所不得与居住场所设置在同一建筑物内，</w:t>
            </w:r>
            <w:r>
              <w:rPr>
                <w:rFonts w:hint="default" w:ascii="Times New Roman" w:hAnsi="Times New Roman" w:cs="Times New Roman"/>
                <w:snapToGrid/>
                <w:spacing w:val="0"/>
                <w:w w:val="100"/>
                <w:kern w:val="21"/>
                <w:highlight w:val="none"/>
              </w:rPr>
              <w:t>并应当与居住</w:t>
            </w:r>
            <w:r>
              <w:rPr>
                <w:rFonts w:hint="default" w:ascii="Times New Roman" w:hAnsi="Times New Roman" w:cs="Times New Roman"/>
                <w:snapToGrid/>
                <w:spacing w:val="0"/>
                <w:w w:val="100"/>
                <w:kern w:val="21"/>
                <w:highlight w:val="none"/>
              </w:rPr>
              <w:t>场所保持安全距离。生产、储存、经营其他物品的场所与居住场所设置在同一建筑物内的，</w:t>
            </w:r>
            <w:r>
              <w:rPr>
                <w:rFonts w:hint="default" w:ascii="Times New Roman" w:hAnsi="Times New Roman" w:cs="Times New Roman"/>
                <w:snapToGrid/>
                <w:spacing w:val="0"/>
                <w:w w:val="100"/>
                <w:kern w:val="21"/>
                <w:highlight w:val="none"/>
              </w:rPr>
              <w:t>应当符合国家工程建设消防技术标</w:t>
            </w:r>
            <w:r>
              <w:rPr>
                <w:rFonts w:hint="default" w:ascii="Times New Roman" w:hAnsi="Times New Roman" w:cs="Times New Roman"/>
                <w:snapToGrid/>
                <w:spacing w:val="0"/>
                <w:w w:val="100"/>
                <w:kern w:val="21"/>
                <w:highlight w:val="none"/>
              </w:rPr>
              <w:t>准。</w:t>
            </w:r>
          </w:p>
        </w:tc>
      </w:tr>
      <w:tr w14:paraId="0648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52" w:hRule="atLeast"/>
          <w:jc w:val="center"/>
        </w:trPr>
        <w:tc>
          <w:tcPr>
            <w:tcW w:w="652" w:type="dxa"/>
            <w:vAlign w:val="center"/>
          </w:tcPr>
          <w:p w14:paraId="048C5B3D">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14</w:t>
            </w:r>
          </w:p>
        </w:tc>
        <w:tc>
          <w:tcPr>
            <w:tcW w:w="1928" w:type="dxa"/>
            <w:vAlign w:val="center"/>
          </w:tcPr>
          <w:p w14:paraId="1A44F10A">
            <w:pPr>
              <w:pStyle w:val="10"/>
              <w:keepNext w:val="0"/>
              <w:keepLines/>
              <w:pageBreakBefore w:val="0"/>
              <w:widowControl w:val="0"/>
              <w:kinsoku/>
              <w:wordWrap/>
              <w:overflowPunct/>
              <w:topLinePunct/>
              <w:autoSpaceDE/>
              <w:autoSpaceDN/>
              <w:bidi w:val="0"/>
              <w:adjustRightInd/>
              <w:snapToGrid/>
              <w:spacing w:line="280" w:lineRule="exact"/>
              <w:ind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产生油烟、异味、废气</w:t>
            </w:r>
            <w:r>
              <w:rPr>
                <w:rFonts w:hint="default" w:ascii="Times New Roman" w:hAnsi="Times New Roman" w:cs="Times New Roman"/>
                <w:snapToGrid/>
                <w:spacing w:val="0"/>
                <w:w w:val="100"/>
                <w:kern w:val="21"/>
                <w:highlight w:val="none"/>
              </w:rPr>
              <w:t>的餐饮服务项目；</w:t>
            </w:r>
            <w:r>
              <w:rPr>
                <w:rFonts w:hint="default" w:ascii="Times New Roman" w:hAnsi="Times New Roman" w:cs="Times New Roman"/>
                <w:snapToGrid/>
                <w:spacing w:val="0"/>
                <w:w w:val="100"/>
                <w:kern w:val="21"/>
                <w:highlight w:val="none"/>
              </w:rPr>
              <w:t>产生噪声和振动污染</w:t>
            </w:r>
            <w:r>
              <w:rPr>
                <w:rFonts w:hint="default" w:ascii="Times New Roman" w:hAnsi="Times New Roman" w:cs="Times New Roman"/>
                <w:snapToGrid/>
                <w:spacing w:val="0"/>
                <w:w w:val="100"/>
                <w:kern w:val="21"/>
                <w:highlight w:val="none"/>
              </w:rPr>
              <w:t>的娱乐场点、机动车修</w:t>
            </w:r>
            <w:r>
              <w:rPr>
                <w:rFonts w:hint="default" w:ascii="Times New Roman" w:hAnsi="Times New Roman" w:cs="Times New Roman"/>
                <w:snapToGrid/>
                <w:spacing w:val="0"/>
                <w:w w:val="100"/>
                <w:kern w:val="21"/>
                <w:highlight w:val="none"/>
              </w:rPr>
              <w:t>配厂、加工厂、印刷厂</w:t>
            </w:r>
            <w:r>
              <w:rPr>
                <w:rFonts w:hint="default" w:ascii="Times New Roman" w:hAnsi="Times New Roman" w:cs="Times New Roman"/>
                <w:snapToGrid/>
                <w:spacing w:val="0"/>
                <w:w w:val="100"/>
                <w:kern w:val="21"/>
                <w:highlight w:val="none"/>
              </w:rPr>
              <w:t>等；</w:t>
            </w:r>
            <w:r>
              <w:rPr>
                <w:rFonts w:hint="default" w:ascii="Times New Roman" w:hAnsi="Times New Roman" w:cs="Times New Roman"/>
                <w:snapToGrid/>
                <w:spacing w:val="0"/>
                <w:w w:val="100"/>
                <w:kern w:val="21"/>
                <w:highlight w:val="none"/>
              </w:rPr>
              <w:t>持续产生恶臭等异味</w:t>
            </w:r>
            <w:r>
              <w:rPr>
                <w:rFonts w:hint="default" w:ascii="Times New Roman" w:hAnsi="Times New Roman" w:cs="Times New Roman"/>
                <w:snapToGrid/>
                <w:spacing w:val="0"/>
                <w:w w:val="100"/>
                <w:kern w:val="21"/>
                <w:highlight w:val="none"/>
              </w:rPr>
              <w:t>的修理业、加工业；产</w:t>
            </w:r>
            <w:r>
              <w:rPr>
                <w:rFonts w:hint="default" w:ascii="Times New Roman" w:hAnsi="Times New Roman" w:cs="Times New Roman"/>
                <w:snapToGrid/>
                <w:spacing w:val="0"/>
                <w:w w:val="100"/>
                <w:kern w:val="21"/>
                <w:highlight w:val="none"/>
              </w:rPr>
              <w:t>生有毒、有害污染物的化工、农药、电镀等生</w:t>
            </w:r>
            <w:r>
              <w:rPr>
                <w:rFonts w:hint="default" w:ascii="Times New Roman" w:hAnsi="Times New Roman" w:cs="Times New Roman"/>
                <w:snapToGrid/>
                <w:spacing w:val="0"/>
                <w:w w:val="100"/>
                <w:kern w:val="21"/>
                <w:highlight w:val="none"/>
              </w:rPr>
              <w:t>产企业；</w:t>
            </w:r>
            <w:r>
              <w:rPr>
                <w:rFonts w:hint="default" w:ascii="Times New Roman" w:hAnsi="Times New Roman" w:cs="Times New Roman"/>
                <w:snapToGrid/>
                <w:spacing w:val="0"/>
                <w:w w:val="100"/>
                <w:kern w:val="21"/>
                <w:highlight w:val="none"/>
              </w:rPr>
              <w:t>屠宰加工和形成规模影响居民生活的畜禽</w:t>
            </w:r>
            <w:r>
              <w:rPr>
                <w:rFonts w:hint="default" w:ascii="Times New Roman" w:hAnsi="Times New Roman" w:cs="Times New Roman"/>
                <w:snapToGrid/>
                <w:spacing w:val="0"/>
                <w:w w:val="100"/>
                <w:kern w:val="21"/>
                <w:highlight w:val="none"/>
              </w:rPr>
              <w:t>饲养；产生严重污染，影响居</w:t>
            </w:r>
            <w:r>
              <w:rPr>
                <w:rFonts w:hint="default" w:ascii="Times New Roman" w:hAnsi="Times New Roman" w:cs="Times New Roman"/>
                <w:snapToGrid/>
                <w:spacing w:val="0"/>
                <w:w w:val="100"/>
                <w:kern w:val="21"/>
                <w:highlight w:val="none"/>
              </w:rPr>
              <w:t>民居住环境的其他生产经营活动。</w:t>
            </w:r>
          </w:p>
        </w:tc>
        <w:tc>
          <w:tcPr>
            <w:tcW w:w="2551" w:type="dxa"/>
            <w:vAlign w:val="center"/>
          </w:tcPr>
          <w:p w14:paraId="0DE2138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居民区内</w:t>
            </w:r>
          </w:p>
        </w:tc>
        <w:tc>
          <w:tcPr>
            <w:tcW w:w="10091" w:type="dxa"/>
            <w:vAlign w:val="center"/>
          </w:tcPr>
          <w:p w14:paraId="0C59CCD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《黑龙江省居民居住环境保护办法》</w:t>
            </w:r>
          </w:p>
          <w:p w14:paraId="28CA3BC8">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第七条在居民区内禁止从事下列生产经营活动：</w:t>
            </w:r>
          </w:p>
          <w:p w14:paraId="0DC9ACE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（一）开办持续产生恶臭等异味的修理业、加工业；</w:t>
            </w:r>
          </w:p>
          <w:p w14:paraId="06021B5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（二）开办产生有毒、有害污染物的化工、农药、电镀等生产企业；</w:t>
            </w:r>
          </w:p>
          <w:p w14:paraId="6091DCF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（三）屠宰加工和形成规模影响居民生活的畜禽饲养；</w:t>
            </w:r>
          </w:p>
          <w:p w14:paraId="5B4B44A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（四）产生严重污染，影响居民居住环境的其他生产经</w:t>
            </w:r>
            <w:r>
              <w:rPr>
                <w:rFonts w:hint="default" w:ascii="Times New Roman" w:hAnsi="Times New Roman" w:cs="Times New Roman"/>
                <w:snapToGrid/>
                <w:spacing w:val="0"/>
                <w:w w:val="100"/>
                <w:kern w:val="21"/>
                <w:highlight w:val="none"/>
              </w:rPr>
              <w:t>营活动。</w:t>
            </w:r>
          </w:p>
          <w:p w14:paraId="6FAF49E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在居民住宅楼内禁止开办产生噪声和振动污染的娱乐场点、机动车修配厂、加工厂、印刷厂等。</w:t>
            </w:r>
          </w:p>
          <w:p w14:paraId="08665509">
            <w:pPr>
              <w:pStyle w:val="10"/>
              <w:keepNext w:val="0"/>
              <w:keepLines/>
              <w:pageBreakBefore w:val="0"/>
              <w:widowControl w:val="0"/>
              <w:kinsoku/>
              <w:wordWrap/>
              <w:overflowPunct/>
              <w:topLinePunct/>
              <w:autoSpaceDE/>
              <w:autoSpaceDN/>
              <w:bidi w:val="0"/>
              <w:adjustRightInd/>
              <w:snapToGrid/>
              <w:spacing w:line="280" w:lineRule="exact"/>
              <w:ind w:left="0" w:right="0" w:firstLine="15"/>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本办法实施前已经从事前两款禁止的生产经营活动的，由当地县级以上人民政府限期治</w:t>
            </w:r>
            <w:r>
              <w:rPr>
                <w:rFonts w:hint="default" w:ascii="Times New Roman" w:hAnsi="Times New Roman" w:cs="Times New Roman"/>
                <w:snapToGrid/>
                <w:spacing w:val="0"/>
                <w:w w:val="100"/>
                <w:kern w:val="21"/>
                <w:highlight w:val="none"/>
              </w:rPr>
              <w:t>理、转产或搬迁。</w:t>
            </w:r>
          </w:p>
          <w:p w14:paraId="335C4F92">
            <w:pPr>
              <w:pStyle w:val="10"/>
              <w:keepNext w:val="0"/>
              <w:keepLines/>
              <w:pageBreakBefore w:val="0"/>
              <w:widowControl w:val="0"/>
              <w:kinsoku/>
              <w:wordWrap/>
              <w:overflowPunct/>
              <w:topLinePunct/>
              <w:autoSpaceDE/>
              <w:autoSpaceDN/>
              <w:bidi w:val="0"/>
              <w:adjustRightInd/>
              <w:snapToGrid/>
              <w:spacing w:line="280" w:lineRule="exact"/>
              <w:ind w:left="0" w:right="0" w:firstLine="15"/>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《中华人民共和国大气污染防治法》（2018年修正）</w:t>
            </w:r>
          </w:p>
          <w:p w14:paraId="33A1BCBC">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第八十一条排放油烟的餐饮服务业经营者应当安装油烟净化设施并保持正常使用，或者采</w:t>
            </w:r>
            <w:r>
              <w:rPr>
                <w:rFonts w:hint="default" w:ascii="Times New Roman" w:hAnsi="Times New Roman" w:cs="Times New Roman"/>
                <w:snapToGrid/>
                <w:spacing w:val="0"/>
                <w:w w:val="100"/>
                <w:kern w:val="21"/>
                <w:highlight w:val="none"/>
              </w:rPr>
              <w:t>取其他油烟净化措施，使油烟达标排放，并防止对附近居民的正常生活环境造成污染。</w:t>
            </w:r>
            <w:r>
              <w:rPr>
                <w:rFonts w:hint="default" w:ascii="Times New Roman" w:hAnsi="Times New Roman" w:cs="Times New Roman"/>
                <w:snapToGrid/>
                <w:spacing w:val="0"/>
                <w:w w:val="100"/>
                <w:kern w:val="21"/>
                <w:highlight w:val="none"/>
              </w:rPr>
              <w:t>禁止在居民住宅楼、未配套设立专用烟道的商住综合楼以及商住综合楼内与居住层相邻的商业楼层内新</w:t>
            </w:r>
            <w:r>
              <w:rPr>
                <w:rFonts w:hint="default" w:ascii="Times New Roman" w:hAnsi="Times New Roman" w:cs="Times New Roman"/>
                <w:snapToGrid/>
                <w:spacing w:val="0"/>
                <w:w w:val="100"/>
                <w:kern w:val="21"/>
                <w:highlight w:val="none"/>
              </w:rPr>
              <w:t>建、改建、扩建产生油烟、异味、废气的餐饮服务项目。</w:t>
            </w:r>
            <w:r>
              <w:rPr>
                <w:rFonts w:hint="default" w:ascii="Times New Roman" w:hAnsi="Times New Roman" w:cs="Times New Roman"/>
                <w:snapToGrid/>
                <w:spacing w:val="0"/>
                <w:w w:val="100"/>
                <w:kern w:val="21"/>
                <w:highlight w:val="none"/>
              </w:rPr>
              <w:t>任何单位和个人不得在当地人民政府禁止的区域内露天</w:t>
            </w:r>
            <w:r>
              <w:rPr>
                <w:rFonts w:hint="default" w:ascii="Times New Roman" w:hAnsi="Times New Roman" w:cs="Times New Roman"/>
                <w:snapToGrid/>
                <w:spacing w:val="0"/>
                <w:w w:val="100"/>
                <w:kern w:val="21"/>
                <w:highlight w:val="none"/>
              </w:rPr>
              <w:t>烧烤食品或者为露天烧烤食品提供场地。</w:t>
            </w:r>
          </w:p>
        </w:tc>
      </w:tr>
      <w:tr w14:paraId="28B0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75" w:hRule="atLeast"/>
          <w:jc w:val="center"/>
        </w:trPr>
        <w:tc>
          <w:tcPr>
            <w:tcW w:w="652" w:type="dxa"/>
            <w:vAlign w:val="center"/>
          </w:tcPr>
          <w:p w14:paraId="643EFC1F">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15</w:t>
            </w:r>
          </w:p>
        </w:tc>
        <w:tc>
          <w:tcPr>
            <w:tcW w:w="1928" w:type="dxa"/>
            <w:vAlign w:val="center"/>
          </w:tcPr>
          <w:p w14:paraId="73BC2028">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殡葬服务（墓地）</w:t>
            </w:r>
          </w:p>
        </w:tc>
        <w:tc>
          <w:tcPr>
            <w:tcW w:w="2551" w:type="dxa"/>
            <w:vAlign w:val="center"/>
          </w:tcPr>
          <w:p w14:paraId="52B8298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耕地、林地；</w:t>
            </w:r>
          </w:p>
          <w:p w14:paraId="611CBFBE">
            <w:pPr>
              <w:pStyle w:val="10"/>
              <w:keepNext w:val="0"/>
              <w:keepLines/>
              <w:pageBreakBefore w:val="0"/>
              <w:widowControl w:val="0"/>
              <w:kinsoku/>
              <w:wordWrap/>
              <w:overflowPunct/>
              <w:topLinePunct/>
              <w:autoSpaceDE/>
              <w:autoSpaceDN/>
              <w:bidi w:val="0"/>
              <w:adjustRightInd/>
              <w:snapToGrid/>
              <w:spacing w:line="280" w:lineRule="exact"/>
              <w:ind w:left="0" w:right="0" w:hanging="1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城市公园、风景名胜区和文物保护</w:t>
            </w:r>
            <w:r>
              <w:rPr>
                <w:rFonts w:hint="default" w:ascii="Times New Roman" w:hAnsi="Times New Roman" w:cs="Times New Roman"/>
                <w:snapToGrid/>
                <w:spacing w:val="0"/>
                <w:w w:val="100"/>
                <w:kern w:val="21"/>
                <w:highlight w:val="none"/>
              </w:rPr>
              <w:t>区；</w:t>
            </w:r>
          </w:p>
          <w:p w14:paraId="3517A435">
            <w:pPr>
              <w:pStyle w:val="10"/>
              <w:keepNext w:val="0"/>
              <w:keepLines/>
              <w:pageBreakBefore w:val="0"/>
              <w:widowControl w:val="0"/>
              <w:kinsoku/>
              <w:wordWrap/>
              <w:overflowPunct/>
              <w:topLinePunct/>
              <w:autoSpaceDE/>
              <w:autoSpaceDN/>
              <w:bidi w:val="0"/>
              <w:adjustRightInd/>
              <w:snapToGrid/>
              <w:spacing w:line="280" w:lineRule="exact"/>
              <w:ind w:left="0" w:right="0" w:hanging="1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3.</w:t>
            </w:r>
            <w:r>
              <w:rPr>
                <w:rFonts w:hint="default" w:ascii="Times New Roman" w:hAnsi="Times New Roman" w:cs="Times New Roman"/>
                <w:snapToGrid/>
                <w:spacing w:val="0"/>
                <w:w w:val="100"/>
                <w:kern w:val="21"/>
                <w:highlight w:val="none"/>
              </w:rPr>
              <w:t>水库及河流堤坝附近和水源保护</w:t>
            </w:r>
            <w:r>
              <w:rPr>
                <w:rFonts w:hint="default" w:ascii="Times New Roman" w:hAnsi="Times New Roman" w:cs="Times New Roman"/>
                <w:snapToGrid/>
                <w:spacing w:val="0"/>
                <w:w w:val="100"/>
                <w:kern w:val="21"/>
                <w:highlight w:val="none"/>
              </w:rPr>
              <w:t>区；</w:t>
            </w:r>
          </w:p>
          <w:p w14:paraId="377668D6">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4.</w:t>
            </w:r>
            <w:r>
              <w:rPr>
                <w:rFonts w:hint="default" w:ascii="Times New Roman" w:hAnsi="Times New Roman" w:cs="Times New Roman"/>
                <w:snapToGrid/>
                <w:spacing w:val="0"/>
                <w:w w:val="100"/>
                <w:kern w:val="21"/>
                <w:highlight w:val="none"/>
              </w:rPr>
              <w:t>铁路、公路主干线两侧。</w:t>
            </w:r>
          </w:p>
        </w:tc>
        <w:tc>
          <w:tcPr>
            <w:tcW w:w="10091" w:type="dxa"/>
            <w:vAlign w:val="center"/>
          </w:tcPr>
          <w:p w14:paraId="6292D4A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《殡葬管理条例》（2012年修订）</w:t>
            </w:r>
          </w:p>
          <w:p w14:paraId="7B256FE9">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第十条禁止在下列地区建造坟墓：</w:t>
            </w:r>
          </w:p>
          <w:p w14:paraId="6D8CA475">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（一）</w:t>
            </w:r>
            <w:r>
              <w:rPr>
                <w:rFonts w:hint="default" w:ascii="Times New Roman" w:hAnsi="Times New Roman" w:cs="Times New Roman"/>
                <w:snapToGrid/>
                <w:spacing w:val="0"/>
                <w:w w:val="100"/>
                <w:kern w:val="21"/>
                <w:highlight w:val="none"/>
              </w:rPr>
              <w:t>耕地、林地；</w:t>
            </w:r>
          </w:p>
          <w:p w14:paraId="3C5422D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（二）</w:t>
            </w:r>
            <w:r>
              <w:rPr>
                <w:rFonts w:hint="default" w:ascii="Times New Roman" w:hAnsi="Times New Roman" w:cs="Times New Roman"/>
                <w:snapToGrid/>
                <w:spacing w:val="0"/>
                <w:w w:val="100"/>
                <w:kern w:val="21"/>
                <w:highlight w:val="none"/>
              </w:rPr>
              <w:t>城市公园、风景名胜区和文物保护区；</w:t>
            </w:r>
          </w:p>
          <w:p w14:paraId="64922D7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（三）</w:t>
            </w:r>
            <w:r>
              <w:rPr>
                <w:rFonts w:hint="default" w:ascii="Times New Roman" w:hAnsi="Times New Roman" w:cs="Times New Roman"/>
                <w:snapToGrid/>
                <w:spacing w:val="0"/>
                <w:w w:val="100"/>
                <w:kern w:val="21"/>
                <w:highlight w:val="none"/>
              </w:rPr>
              <w:t>水库及河流堤坝附近和水源保护区；</w:t>
            </w:r>
          </w:p>
          <w:p w14:paraId="623772B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（四）</w:t>
            </w:r>
            <w:r>
              <w:rPr>
                <w:rFonts w:hint="default" w:ascii="Times New Roman" w:hAnsi="Times New Roman" w:cs="Times New Roman"/>
                <w:snapToGrid/>
                <w:spacing w:val="0"/>
                <w:w w:val="100"/>
                <w:kern w:val="21"/>
                <w:highlight w:val="none"/>
              </w:rPr>
              <w:t>铁路、公路主干线两侧。</w:t>
            </w:r>
          </w:p>
          <w:p w14:paraId="101EFBE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《中华人民共和国土地管理法》（2020年修订）</w:t>
            </w:r>
          </w:p>
          <w:p w14:paraId="3026DAB3">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第三十七条非农业建设必须节约使用土地，可以利用</w:t>
            </w:r>
            <w:r>
              <w:rPr>
                <w:rFonts w:hint="default" w:ascii="Times New Roman" w:hAnsi="Times New Roman" w:cs="Times New Roman"/>
                <w:snapToGrid/>
                <w:spacing w:val="0"/>
                <w:w w:val="100"/>
                <w:kern w:val="21"/>
                <w:highlight w:val="none"/>
              </w:rPr>
              <w:t>荒地的，不得占用耕地；可以利用劣地的，不得占</w:t>
            </w:r>
            <w:r>
              <w:rPr>
                <w:rFonts w:hint="default" w:ascii="Times New Roman" w:hAnsi="Times New Roman" w:cs="Times New Roman"/>
                <w:snapToGrid/>
                <w:spacing w:val="0"/>
                <w:w w:val="100"/>
                <w:kern w:val="21"/>
                <w:highlight w:val="none"/>
              </w:rPr>
              <w:t>用好地。禁止占用耕地建窑、建坟或者擅自在耕地上建房、挖砂、采石、采矿、取</w:t>
            </w:r>
            <w:r>
              <w:rPr>
                <w:rFonts w:hint="default" w:ascii="Times New Roman" w:hAnsi="Times New Roman" w:cs="Times New Roman"/>
                <w:snapToGrid/>
                <w:spacing w:val="0"/>
                <w:w w:val="100"/>
                <w:kern w:val="21"/>
                <w:highlight w:val="none"/>
              </w:rPr>
              <w:t>土等。</w:t>
            </w:r>
          </w:p>
          <w:p w14:paraId="0B3223E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禁止占用永久基本农田发展林果业和挖塘养鱼。</w:t>
            </w:r>
          </w:p>
        </w:tc>
      </w:tr>
      <w:tr w14:paraId="22F5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61" w:hRule="atLeast"/>
          <w:jc w:val="center"/>
        </w:trPr>
        <w:tc>
          <w:tcPr>
            <w:tcW w:w="652" w:type="dxa"/>
            <w:shd w:val="clear" w:color="auto" w:fill="auto"/>
            <w:vAlign w:val="center"/>
          </w:tcPr>
          <w:p w14:paraId="3D7347F8">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16</w:t>
            </w:r>
          </w:p>
        </w:tc>
        <w:tc>
          <w:tcPr>
            <w:tcW w:w="1928" w:type="dxa"/>
            <w:vAlign w:val="center"/>
          </w:tcPr>
          <w:p w14:paraId="3B6FA28A">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生猪屠宰业</w:t>
            </w:r>
          </w:p>
        </w:tc>
        <w:tc>
          <w:tcPr>
            <w:tcW w:w="2551" w:type="dxa"/>
            <w:vAlign w:val="center"/>
          </w:tcPr>
          <w:p w14:paraId="4687C36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未经依法定点的场所</w:t>
            </w:r>
          </w:p>
        </w:tc>
        <w:tc>
          <w:tcPr>
            <w:tcW w:w="10091" w:type="dxa"/>
            <w:vAlign w:val="center"/>
          </w:tcPr>
          <w:p w14:paraId="307227E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《生猪屠宰管理条例》（2021年修订）</w:t>
            </w:r>
          </w:p>
          <w:p w14:paraId="1FAD90C3">
            <w:pPr>
              <w:pStyle w:val="10"/>
              <w:keepNext w:val="0"/>
              <w:keepLines/>
              <w:pageBreakBefore w:val="0"/>
              <w:widowControl w:val="0"/>
              <w:kinsoku/>
              <w:wordWrap/>
              <w:overflowPunct/>
              <w:topLinePunct/>
              <w:autoSpaceDE/>
              <w:autoSpaceDN/>
              <w:bidi w:val="0"/>
              <w:adjustRightInd/>
              <w:snapToGrid/>
              <w:spacing w:line="280" w:lineRule="exact"/>
              <w:ind w:left="0" w:right="0" w:firstLine="397"/>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第二十二条严禁任何单位和个人为未经定点违法从事生猪屠宰活动的单位和个人</w:t>
            </w:r>
            <w:r>
              <w:rPr>
                <w:rFonts w:hint="default" w:ascii="Times New Roman" w:hAnsi="Times New Roman" w:cs="Times New Roman"/>
                <w:snapToGrid/>
                <w:spacing w:val="0"/>
                <w:w w:val="100"/>
                <w:kern w:val="21"/>
                <w:highlight w:val="none"/>
              </w:rPr>
              <w:t>提供生猪屠宰场所或者生猪产品储存设施，严禁为对生猪、生猪产品注水或者注</w:t>
            </w:r>
            <w:r>
              <w:rPr>
                <w:rFonts w:hint="default" w:ascii="Times New Roman" w:hAnsi="Times New Roman" w:cs="Times New Roman"/>
                <w:snapToGrid/>
                <w:spacing w:val="0"/>
                <w:w w:val="100"/>
                <w:kern w:val="21"/>
                <w:highlight w:val="none"/>
              </w:rPr>
              <w:t>入其他物质的单位和个人提供场所。</w:t>
            </w:r>
          </w:p>
        </w:tc>
      </w:tr>
      <w:tr w14:paraId="11A5A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13" w:hRule="atLeast"/>
          <w:jc w:val="center"/>
        </w:trPr>
        <w:tc>
          <w:tcPr>
            <w:tcW w:w="652" w:type="dxa"/>
            <w:shd w:val="clear" w:color="auto" w:fill="auto"/>
            <w:vAlign w:val="center"/>
          </w:tcPr>
          <w:p w14:paraId="253CD09E">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17</w:t>
            </w:r>
          </w:p>
        </w:tc>
        <w:tc>
          <w:tcPr>
            <w:tcW w:w="1928" w:type="dxa"/>
            <w:vAlign w:val="center"/>
          </w:tcPr>
          <w:p w14:paraId="1E101F48">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动物饲养场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养殖小区</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和隔离场所，动物屠宰</w:t>
            </w:r>
            <w:r>
              <w:rPr>
                <w:rFonts w:hint="default" w:ascii="Times New Roman" w:hAnsi="Times New Roman" w:cs="Times New Roman"/>
                <w:snapToGrid/>
                <w:spacing w:val="0"/>
                <w:w w:val="100"/>
                <w:kern w:val="21"/>
                <w:highlight w:val="none"/>
              </w:rPr>
              <w:t>加工场所，以及动物和</w:t>
            </w:r>
            <w:r>
              <w:rPr>
                <w:rFonts w:hint="default" w:ascii="Times New Roman" w:hAnsi="Times New Roman" w:cs="Times New Roman"/>
                <w:snapToGrid/>
                <w:spacing w:val="0"/>
                <w:w w:val="100"/>
                <w:kern w:val="21"/>
                <w:highlight w:val="none"/>
              </w:rPr>
              <w:t>动物产品无害化处理</w:t>
            </w:r>
            <w:r>
              <w:rPr>
                <w:rFonts w:hint="default" w:ascii="Times New Roman" w:hAnsi="Times New Roman" w:cs="Times New Roman"/>
                <w:snapToGrid/>
                <w:spacing w:val="0"/>
                <w:w w:val="100"/>
                <w:kern w:val="21"/>
                <w:highlight w:val="none"/>
              </w:rPr>
              <w:t>场所（畜禽养殖场、养</w:t>
            </w:r>
            <w:r>
              <w:rPr>
                <w:rFonts w:hint="default" w:ascii="Times New Roman" w:hAnsi="Times New Roman" w:cs="Times New Roman"/>
                <w:snapToGrid/>
                <w:spacing w:val="0"/>
                <w:w w:val="100"/>
                <w:kern w:val="21"/>
                <w:highlight w:val="none"/>
              </w:rPr>
              <w:t>殖小区）</w:t>
            </w:r>
          </w:p>
        </w:tc>
        <w:tc>
          <w:tcPr>
            <w:tcW w:w="2551" w:type="dxa"/>
            <w:vAlign w:val="center"/>
          </w:tcPr>
          <w:p w14:paraId="0B4E5AF8">
            <w:pPr>
              <w:pStyle w:val="10"/>
              <w:keepNext w:val="0"/>
              <w:keepLines/>
              <w:pageBreakBefore w:val="0"/>
              <w:widowControl w:val="0"/>
              <w:kinsoku/>
              <w:wordWrap/>
              <w:overflowPunct/>
              <w:topLinePunct/>
              <w:autoSpaceDE/>
              <w:autoSpaceDN/>
              <w:bidi w:val="0"/>
              <w:adjustRightInd/>
              <w:snapToGrid/>
              <w:spacing w:line="280" w:lineRule="exact"/>
              <w:ind w:left="0" w:right="0" w:hanging="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生活饮用水源地，饮用水水源保护</w:t>
            </w:r>
            <w:r>
              <w:rPr>
                <w:rFonts w:hint="default" w:ascii="Times New Roman" w:hAnsi="Times New Roman" w:cs="Times New Roman"/>
                <w:snapToGrid/>
                <w:spacing w:val="0"/>
                <w:w w:val="100"/>
                <w:kern w:val="21"/>
                <w:highlight w:val="none"/>
              </w:rPr>
              <w:t>区，风景名胜区；</w:t>
            </w:r>
          </w:p>
          <w:p w14:paraId="36756F0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自然保护区的核心区和缓冲区；</w:t>
            </w:r>
          </w:p>
          <w:p w14:paraId="5FAD7F0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3.</w:t>
            </w:r>
            <w:r>
              <w:rPr>
                <w:rFonts w:hint="default" w:ascii="Times New Roman" w:hAnsi="Times New Roman" w:cs="Times New Roman"/>
                <w:snapToGrid/>
                <w:spacing w:val="0"/>
                <w:w w:val="100"/>
                <w:kern w:val="21"/>
                <w:highlight w:val="none"/>
              </w:rPr>
              <w:t>城镇居民区、文化教育科学研究区、</w:t>
            </w:r>
            <w:r>
              <w:rPr>
                <w:rFonts w:hint="default" w:ascii="Times New Roman" w:hAnsi="Times New Roman" w:cs="Times New Roman"/>
                <w:snapToGrid/>
                <w:spacing w:val="0"/>
                <w:w w:val="100"/>
                <w:kern w:val="21"/>
                <w:highlight w:val="none"/>
              </w:rPr>
              <w:t>学校、医院等人口集中区域；</w:t>
            </w:r>
          </w:p>
          <w:p w14:paraId="66657E5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4.</w:t>
            </w:r>
            <w:r>
              <w:rPr>
                <w:rFonts w:hint="default" w:ascii="Times New Roman" w:hAnsi="Times New Roman" w:cs="Times New Roman"/>
                <w:snapToGrid/>
                <w:spacing w:val="0"/>
                <w:w w:val="100"/>
                <w:kern w:val="21"/>
                <w:highlight w:val="none"/>
              </w:rPr>
              <w:t>县级以上人民政府依法划定的畜禽</w:t>
            </w:r>
            <w:r>
              <w:rPr>
                <w:rFonts w:hint="default" w:ascii="Times New Roman" w:hAnsi="Times New Roman" w:cs="Times New Roman"/>
                <w:snapToGrid/>
                <w:spacing w:val="0"/>
                <w:w w:val="100"/>
                <w:kern w:val="21"/>
                <w:highlight w:val="none"/>
              </w:rPr>
              <w:t>养殖禁养区和限养区；</w:t>
            </w:r>
          </w:p>
          <w:p w14:paraId="346636C5">
            <w:pPr>
              <w:pStyle w:val="10"/>
              <w:keepNext w:val="0"/>
              <w:keepLines/>
              <w:pageBreakBefore w:val="0"/>
              <w:widowControl w:val="0"/>
              <w:kinsoku/>
              <w:wordWrap/>
              <w:overflowPunct/>
              <w:topLinePunct/>
              <w:autoSpaceDE/>
              <w:autoSpaceDN/>
              <w:bidi w:val="0"/>
              <w:adjustRightInd/>
              <w:snapToGrid/>
              <w:spacing w:line="280" w:lineRule="exact"/>
              <w:ind w:left="0" w:right="0" w:firstLine="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5.</w:t>
            </w:r>
            <w:r>
              <w:rPr>
                <w:rFonts w:hint="default" w:ascii="Times New Roman" w:hAnsi="Times New Roman" w:cs="Times New Roman"/>
                <w:snapToGrid/>
                <w:spacing w:val="0"/>
                <w:w w:val="100"/>
                <w:kern w:val="21"/>
                <w:highlight w:val="none"/>
              </w:rPr>
              <w:t>法律、法规规定的其他禁止养殖区</w:t>
            </w:r>
            <w:r>
              <w:rPr>
                <w:rFonts w:hint="default" w:ascii="Times New Roman" w:hAnsi="Times New Roman" w:cs="Times New Roman"/>
                <w:snapToGrid/>
                <w:spacing w:val="0"/>
                <w:w w:val="100"/>
                <w:kern w:val="21"/>
                <w:highlight w:val="none"/>
              </w:rPr>
              <w:t>域。</w:t>
            </w:r>
          </w:p>
        </w:tc>
        <w:tc>
          <w:tcPr>
            <w:tcW w:w="10091" w:type="dxa"/>
            <w:vAlign w:val="center"/>
          </w:tcPr>
          <w:p w14:paraId="55B4810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w:t>
            </w:r>
            <w:r>
              <w:rPr>
                <w:rFonts w:hint="default" w:ascii="Times New Roman" w:hAnsi="Times New Roman" w:cs="Times New Roman"/>
                <w:b/>
                <w:bCs/>
                <w:snapToGrid/>
                <w:spacing w:val="0"/>
                <w:w w:val="100"/>
                <w:kern w:val="21"/>
                <w:highlight w:val="none"/>
                <w:lang w:eastAsia="zh-CN"/>
              </w:rPr>
              <w:t>中华人民共和国畜牧法</w:t>
            </w:r>
            <w:r>
              <w:rPr>
                <w:rFonts w:hint="default" w:ascii="Times New Roman" w:hAnsi="Times New Roman" w:cs="Times New Roman"/>
                <w:b/>
                <w:bCs/>
                <w:snapToGrid/>
                <w:spacing w:val="0"/>
                <w:w w:val="100"/>
                <w:kern w:val="21"/>
                <w:highlight w:val="none"/>
              </w:rPr>
              <w:t>》（2023年修正）</w:t>
            </w:r>
          </w:p>
          <w:p w14:paraId="7139C4DD">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第四十条畜禽养殖场的选址、建设应当符合国土空间规划，并遵守有关法律法规的规定；</w:t>
            </w:r>
            <w:r>
              <w:rPr>
                <w:rFonts w:hint="default" w:ascii="Times New Roman" w:hAnsi="Times New Roman" w:cs="Times New Roman"/>
                <w:snapToGrid/>
                <w:spacing w:val="0"/>
                <w:w w:val="100"/>
                <w:kern w:val="21"/>
                <w:highlight w:val="none"/>
              </w:rPr>
              <w:t>不得违反法律法规的规定，在禁养区域建设畜禽养殖场。</w:t>
            </w:r>
          </w:p>
          <w:p w14:paraId="2931B2B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《中华人民共和国动物防疫法》（2021年第三次修正</w:t>
            </w:r>
            <w:r>
              <w:rPr>
                <w:rFonts w:hint="default" w:ascii="Times New Roman" w:hAnsi="Times New Roman" w:cs="Times New Roman"/>
                <w:b/>
                <w:bCs/>
                <w:snapToGrid/>
                <w:spacing w:val="0"/>
                <w:w w:val="100"/>
                <w:kern w:val="21"/>
                <w:highlight w:val="none"/>
              </w:rPr>
              <w:t>）（</w:t>
            </w:r>
            <w:r>
              <w:rPr>
                <w:rFonts w:hint="default" w:ascii="Times New Roman" w:hAnsi="Times New Roman" w:cs="Times New Roman"/>
                <w:b/>
                <w:bCs/>
                <w:snapToGrid/>
                <w:spacing w:val="0"/>
                <w:w w:val="100"/>
                <w:kern w:val="21"/>
                <w:highlight w:val="none"/>
              </w:rPr>
              <w:t>2021年5月</w:t>
            </w:r>
            <w:r>
              <w:rPr>
                <w:rFonts w:hint="default" w:ascii="Times New Roman" w:hAnsi="Times New Roman" w:cs="Times New Roman"/>
                <w:b/>
                <w:bCs/>
                <w:snapToGrid/>
                <w:spacing w:val="0"/>
                <w:w w:val="100"/>
                <w:kern w:val="21"/>
                <w:highlight w:val="none"/>
              </w:rPr>
              <w:t>1日起施行）</w:t>
            </w:r>
          </w:p>
          <w:p w14:paraId="62F1F472">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第二十四条动物饲养场和隔离场所、动物屠宰加工场所以及动物和动物产品无害化处理场</w:t>
            </w:r>
            <w:r>
              <w:rPr>
                <w:rFonts w:hint="default" w:ascii="Times New Roman" w:hAnsi="Times New Roman" w:cs="Times New Roman"/>
                <w:snapToGrid/>
                <w:spacing w:val="0"/>
                <w:w w:val="100"/>
                <w:kern w:val="21"/>
                <w:highlight w:val="none"/>
              </w:rPr>
              <w:t>所，应当符合</w:t>
            </w:r>
            <w:r>
              <w:rPr>
                <w:rFonts w:hint="default" w:ascii="Times New Roman" w:hAnsi="Times New Roman" w:cs="Times New Roman"/>
                <w:snapToGrid/>
                <w:spacing w:val="0"/>
                <w:w w:val="100"/>
                <w:kern w:val="21"/>
                <w:highlight w:val="none"/>
              </w:rPr>
              <w:t>下列动物防疫条件：</w:t>
            </w:r>
          </w:p>
          <w:p w14:paraId="4AA85188">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（一）场所的位置与居民生活区、生活饮用水水源地、学校、医院等公共场所的距离符合国务院农业农村主管部门的规定；</w:t>
            </w:r>
          </w:p>
          <w:p w14:paraId="729D525C">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二）生产经营区域封闭隔离，工程设计和有关流程符合动物防疫要求；</w:t>
            </w:r>
          </w:p>
          <w:p w14:paraId="6347CCB5">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（三）有与其规模相适应的污水、污物处理设施，病死动物、病害动物产品无害化处理设施设</w:t>
            </w:r>
            <w:r>
              <w:rPr>
                <w:rFonts w:hint="default" w:ascii="Times New Roman" w:hAnsi="Times New Roman" w:cs="Times New Roman"/>
                <w:snapToGrid/>
                <w:spacing w:val="0"/>
                <w:w w:val="100"/>
                <w:kern w:val="21"/>
                <w:highlight w:val="none"/>
              </w:rPr>
              <w:t>备或者冷藏</w:t>
            </w:r>
            <w:r>
              <w:rPr>
                <w:rFonts w:hint="default" w:ascii="Times New Roman" w:hAnsi="Times New Roman" w:cs="Times New Roman"/>
                <w:snapToGrid/>
                <w:spacing w:val="0"/>
                <w:w w:val="100"/>
                <w:kern w:val="21"/>
                <w:highlight w:val="none"/>
              </w:rPr>
              <w:t>冷冻设施设备，以及清洗消毒设施设备；</w:t>
            </w:r>
          </w:p>
          <w:p w14:paraId="20C1EE0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（四）有与其规模相适应的执业兽医或者动物防疫技</w:t>
            </w:r>
            <w:r>
              <w:rPr>
                <w:rFonts w:hint="default" w:ascii="Times New Roman" w:hAnsi="Times New Roman" w:cs="Times New Roman"/>
                <w:snapToGrid/>
                <w:spacing w:val="0"/>
                <w:w w:val="100"/>
                <w:kern w:val="21"/>
                <w:highlight w:val="none"/>
              </w:rPr>
              <w:t>术人员；</w:t>
            </w:r>
          </w:p>
          <w:p w14:paraId="43D856B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（五）有完善的隔离消毒、购销台账、日常巡查等动物防疫制度；</w:t>
            </w:r>
          </w:p>
          <w:p w14:paraId="3A125136">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（六）具备国务院农业农村主管部门规定的其</w:t>
            </w:r>
            <w:r>
              <w:rPr>
                <w:rFonts w:hint="default" w:ascii="Times New Roman" w:hAnsi="Times New Roman" w:cs="Times New Roman"/>
                <w:snapToGrid/>
                <w:spacing w:val="0"/>
                <w:w w:val="100"/>
                <w:kern w:val="21"/>
                <w:highlight w:val="none"/>
              </w:rPr>
              <w:t>他动物防疫条件。</w:t>
            </w:r>
          </w:p>
          <w:p w14:paraId="3D88BAA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《畜禽规模养殖污染防治条例》（中华人民共和国国务院令</w:t>
            </w:r>
            <w:r>
              <w:rPr>
                <w:rFonts w:hint="default" w:ascii="Times New Roman" w:hAnsi="Times New Roman" w:cs="Times New Roman"/>
                <w:b/>
                <w:bCs/>
                <w:snapToGrid/>
                <w:spacing w:val="0"/>
                <w:w w:val="100"/>
                <w:kern w:val="21"/>
                <w:highlight w:val="none"/>
              </w:rPr>
              <w:t>第643号）</w:t>
            </w:r>
          </w:p>
          <w:p w14:paraId="2D767C33">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第十一条禁止在下列区域内建设畜禽养殖场、养殖小区：</w:t>
            </w:r>
          </w:p>
          <w:p w14:paraId="4768D90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（一）</w:t>
            </w:r>
            <w:r>
              <w:rPr>
                <w:rFonts w:hint="default" w:ascii="Times New Roman" w:hAnsi="Times New Roman" w:cs="Times New Roman"/>
                <w:snapToGrid/>
                <w:spacing w:val="0"/>
                <w:w w:val="100"/>
                <w:kern w:val="21"/>
                <w:highlight w:val="none"/>
              </w:rPr>
              <w:t>饮用水水源保护区，风景名胜区；</w:t>
            </w:r>
          </w:p>
          <w:p w14:paraId="3552607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（二）</w:t>
            </w:r>
            <w:r>
              <w:rPr>
                <w:rFonts w:hint="default" w:ascii="Times New Roman" w:hAnsi="Times New Roman" w:cs="Times New Roman"/>
                <w:snapToGrid/>
                <w:spacing w:val="0"/>
                <w:w w:val="100"/>
                <w:kern w:val="21"/>
                <w:highlight w:val="none"/>
              </w:rPr>
              <w:t>自然保护区的核心区和缓冲区；</w:t>
            </w:r>
          </w:p>
          <w:p w14:paraId="082DBE7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（三）</w:t>
            </w:r>
            <w:r>
              <w:rPr>
                <w:rFonts w:hint="default" w:ascii="Times New Roman" w:hAnsi="Times New Roman" w:cs="Times New Roman"/>
                <w:snapToGrid/>
                <w:spacing w:val="0"/>
                <w:w w:val="100"/>
                <w:kern w:val="21"/>
                <w:highlight w:val="none"/>
              </w:rPr>
              <w:t>城镇居民区、文化教育科学研究区等人口</w:t>
            </w:r>
            <w:r>
              <w:rPr>
                <w:rFonts w:hint="default" w:ascii="Times New Roman" w:hAnsi="Times New Roman" w:cs="Times New Roman"/>
                <w:snapToGrid/>
                <w:spacing w:val="0"/>
                <w:w w:val="100"/>
                <w:kern w:val="21"/>
                <w:highlight w:val="none"/>
              </w:rPr>
              <w:t>集中区域；</w:t>
            </w:r>
          </w:p>
          <w:p w14:paraId="6CE23AF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（四）</w:t>
            </w:r>
            <w:r>
              <w:rPr>
                <w:rFonts w:hint="default" w:ascii="Times New Roman" w:hAnsi="Times New Roman" w:cs="Times New Roman"/>
                <w:snapToGrid/>
                <w:spacing w:val="0"/>
                <w:w w:val="100"/>
                <w:kern w:val="21"/>
                <w:highlight w:val="none"/>
              </w:rPr>
              <w:t>法律、法规规定的其他禁止养殖区域。</w:t>
            </w:r>
          </w:p>
          <w:p w14:paraId="5E34049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《畜禽养殖禁养区划定技术指南》（环办水体</w:t>
            </w:r>
            <w:r>
              <w:rPr>
                <w:rFonts w:hint="default" w:ascii="Times New Roman" w:hAnsi="Times New Roman" w:cs="Times New Roman"/>
                <w:b/>
                <w:bCs/>
                <w:snapToGrid/>
                <w:spacing w:val="0"/>
                <w:w w:val="100"/>
                <w:kern w:val="21"/>
                <w:highlight w:val="none"/>
                <w:lang w:eastAsia="zh-CN"/>
              </w:rPr>
              <w:t>〔2016〕99号</w:t>
            </w:r>
            <w:r>
              <w:rPr>
                <w:rFonts w:hint="default" w:ascii="Times New Roman" w:hAnsi="Times New Roman" w:cs="Times New Roman"/>
                <w:b/>
                <w:bCs/>
                <w:snapToGrid/>
                <w:spacing w:val="0"/>
                <w:w w:val="100"/>
                <w:kern w:val="21"/>
                <w:highlight w:val="none"/>
              </w:rPr>
              <w:t>）</w:t>
            </w:r>
          </w:p>
          <w:p w14:paraId="1FB4B2B1">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3.3禁养区</w:t>
            </w:r>
          </w:p>
          <w:p w14:paraId="6D4D2B7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指县级以上地方人民政府依法划定的禁止建设养殖</w:t>
            </w:r>
            <w:r>
              <w:rPr>
                <w:rFonts w:hint="default" w:ascii="Times New Roman" w:hAnsi="Times New Roman" w:cs="Times New Roman"/>
                <w:snapToGrid/>
                <w:spacing w:val="0"/>
                <w:w w:val="100"/>
                <w:kern w:val="21"/>
                <w:highlight w:val="none"/>
              </w:rPr>
              <w:t>场或禁止建设有污染物排放的养殖场的区域。</w:t>
            </w:r>
          </w:p>
        </w:tc>
      </w:tr>
      <w:tr w14:paraId="6D61B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27" w:hRule="atLeast"/>
          <w:jc w:val="center"/>
        </w:trPr>
        <w:tc>
          <w:tcPr>
            <w:tcW w:w="652" w:type="dxa"/>
            <w:shd w:val="clear" w:color="auto" w:fill="auto"/>
            <w:vAlign w:val="center"/>
          </w:tcPr>
          <w:p w14:paraId="09DA8E5D">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18</w:t>
            </w:r>
          </w:p>
        </w:tc>
        <w:tc>
          <w:tcPr>
            <w:tcW w:w="1928" w:type="dxa"/>
            <w:vAlign w:val="center"/>
          </w:tcPr>
          <w:p w14:paraId="7F6170FF">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营业性歌舞娱乐场所</w:t>
            </w:r>
          </w:p>
        </w:tc>
        <w:tc>
          <w:tcPr>
            <w:tcW w:w="2551" w:type="dxa"/>
            <w:vAlign w:val="center"/>
          </w:tcPr>
          <w:p w14:paraId="3B97535E">
            <w:pPr>
              <w:pStyle w:val="10"/>
              <w:keepNext w:val="0"/>
              <w:keepLines/>
              <w:pageBreakBefore w:val="0"/>
              <w:widowControl w:val="0"/>
              <w:kinsoku/>
              <w:wordWrap/>
              <w:overflowPunct/>
              <w:topLinePunct/>
              <w:autoSpaceDE/>
              <w:autoSpaceDN/>
              <w:bidi w:val="0"/>
              <w:adjustRightInd/>
              <w:snapToGrid/>
              <w:spacing w:line="280" w:lineRule="exact"/>
              <w:ind w:left="0" w:right="0" w:firstLine="1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在中小学校园周边设置营业性歌舞</w:t>
            </w:r>
            <w:r>
              <w:rPr>
                <w:rFonts w:hint="default" w:ascii="Times New Roman" w:hAnsi="Times New Roman" w:cs="Times New Roman"/>
                <w:snapToGrid/>
                <w:spacing w:val="0"/>
                <w:w w:val="100"/>
                <w:kern w:val="21"/>
                <w:highlight w:val="none"/>
              </w:rPr>
              <w:t>娱乐场所等不适宜未成年人进入的场</w:t>
            </w:r>
            <w:r>
              <w:rPr>
                <w:rFonts w:hint="default" w:ascii="Times New Roman" w:hAnsi="Times New Roman" w:cs="Times New Roman"/>
                <w:snapToGrid/>
                <w:spacing w:val="0"/>
                <w:w w:val="100"/>
                <w:kern w:val="21"/>
                <w:highlight w:val="none"/>
              </w:rPr>
              <w:t>所；</w:t>
            </w:r>
          </w:p>
          <w:p w14:paraId="35EA0B57">
            <w:pPr>
              <w:pStyle w:val="10"/>
              <w:keepNext w:val="0"/>
              <w:keepLines/>
              <w:pageBreakBefore w:val="0"/>
              <w:widowControl w:val="0"/>
              <w:kinsoku/>
              <w:wordWrap/>
              <w:overflowPunct/>
              <w:topLinePunct/>
              <w:autoSpaceDE/>
              <w:autoSpaceDN/>
              <w:bidi w:val="0"/>
              <w:adjustRightInd/>
              <w:snapToGrid/>
              <w:spacing w:line="280" w:lineRule="exact"/>
              <w:ind w:left="0" w:right="0" w:hanging="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居民楼、博物馆、图书馆和被核定</w:t>
            </w:r>
            <w:r>
              <w:rPr>
                <w:rFonts w:hint="default" w:ascii="Times New Roman" w:hAnsi="Times New Roman" w:cs="Times New Roman"/>
                <w:snapToGrid/>
                <w:spacing w:val="0"/>
                <w:w w:val="100"/>
                <w:kern w:val="21"/>
                <w:highlight w:val="none"/>
              </w:rPr>
              <w:t>为文物保护单位的建筑物内；</w:t>
            </w:r>
          </w:p>
          <w:p w14:paraId="266DC06F">
            <w:pPr>
              <w:pStyle w:val="10"/>
              <w:keepNext w:val="0"/>
              <w:keepLines/>
              <w:pageBreakBefore w:val="0"/>
              <w:widowControl w:val="0"/>
              <w:kinsoku/>
              <w:wordWrap/>
              <w:overflowPunct/>
              <w:topLinePunct/>
              <w:autoSpaceDE/>
              <w:autoSpaceDN/>
              <w:bidi w:val="0"/>
              <w:adjustRightInd/>
              <w:snapToGrid/>
              <w:spacing w:line="280" w:lineRule="exact"/>
              <w:ind w:left="0" w:right="0" w:hanging="15"/>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3.</w:t>
            </w:r>
            <w:r>
              <w:rPr>
                <w:rFonts w:hint="default" w:ascii="Times New Roman" w:hAnsi="Times New Roman" w:cs="Times New Roman"/>
                <w:snapToGrid/>
                <w:spacing w:val="0"/>
                <w:w w:val="100"/>
                <w:kern w:val="21"/>
                <w:highlight w:val="none"/>
              </w:rPr>
              <w:t>居民住宅区和学校、医院、机关周</w:t>
            </w:r>
            <w:r>
              <w:rPr>
                <w:rFonts w:hint="default" w:ascii="Times New Roman" w:hAnsi="Times New Roman" w:cs="Times New Roman"/>
                <w:snapToGrid/>
                <w:spacing w:val="0"/>
                <w:w w:val="100"/>
                <w:kern w:val="21"/>
                <w:highlight w:val="none"/>
              </w:rPr>
              <w:t>围；</w:t>
            </w:r>
          </w:p>
          <w:p w14:paraId="7669E53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4.</w:t>
            </w:r>
            <w:r>
              <w:rPr>
                <w:rFonts w:hint="default" w:ascii="Times New Roman" w:hAnsi="Times New Roman" w:cs="Times New Roman"/>
                <w:snapToGrid/>
                <w:spacing w:val="0"/>
                <w:w w:val="100"/>
                <w:kern w:val="21"/>
                <w:highlight w:val="none"/>
              </w:rPr>
              <w:t>车站、机场等人群密集的场所；</w:t>
            </w:r>
          </w:p>
          <w:p w14:paraId="2155399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5.</w:t>
            </w:r>
            <w:r>
              <w:rPr>
                <w:rFonts w:hint="default" w:ascii="Times New Roman" w:hAnsi="Times New Roman" w:cs="Times New Roman"/>
                <w:snapToGrid/>
                <w:spacing w:val="0"/>
                <w:w w:val="100"/>
                <w:kern w:val="21"/>
                <w:highlight w:val="none"/>
              </w:rPr>
              <w:t>建筑物地下一层以下；</w:t>
            </w:r>
          </w:p>
          <w:p w14:paraId="3B6BAB9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6.</w:t>
            </w:r>
            <w:r>
              <w:rPr>
                <w:rFonts w:hint="default" w:ascii="Times New Roman" w:hAnsi="Times New Roman" w:cs="Times New Roman"/>
                <w:snapToGrid/>
                <w:spacing w:val="0"/>
                <w:w w:val="100"/>
                <w:kern w:val="21"/>
                <w:highlight w:val="none"/>
              </w:rPr>
              <w:t>与危险化学品仓库毗连的区域。</w:t>
            </w:r>
          </w:p>
        </w:tc>
        <w:tc>
          <w:tcPr>
            <w:tcW w:w="10091" w:type="dxa"/>
            <w:vAlign w:val="center"/>
          </w:tcPr>
          <w:p w14:paraId="277A5E4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《中华人民共和国未成年人保护法》（2020</w:t>
            </w:r>
            <w:r>
              <w:rPr>
                <w:rFonts w:hint="default" w:ascii="Times New Roman" w:hAnsi="Times New Roman" w:cs="Times New Roman"/>
                <w:b/>
                <w:bCs/>
                <w:snapToGrid/>
                <w:spacing w:val="0"/>
                <w:w w:val="100"/>
                <w:kern w:val="21"/>
                <w:highlight w:val="none"/>
              </w:rPr>
              <w:t>年第二次修订</w:t>
            </w:r>
            <w:r>
              <w:rPr>
                <w:rFonts w:hint="default" w:ascii="Times New Roman" w:hAnsi="Times New Roman" w:cs="Times New Roman"/>
                <w:b/>
                <w:bCs/>
                <w:snapToGrid/>
                <w:spacing w:val="0"/>
                <w:w w:val="100"/>
                <w:kern w:val="21"/>
                <w:highlight w:val="none"/>
              </w:rPr>
              <w:t>）（</w:t>
            </w:r>
            <w:r>
              <w:rPr>
                <w:rFonts w:hint="default" w:ascii="Times New Roman" w:hAnsi="Times New Roman" w:cs="Times New Roman"/>
                <w:b/>
                <w:bCs/>
                <w:snapToGrid/>
                <w:spacing w:val="0"/>
                <w:w w:val="100"/>
                <w:kern w:val="21"/>
                <w:highlight w:val="none"/>
              </w:rPr>
              <w:t>2021年6月1日起施行）</w:t>
            </w:r>
          </w:p>
          <w:p w14:paraId="7BDD2F97">
            <w:pPr>
              <w:keepNext w:val="0"/>
              <w:keepLines/>
              <w:pageBreakBefore w:val="0"/>
              <w:widowControl w:val="0"/>
              <w:suppressLineNumbers w:val="0"/>
              <w:kinsoku/>
              <w:wordWrap/>
              <w:overflowPunct/>
              <w:topLinePunct/>
              <w:autoSpaceDE/>
              <w:autoSpaceDN/>
              <w:bidi w:val="0"/>
              <w:adjustRightInd/>
              <w:snapToGrid/>
              <w:spacing w:line="280" w:lineRule="exact"/>
              <w:ind w:firstLine="380" w:firstLineChars="20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eastAsia="微软雅黑" w:cs="Times New Roman"/>
                <w:snapToGrid/>
                <w:color w:val="000000"/>
                <w:spacing w:val="0"/>
                <w:w w:val="100"/>
                <w:kern w:val="21"/>
                <w:sz w:val="19"/>
                <w:szCs w:val="19"/>
                <w:highlight w:val="none"/>
                <w:lang w:val="en-US" w:eastAsia="zh-CN" w:bidi="ar-SA"/>
              </w:rPr>
              <w:t>第二条本省行政区域内幼儿园、普通中小学校、特殊教育学校、中等职业学校、高等学校、非学历教育机构（以下统称学校）的安全管理工作适用本条例。</w:t>
            </w:r>
          </w:p>
          <w:p w14:paraId="5B69DE70">
            <w:pPr>
              <w:pStyle w:val="10"/>
              <w:keepNext w:val="0"/>
              <w:keepLines/>
              <w:pageBreakBefore w:val="0"/>
              <w:widowControl w:val="0"/>
              <w:kinsoku/>
              <w:wordWrap/>
              <w:overflowPunct/>
              <w:topLinePunct/>
              <w:autoSpaceDE/>
              <w:autoSpaceDN/>
              <w:bidi w:val="0"/>
              <w:adjustRightInd/>
              <w:snapToGrid/>
              <w:spacing w:line="280" w:lineRule="exact"/>
              <w:ind w:left="0" w:right="0" w:firstLine="41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第五十八条学校、幼儿园周边不得设置营业性娱乐场所、酒吧、互</w:t>
            </w:r>
            <w:r>
              <w:rPr>
                <w:rFonts w:hint="default" w:ascii="Times New Roman" w:hAnsi="Times New Roman" w:cs="Times New Roman"/>
                <w:snapToGrid/>
                <w:spacing w:val="0"/>
                <w:w w:val="100"/>
                <w:kern w:val="21"/>
                <w:highlight w:val="none"/>
              </w:rPr>
              <w:t>联网上网服务营业场所等不适宜未成</w:t>
            </w:r>
            <w:r>
              <w:rPr>
                <w:rFonts w:hint="default" w:ascii="Times New Roman" w:hAnsi="Times New Roman" w:cs="Times New Roman"/>
                <w:snapToGrid/>
                <w:spacing w:val="0"/>
                <w:w w:val="100"/>
                <w:kern w:val="21"/>
                <w:highlight w:val="none"/>
              </w:rPr>
              <w:t>年人活动的场所。营业性歌舞娱乐场所、酒吧、</w:t>
            </w:r>
            <w:r>
              <w:rPr>
                <w:rFonts w:hint="default" w:ascii="Times New Roman" w:hAnsi="Times New Roman" w:cs="Times New Roman"/>
                <w:snapToGrid/>
                <w:spacing w:val="0"/>
                <w:w w:val="100"/>
                <w:kern w:val="21"/>
                <w:highlight w:val="none"/>
              </w:rPr>
              <w:t>互联网上网服务营业场所等不适宜未成年人活动场所的经营者，</w:t>
            </w:r>
            <w:r>
              <w:rPr>
                <w:rFonts w:hint="default" w:ascii="Times New Roman" w:hAnsi="Times New Roman" w:cs="Times New Roman"/>
                <w:snapToGrid/>
                <w:spacing w:val="0"/>
                <w:w w:val="100"/>
                <w:kern w:val="21"/>
                <w:highlight w:val="none"/>
              </w:rPr>
              <w:t>不得允许未成年人进入；游艺娱乐场所设置的电子游戏设备，除国家法定节假日外，不得向未成年人提供</w:t>
            </w:r>
            <w:r>
              <w:rPr>
                <w:rFonts w:hint="default" w:ascii="Times New Roman" w:hAnsi="Times New Roman" w:cs="Times New Roman"/>
                <w:snapToGrid/>
                <w:spacing w:val="0"/>
                <w:w w:val="100"/>
                <w:kern w:val="21"/>
                <w:highlight w:val="none"/>
              </w:rPr>
              <w:t>。经</w:t>
            </w:r>
            <w:r>
              <w:rPr>
                <w:rFonts w:hint="default" w:ascii="Times New Roman" w:hAnsi="Times New Roman" w:cs="Times New Roman"/>
                <w:snapToGrid/>
                <w:spacing w:val="0"/>
                <w:w w:val="100"/>
                <w:kern w:val="21"/>
                <w:highlight w:val="none"/>
              </w:rPr>
              <w:t>营者应当在显著位置设置未成年人禁入、限入标</w:t>
            </w:r>
            <w:r>
              <w:rPr>
                <w:rFonts w:hint="default" w:ascii="Times New Roman" w:hAnsi="Times New Roman" w:cs="Times New Roman"/>
                <w:snapToGrid/>
                <w:spacing w:val="0"/>
                <w:w w:val="100"/>
                <w:kern w:val="21"/>
                <w:highlight w:val="none"/>
              </w:rPr>
              <w:t>志；对难以判明是否是未成年人的，应当要求其出示身份证件。</w:t>
            </w:r>
            <w:r>
              <w:rPr>
                <w:rFonts w:hint="default" w:ascii="Times New Roman" w:hAnsi="Times New Roman" w:cs="Times New Roman"/>
                <w:b/>
                <w:bCs/>
                <w:snapToGrid/>
                <w:spacing w:val="0"/>
                <w:w w:val="100"/>
                <w:kern w:val="21"/>
                <w:highlight w:val="none"/>
              </w:rPr>
              <w:t>《娱乐场所管理条例》（2020年第二次修订）</w:t>
            </w:r>
          </w:p>
          <w:p w14:paraId="688442B7">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第七条娱乐场所不得设在下列地点：</w:t>
            </w:r>
          </w:p>
          <w:p w14:paraId="470EF9C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（一）</w:t>
            </w:r>
            <w:r>
              <w:rPr>
                <w:rFonts w:hint="default" w:ascii="Times New Roman" w:hAnsi="Times New Roman" w:cs="Times New Roman"/>
                <w:snapToGrid/>
                <w:spacing w:val="0"/>
                <w:w w:val="100"/>
                <w:kern w:val="21"/>
                <w:highlight w:val="none"/>
              </w:rPr>
              <w:t>居民楼、博物馆、图书馆和被核定为文物保护单位的建筑物内；</w:t>
            </w:r>
          </w:p>
          <w:p w14:paraId="5D8597C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（二）</w:t>
            </w:r>
            <w:r>
              <w:rPr>
                <w:rFonts w:hint="default" w:ascii="Times New Roman" w:hAnsi="Times New Roman" w:cs="Times New Roman"/>
                <w:snapToGrid/>
                <w:spacing w:val="0"/>
                <w:w w:val="100"/>
                <w:kern w:val="21"/>
                <w:highlight w:val="none"/>
              </w:rPr>
              <w:t>居民住宅区和学校、医院、机关周围；</w:t>
            </w:r>
          </w:p>
          <w:p w14:paraId="0715FD0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（三）</w:t>
            </w:r>
            <w:r>
              <w:rPr>
                <w:rFonts w:hint="default" w:ascii="Times New Roman" w:hAnsi="Times New Roman" w:cs="Times New Roman"/>
                <w:snapToGrid/>
                <w:spacing w:val="0"/>
                <w:w w:val="100"/>
                <w:kern w:val="21"/>
                <w:highlight w:val="none"/>
              </w:rPr>
              <w:t>车站、机场等人群密集的场所；</w:t>
            </w:r>
          </w:p>
          <w:p w14:paraId="1FE0F15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（四）</w:t>
            </w:r>
            <w:r>
              <w:rPr>
                <w:rFonts w:hint="default" w:ascii="Times New Roman" w:hAnsi="Times New Roman" w:cs="Times New Roman"/>
                <w:snapToGrid/>
                <w:spacing w:val="0"/>
                <w:w w:val="100"/>
                <w:kern w:val="21"/>
                <w:highlight w:val="none"/>
              </w:rPr>
              <w:t>建筑物地下一层以下；</w:t>
            </w:r>
          </w:p>
          <w:p w14:paraId="7F57F04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（五）</w:t>
            </w:r>
            <w:r>
              <w:rPr>
                <w:rFonts w:hint="default" w:ascii="Times New Roman" w:hAnsi="Times New Roman" w:cs="Times New Roman"/>
                <w:snapToGrid/>
                <w:spacing w:val="0"/>
                <w:w w:val="100"/>
                <w:kern w:val="21"/>
                <w:highlight w:val="none"/>
              </w:rPr>
              <w:t>与危险化学品仓库毗连的区域。</w:t>
            </w:r>
          </w:p>
          <w:p w14:paraId="421AA68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娱乐场所的边界噪声，应当符合国家规定的环境噪声标准。</w:t>
            </w:r>
          </w:p>
          <w:p w14:paraId="055685AE">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b/>
                <w:bCs/>
                <w:snapToGrid/>
                <w:spacing w:val="0"/>
                <w:w w:val="100"/>
                <w:kern w:val="21"/>
                <w:highlight w:val="none"/>
              </w:rPr>
            </w:pPr>
            <w:r>
              <w:rPr>
                <w:rFonts w:hint="default" w:ascii="Times New Roman" w:hAnsi="Times New Roman" w:cs="Times New Roman"/>
                <w:b/>
                <w:bCs/>
                <w:snapToGrid/>
                <w:spacing w:val="0"/>
                <w:w w:val="100"/>
                <w:kern w:val="21"/>
                <w:highlight w:val="none"/>
              </w:rPr>
              <w:t>黑龙江省文化和旅游厅《关于进一步明确调整娱乐场所和互联网上网服务营业场所审批有关事项的通知》（黑文旅规</w:t>
            </w:r>
            <w:r>
              <w:rPr>
                <w:rFonts w:hint="default" w:ascii="Times New Roman" w:hAnsi="Times New Roman" w:cs="Times New Roman"/>
                <w:b/>
                <w:bCs/>
                <w:snapToGrid/>
                <w:spacing w:val="0"/>
                <w:w w:val="100"/>
                <w:kern w:val="21"/>
                <w:highlight w:val="none"/>
                <w:lang w:eastAsia="zh-CN"/>
              </w:rPr>
              <w:t>〔2025〕2号</w:t>
            </w:r>
            <w:r>
              <w:rPr>
                <w:rFonts w:hint="default" w:ascii="Times New Roman" w:hAnsi="Times New Roman" w:cs="Times New Roman"/>
                <w:b/>
                <w:bCs/>
                <w:snapToGrid/>
                <w:spacing w:val="0"/>
                <w:w w:val="100"/>
                <w:kern w:val="21"/>
                <w:highlight w:val="none"/>
              </w:rPr>
              <w:t>）</w:t>
            </w:r>
          </w:p>
          <w:p w14:paraId="7FED6A8F">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二、学校、幼儿园周边不得设置娱乐场所、互联网上网服务营业场所。</w:t>
            </w:r>
            <w:r>
              <w:rPr>
                <w:rFonts w:hint="default" w:ascii="Times New Roman" w:hAnsi="Times New Roman" w:cs="Times New Roman"/>
                <w:snapToGrid/>
                <w:spacing w:val="0"/>
                <w:w w:val="100"/>
                <w:kern w:val="21"/>
                <w:highlight w:val="none"/>
              </w:rPr>
              <w:t>新设立娱乐场所、互联网上网服务营业场所，应当根据《中华人民共和国未成年人保护法》第五十八条规定及文化和旅游部相关通知要求，切实落实不得在学校、幼儿园周边设置有关场所的法定要求。新设立娱乐场所和互联网上网服务营业场所任一出入口距学校任一出入口交通行走距离不得低于200米；娱乐场所和互联网上网服务营业场所任一出入口距幼儿园任一出入口的交通行走距离不得低于100米。任一出入口是指场所、学校、幼儿园用于经营、兼营、管理和实际控制区域的日常出入口；不供人员日常通行，仅在特殊情况下使用的应急通道、消防通道除外。实地测量时，应以出入口通道外边沿为基线。设立在大型商场、超市、洗浴中心等文商综合体内的娱乐场所和互联网上网服务营业场所，从上述综合建筑体内场所的出入口测量。交通行走距离测量路线应符合当时道路规划并遵照交通规则执行。</w:t>
            </w:r>
          </w:p>
        </w:tc>
      </w:tr>
      <w:tr w14:paraId="4CA4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74" w:hRule="atLeast"/>
          <w:jc w:val="center"/>
        </w:trPr>
        <w:tc>
          <w:tcPr>
            <w:tcW w:w="652" w:type="dxa"/>
            <w:shd w:val="clear" w:color="auto" w:fill="auto"/>
            <w:vAlign w:val="center"/>
          </w:tcPr>
          <w:p w14:paraId="644CF98B">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19</w:t>
            </w:r>
          </w:p>
        </w:tc>
        <w:tc>
          <w:tcPr>
            <w:tcW w:w="1928" w:type="dxa"/>
            <w:vAlign w:val="center"/>
          </w:tcPr>
          <w:p w14:paraId="1FE71749">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医疗器械经营</w:t>
            </w:r>
          </w:p>
        </w:tc>
        <w:tc>
          <w:tcPr>
            <w:tcW w:w="2551" w:type="dxa"/>
            <w:vAlign w:val="center"/>
          </w:tcPr>
          <w:p w14:paraId="5E14D530">
            <w:pPr>
              <w:pStyle w:val="10"/>
              <w:keepNext w:val="0"/>
              <w:keepLines/>
              <w:pageBreakBefore w:val="0"/>
              <w:widowControl w:val="0"/>
              <w:kinsoku/>
              <w:wordWrap/>
              <w:overflowPunct/>
              <w:topLinePunct/>
              <w:autoSpaceDE/>
              <w:autoSpaceDN/>
              <w:bidi w:val="0"/>
              <w:adjustRightInd/>
              <w:snapToGrid/>
              <w:spacing w:line="280" w:lineRule="exact"/>
              <w:ind w:left="0" w:right="0" w:hanging="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在居民住宅内、军事管理区（不含可</w:t>
            </w:r>
            <w:r>
              <w:rPr>
                <w:rFonts w:hint="default" w:ascii="Times New Roman" w:hAnsi="Times New Roman" w:cs="Times New Roman"/>
                <w:snapToGrid/>
                <w:spacing w:val="0"/>
                <w:w w:val="100"/>
                <w:kern w:val="21"/>
                <w:highlight w:val="none"/>
              </w:rPr>
              <w:t>租赁区）以及其他不适合经营的场所。</w:t>
            </w:r>
          </w:p>
        </w:tc>
        <w:tc>
          <w:tcPr>
            <w:tcW w:w="10091" w:type="dxa"/>
            <w:vAlign w:val="center"/>
          </w:tcPr>
          <w:p w14:paraId="79C6567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《医疗器械经营质量管理规范》（2023年修订）</w:t>
            </w:r>
          </w:p>
          <w:p w14:paraId="77CA2D38">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第三十四条企业应当具有与经营范围和经营规模相适应的经营场所和库房，经营场所和库</w:t>
            </w:r>
            <w:r>
              <w:rPr>
                <w:rFonts w:hint="default" w:ascii="Times New Roman" w:hAnsi="Times New Roman" w:cs="Times New Roman"/>
                <w:snapToGrid/>
                <w:spacing w:val="0"/>
                <w:w w:val="100"/>
                <w:kern w:val="21"/>
                <w:highlight w:val="none"/>
              </w:rPr>
              <w:t>房的面积应当</w:t>
            </w:r>
            <w:r>
              <w:rPr>
                <w:rFonts w:hint="default" w:ascii="Times New Roman" w:hAnsi="Times New Roman" w:cs="Times New Roman"/>
                <w:snapToGrid/>
                <w:spacing w:val="0"/>
                <w:w w:val="100"/>
                <w:kern w:val="21"/>
                <w:highlight w:val="none"/>
              </w:rPr>
              <w:t>满足经营与质量管理的要求。</w:t>
            </w:r>
          </w:p>
          <w:p w14:paraId="4B260E5D">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第三十五条经营场所和库房不得设在居民住宅</w:t>
            </w:r>
            <w:r>
              <w:rPr>
                <w:rFonts w:hint="default" w:ascii="Times New Roman" w:hAnsi="Times New Roman" w:cs="Times New Roman"/>
                <w:snapToGrid/>
                <w:spacing w:val="0"/>
                <w:w w:val="100"/>
                <w:kern w:val="21"/>
                <w:highlight w:val="none"/>
              </w:rPr>
              <w:t>内等不适合开展经营活动的场所。</w:t>
            </w:r>
          </w:p>
        </w:tc>
      </w:tr>
      <w:tr w14:paraId="5770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04" w:hRule="atLeast"/>
          <w:jc w:val="center"/>
        </w:trPr>
        <w:tc>
          <w:tcPr>
            <w:tcW w:w="652" w:type="dxa"/>
            <w:shd w:val="clear" w:color="auto" w:fill="auto"/>
            <w:vAlign w:val="center"/>
          </w:tcPr>
          <w:p w14:paraId="0EBD2E2F">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20</w:t>
            </w:r>
          </w:p>
        </w:tc>
        <w:tc>
          <w:tcPr>
            <w:tcW w:w="1928" w:type="dxa"/>
            <w:shd w:val="clear" w:color="auto" w:fill="auto"/>
            <w:vAlign w:val="center"/>
          </w:tcPr>
          <w:p w14:paraId="4BED359E">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燃气经营</w:t>
            </w:r>
          </w:p>
        </w:tc>
        <w:tc>
          <w:tcPr>
            <w:tcW w:w="2551" w:type="dxa"/>
            <w:shd w:val="clear" w:color="auto" w:fill="auto"/>
            <w:vAlign w:val="center"/>
          </w:tcPr>
          <w:p w14:paraId="090C214E">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在不具备安全条件的场所储存燃气。</w:t>
            </w:r>
          </w:p>
        </w:tc>
        <w:tc>
          <w:tcPr>
            <w:tcW w:w="10091" w:type="dxa"/>
            <w:shd w:val="clear" w:color="auto" w:fill="auto"/>
            <w:vAlign w:val="center"/>
          </w:tcPr>
          <w:p w14:paraId="03A85CE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《城镇燃气管理条例》（国务院令第583号）</w:t>
            </w:r>
          </w:p>
          <w:p w14:paraId="5236D3BB">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第十八条燃气经营者不得有下列行为：</w:t>
            </w:r>
          </w:p>
          <w:p w14:paraId="4B60FB30">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lang w:eastAsia="zh-CN"/>
              </w:rPr>
              <w:t>（五）</w:t>
            </w:r>
            <w:r>
              <w:rPr>
                <w:rFonts w:hint="default" w:ascii="Times New Roman" w:hAnsi="Times New Roman" w:cs="Times New Roman"/>
                <w:snapToGrid/>
                <w:spacing w:val="0"/>
                <w:w w:val="100"/>
                <w:kern w:val="21"/>
                <w:highlight w:val="none"/>
              </w:rPr>
              <w:t>在不具备安全条件的场所储存燃气；</w:t>
            </w:r>
          </w:p>
        </w:tc>
      </w:tr>
      <w:tr w14:paraId="6DE51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87" w:hRule="atLeast"/>
          <w:jc w:val="center"/>
        </w:trPr>
        <w:tc>
          <w:tcPr>
            <w:tcW w:w="652" w:type="dxa"/>
            <w:shd w:val="clear" w:color="auto" w:fill="auto"/>
            <w:vAlign w:val="center"/>
          </w:tcPr>
          <w:p w14:paraId="5BD9C426">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21</w:t>
            </w:r>
          </w:p>
        </w:tc>
        <w:tc>
          <w:tcPr>
            <w:tcW w:w="1928" w:type="dxa"/>
            <w:shd w:val="clear" w:color="auto" w:fill="auto"/>
            <w:vAlign w:val="center"/>
          </w:tcPr>
          <w:p w14:paraId="5E01BD49">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拆船厂</w:t>
            </w:r>
          </w:p>
        </w:tc>
        <w:tc>
          <w:tcPr>
            <w:tcW w:w="2551" w:type="dxa"/>
            <w:shd w:val="clear" w:color="auto" w:fill="auto"/>
            <w:vAlign w:val="center"/>
          </w:tcPr>
          <w:p w14:paraId="40F9C40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hanging="2" w:firstLine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饮用水源地、海水淡化取水点、盐场、</w:t>
            </w:r>
            <w:r>
              <w:rPr>
                <w:rFonts w:hint="default" w:ascii="Times New Roman" w:hAnsi="Times New Roman" w:cs="Times New Roman"/>
                <w:snapToGrid/>
                <w:spacing w:val="0"/>
                <w:w w:val="100"/>
                <w:kern w:val="21"/>
                <w:highlight w:val="none"/>
              </w:rPr>
              <w:t>重要的渔业水域、海水浴场、风景名胜区以及其他需要特殊保护的区域。</w:t>
            </w:r>
          </w:p>
        </w:tc>
        <w:tc>
          <w:tcPr>
            <w:tcW w:w="10091" w:type="dxa"/>
            <w:shd w:val="clear" w:color="auto" w:fill="auto"/>
            <w:vAlign w:val="center"/>
          </w:tcPr>
          <w:p w14:paraId="6E994E9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《防止拆船污染环境管理条例》（2017年修订）</w:t>
            </w:r>
          </w:p>
          <w:p w14:paraId="74A42EC0">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firstLine="402" w:firstLine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第五条地方人民政府应当根据需要和可能，结合本地区的特点、环境状况和技术条件，统筹规划、合理</w:t>
            </w:r>
            <w:r>
              <w:rPr>
                <w:rFonts w:hint="default" w:ascii="Times New Roman" w:hAnsi="Times New Roman" w:cs="Times New Roman"/>
                <w:snapToGrid/>
                <w:spacing w:val="0"/>
                <w:w w:val="100"/>
                <w:kern w:val="21"/>
                <w:highlight w:val="none"/>
              </w:rPr>
              <w:t>设置拆船厂。</w:t>
            </w:r>
            <w:r>
              <w:rPr>
                <w:rFonts w:hint="default" w:ascii="Times New Roman" w:hAnsi="Times New Roman" w:cs="Times New Roman"/>
                <w:snapToGrid/>
                <w:spacing w:val="0"/>
                <w:w w:val="100"/>
                <w:kern w:val="21"/>
                <w:highlight w:val="none"/>
              </w:rPr>
              <w:t>在饮用水源地、海水淡化取水点、盐场、重要的渔业水域、海水浴场、风景名胜</w:t>
            </w:r>
            <w:r>
              <w:rPr>
                <w:rFonts w:hint="default" w:ascii="Times New Roman" w:hAnsi="Times New Roman" w:cs="Times New Roman"/>
                <w:snapToGrid/>
                <w:spacing w:val="0"/>
                <w:w w:val="100"/>
                <w:kern w:val="21"/>
                <w:highlight w:val="none"/>
              </w:rPr>
              <w:t>区以及其他需要特殊保护</w:t>
            </w:r>
            <w:r>
              <w:rPr>
                <w:rFonts w:hint="default" w:ascii="Times New Roman" w:hAnsi="Times New Roman" w:cs="Times New Roman"/>
                <w:snapToGrid/>
                <w:spacing w:val="0"/>
                <w:w w:val="100"/>
                <w:kern w:val="21"/>
                <w:highlight w:val="none"/>
              </w:rPr>
              <w:t>的区域，不得设置拆船厂。</w:t>
            </w:r>
          </w:p>
        </w:tc>
      </w:tr>
      <w:tr w14:paraId="3DD03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39" w:hRule="atLeast"/>
          <w:jc w:val="center"/>
        </w:trPr>
        <w:tc>
          <w:tcPr>
            <w:tcW w:w="652" w:type="dxa"/>
            <w:shd w:val="clear" w:color="auto" w:fill="auto"/>
            <w:vAlign w:val="center"/>
          </w:tcPr>
          <w:p w14:paraId="01C494F5">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22</w:t>
            </w:r>
          </w:p>
        </w:tc>
        <w:tc>
          <w:tcPr>
            <w:tcW w:w="1928" w:type="dxa"/>
            <w:vAlign w:val="center"/>
          </w:tcPr>
          <w:p w14:paraId="3D1DDC35">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eastAsia="微软雅黑" w:cs="Times New Roman"/>
                <w:snapToGrid/>
                <w:spacing w:val="0"/>
                <w:w w:val="100"/>
                <w:kern w:val="21"/>
                <w:highlight w:val="none"/>
                <w:lang w:eastAsia="zh-CN"/>
              </w:rPr>
            </w:pPr>
            <w:r>
              <w:rPr>
                <w:rFonts w:hint="default" w:ascii="Times New Roman" w:hAnsi="Times New Roman" w:cs="Times New Roman"/>
                <w:snapToGrid/>
                <w:spacing w:val="0"/>
                <w:w w:val="100"/>
                <w:kern w:val="21"/>
                <w:highlight w:val="none"/>
              </w:rPr>
              <w:t>开设网吧、歌厅、电子</w:t>
            </w:r>
            <w:r>
              <w:rPr>
                <w:rFonts w:hint="default" w:ascii="Times New Roman" w:hAnsi="Times New Roman" w:cs="Times New Roman"/>
                <w:snapToGrid/>
                <w:spacing w:val="0"/>
                <w:w w:val="100"/>
                <w:kern w:val="21"/>
                <w:highlight w:val="none"/>
              </w:rPr>
              <w:t>游戏厅、台球室等娱乐性经营场所，或者从事</w:t>
            </w:r>
            <w:r>
              <w:rPr>
                <w:rFonts w:hint="default" w:ascii="Times New Roman" w:hAnsi="Times New Roman" w:cs="Times New Roman"/>
                <w:snapToGrid/>
                <w:spacing w:val="0"/>
                <w:w w:val="100"/>
                <w:kern w:val="21"/>
                <w:highlight w:val="none"/>
              </w:rPr>
              <w:t>危害教育教学环境和师生身心健康</w:t>
            </w:r>
            <w:r>
              <w:rPr>
                <w:rFonts w:hint="default" w:ascii="Times New Roman" w:hAnsi="Times New Roman" w:cs="Times New Roman"/>
                <w:snapToGrid/>
                <w:spacing w:val="0"/>
                <w:w w:val="100"/>
                <w:kern w:val="21"/>
                <w:highlight w:val="none"/>
                <w:lang w:eastAsia="zh-CN"/>
              </w:rPr>
              <w:t>地</w:t>
            </w:r>
            <w:r>
              <w:rPr>
                <w:rFonts w:hint="default" w:ascii="Times New Roman" w:hAnsi="Times New Roman" w:cs="Times New Roman"/>
                <w:snapToGrid/>
                <w:spacing w:val="0"/>
                <w:w w:val="100"/>
                <w:kern w:val="21"/>
                <w:highlight w:val="none"/>
              </w:rPr>
              <w:t>经营</w:t>
            </w:r>
            <w:r>
              <w:rPr>
                <w:rFonts w:hint="default" w:ascii="Times New Roman" w:hAnsi="Times New Roman" w:cs="Times New Roman"/>
                <w:snapToGrid/>
                <w:spacing w:val="0"/>
                <w:w w:val="100"/>
                <w:kern w:val="21"/>
                <w:highlight w:val="none"/>
              </w:rPr>
              <w:t>活动；</w:t>
            </w:r>
            <w:r>
              <w:rPr>
                <w:rFonts w:hint="default" w:ascii="Times New Roman" w:hAnsi="Times New Roman" w:cs="Times New Roman"/>
                <w:snapToGrid/>
                <w:spacing w:val="0"/>
                <w:w w:val="100"/>
                <w:kern w:val="21"/>
                <w:highlight w:val="none"/>
              </w:rPr>
              <w:t>占道经营商服、搭</w:t>
            </w:r>
            <w:r>
              <w:rPr>
                <w:rFonts w:hint="default" w:ascii="Times New Roman" w:hAnsi="Times New Roman" w:cs="Times New Roman"/>
                <w:snapToGrid/>
                <w:spacing w:val="0"/>
                <w:w w:val="100"/>
                <w:kern w:val="21"/>
                <w:highlight w:val="none"/>
              </w:rPr>
              <w:t>建临时性建筑；</w:t>
            </w:r>
            <w:r>
              <w:rPr>
                <w:rFonts w:hint="default" w:ascii="Times New Roman" w:hAnsi="Times New Roman" w:cs="Times New Roman"/>
                <w:snapToGrid/>
                <w:spacing w:val="0"/>
                <w:w w:val="100"/>
                <w:kern w:val="21"/>
                <w:highlight w:val="none"/>
              </w:rPr>
              <w:t>设置集贸市场、非</w:t>
            </w:r>
            <w:r>
              <w:rPr>
                <w:rFonts w:hint="default" w:ascii="Times New Roman" w:hAnsi="Times New Roman" w:cs="Times New Roman"/>
                <w:snapToGrid/>
                <w:spacing w:val="0"/>
                <w:w w:val="100"/>
                <w:kern w:val="21"/>
                <w:highlight w:val="none"/>
              </w:rPr>
              <w:t>学校专用停车场，摆摊设点，堆放杂物</w:t>
            </w:r>
            <w:r>
              <w:rPr>
                <w:rFonts w:hint="default" w:ascii="Times New Roman" w:hAnsi="Times New Roman" w:cs="Times New Roman"/>
                <w:snapToGrid/>
                <w:spacing w:val="0"/>
                <w:w w:val="100"/>
                <w:kern w:val="21"/>
                <w:highlight w:val="none"/>
                <w:lang w:eastAsia="zh-CN"/>
              </w:rPr>
              <w:t>。</w:t>
            </w:r>
          </w:p>
        </w:tc>
        <w:tc>
          <w:tcPr>
            <w:tcW w:w="2551" w:type="dxa"/>
            <w:vAlign w:val="center"/>
          </w:tcPr>
          <w:p w14:paraId="4D4C79CC">
            <w:pPr>
              <w:pStyle w:val="10"/>
              <w:keepNext w:val="0"/>
              <w:keepLines/>
              <w:pageBreakBefore w:val="0"/>
              <w:widowControl w:val="0"/>
              <w:kinsoku/>
              <w:wordWrap/>
              <w:overflowPunct/>
              <w:topLinePunct/>
              <w:autoSpaceDE/>
              <w:autoSpaceDN/>
              <w:bidi w:val="0"/>
              <w:adjustRightInd/>
              <w:snapToGrid/>
              <w:spacing w:line="280" w:lineRule="exact"/>
              <w:ind w:left="0" w:right="0" w:firstLine="4"/>
              <w:jc w:val="both"/>
              <w:textAlignment w:val="baseline"/>
              <w:rPr>
                <w:rFonts w:hint="default" w:ascii="Times New Roman" w:hAnsi="Times New Roman" w:eastAsia="微软雅黑" w:cs="Times New Roman"/>
                <w:snapToGrid/>
                <w:spacing w:val="0"/>
                <w:w w:val="100"/>
                <w:kern w:val="21"/>
                <w:highlight w:val="none"/>
                <w:lang w:eastAsia="zh-CN"/>
              </w:rPr>
            </w:pPr>
            <w:r>
              <w:rPr>
                <w:rFonts w:hint="default" w:ascii="Times New Roman" w:hAnsi="Times New Roman" w:cs="Times New Roman"/>
                <w:snapToGrid/>
                <w:spacing w:val="0"/>
                <w:w w:val="100"/>
                <w:kern w:val="21"/>
                <w:highlight w:val="none"/>
              </w:rPr>
              <w:t>在中学、小学校园周围200米范围内</w:t>
            </w:r>
            <w:r>
              <w:rPr>
                <w:rFonts w:hint="default" w:ascii="Times New Roman" w:hAnsi="Times New Roman" w:cs="Times New Roman"/>
                <w:snapToGrid/>
                <w:spacing w:val="0"/>
                <w:w w:val="100"/>
                <w:kern w:val="21"/>
                <w:highlight w:val="none"/>
              </w:rPr>
              <w:t>和居民住宅楼</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院</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内设立互联网上网</w:t>
            </w:r>
            <w:r>
              <w:rPr>
                <w:rFonts w:hint="default" w:ascii="Times New Roman" w:hAnsi="Times New Roman" w:cs="Times New Roman"/>
                <w:snapToGrid/>
                <w:spacing w:val="0"/>
                <w:w w:val="100"/>
                <w:kern w:val="21"/>
                <w:highlight w:val="none"/>
              </w:rPr>
              <w:t>服务营业场所；在学校区域内、中小</w:t>
            </w:r>
            <w:r>
              <w:rPr>
                <w:rFonts w:hint="default" w:ascii="Times New Roman" w:hAnsi="Times New Roman" w:cs="Times New Roman"/>
                <w:snapToGrid/>
                <w:spacing w:val="0"/>
                <w:w w:val="100"/>
                <w:kern w:val="21"/>
                <w:highlight w:val="none"/>
              </w:rPr>
              <w:t>学校周边200米以内开设网吧、歌厅、</w:t>
            </w:r>
            <w:r>
              <w:rPr>
                <w:rFonts w:hint="default" w:ascii="Times New Roman" w:hAnsi="Times New Roman" w:cs="Times New Roman"/>
                <w:snapToGrid/>
                <w:spacing w:val="0"/>
                <w:w w:val="100"/>
                <w:kern w:val="21"/>
                <w:highlight w:val="none"/>
              </w:rPr>
              <w:t>电子游戏厅、台球室等娱乐性经营场</w:t>
            </w:r>
            <w:r>
              <w:rPr>
                <w:rFonts w:hint="default" w:ascii="Times New Roman" w:hAnsi="Times New Roman" w:cs="Times New Roman"/>
                <w:snapToGrid/>
                <w:spacing w:val="0"/>
                <w:w w:val="100"/>
                <w:kern w:val="21"/>
                <w:highlight w:val="none"/>
              </w:rPr>
              <w:t>所，或者从事危害教育教学环境和师生身心健康的经营活动；在学校周边</w:t>
            </w:r>
            <w:r>
              <w:rPr>
                <w:rFonts w:hint="default" w:ascii="Times New Roman" w:hAnsi="Times New Roman" w:cs="Times New Roman"/>
                <w:snapToGrid/>
                <w:spacing w:val="0"/>
                <w:w w:val="100"/>
                <w:kern w:val="21"/>
                <w:highlight w:val="none"/>
              </w:rPr>
              <w:t>三十米范围内占道经营商服、搭建临</w:t>
            </w:r>
            <w:r>
              <w:rPr>
                <w:rFonts w:hint="default" w:ascii="Times New Roman" w:hAnsi="Times New Roman" w:cs="Times New Roman"/>
                <w:snapToGrid/>
                <w:spacing w:val="0"/>
                <w:w w:val="100"/>
                <w:kern w:val="21"/>
                <w:highlight w:val="none"/>
              </w:rPr>
              <w:t>时性建筑；在学校门前及其两侧设置集贸市场、非学校专用停车场，摆摊</w:t>
            </w:r>
            <w:r>
              <w:rPr>
                <w:rFonts w:hint="default" w:ascii="Times New Roman" w:hAnsi="Times New Roman" w:cs="Times New Roman"/>
                <w:snapToGrid/>
                <w:spacing w:val="0"/>
                <w:w w:val="100"/>
                <w:kern w:val="21"/>
                <w:highlight w:val="none"/>
              </w:rPr>
              <w:t>设点，堆放杂物</w:t>
            </w:r>
            <w:r>
              <w:rPr>
                <w:rFonts w:hint="default" w:ascii="Times New Roman" w:hAnsi="Times New Roman" w:cs="Times New Roman"/>
                <w:snapToGrid/>
                <w:spacing w:val="0"/>
                <w:w w:val="100"/>
                <w:kern w:val="21"/>
                <w:highlight w:val="none"/>
                <w:lang w:eastAsia="zh-CN"/>
              </w:rPr>
              <w:t>。</w:t>
            </w:r>
          </w:p>
        </w:tc>
        <w:tc>
          <w:tcPr>
            <w:tcW w:w="10091" w:type="dxa"/>
            <w:vAlign w:val="center"/>
          </w:tcPr>
          <w:p w14:paraId="6F3EFFE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《黑龙江省学校安全条例》</w:t>
            </w:r>
          </w:p>
          <w:p w14:paraId="2371B1D4">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第四十八条任何单位和个人不得从事下列行为：</w:t>
            </w:r>
          </w:p>
          <w:p w14:paraId="652AAA1C">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（一）在学校区域内、中小学校周边二百米以内开设网吧、歌厅、电子游戏厅、台球室等娱乐性经营场所，</w:t>
            </w:r>
            <w:r>
              <w:rPr>
                <w:rFonts w:hint="default" w:ascii="Times New Roman" w:hAnsi="Times New Roman" w:cs="Times New Roman"/>
                <w:snapToGrid/>
                <w:spacing w:val="0"/>
                <w:w w:val="100"/>
                <w:kern w:val="21"/>
                <w:highlight w:val="none"/>
              </w:rPr>
              <w:t>或者从事危害教育教学环境和师生身心健康的经营活动；</w:t>
            </w:r>
          </w:p>
          <w:p w14:paraId="575ABED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（二）在学校周边三十米范围内占道经营商服、搭建临时性建筑；</w:t>
            </w:r>
          </w:p>
          <w:p w14:paraId="424B4D8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（三）在学校门前及其两侧设置集贸市场、非学校专用停车场，摆摊设点</w:t>
            </w:r>
            <w:r>
              <w:rPr>
                <w:rFonts w:hint="default" w:ascii="Times New Roman" w:hAnsi="Times New Roman" w:cs="Times New Roman"/>
                <w:snapToGrid/>
                <w:spacing w:val="0"/>
                <w:w w:val="100"/>
                <w:kern w:val="21"/>
                <w:highlight w:val="none"/>
              </w:rPr>
              <w:t>，堆放杂物；</w:t>
            </w:r>
          </w:p>
          <w:p w14:paraId="53E5337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（四）扰乱教育教学秩序，侵占、破坏学校的场地、房屋和设施。</w:t>
            </w:r>
          </w:p>
          <w:p w14:paraId="2CF04166">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《互联网上网服务营业场所管理条例》（2022年第四次修订）</w:t>
            </w:r>
          </w:p>
          <w:p w14:paraId="0E31A236">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第九条中学、小学校园周围200米范围内和居民住宅楼</w:t>
            </w:r>
            <w:r>
              <w:rPr>
                <w:rFonts w:hint="default" w:ascii="Times New Roman" w:hAnsi="Times New Roman" w:cs="Times New Roman"/>
                <w:snapToGrid/>
                <w:spacing w:val="0"/>
                <w:w w:val="100"/>
                <w:kern w:val="21"/>
                <w:highlight w:val="none"/>
              </w:rPr>
              <w:t>（院）内不得设立互联网上网服务营业场所。</w:t>
            </w:r>
          </w:p>
          <w:p w14:paraId="3B45FD19">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b/>
                <w:bCs/>
                <w:snapToGrid/>
                <w:spacing w:val="0"/>
                <w:w w:val="100"/>
                <w:kern w:val="21"/>
                <w:highlight w:val="none"/>
              </w:rPr>
            </w:pPr>
            <w:r>
              <w:rPr>
                <w:rFonts w:hint="default" w:ascii="Times New Roman" w:hAnsi="Times New Roman" w:cs="Times New Roman"/>
                <w:b/>
                <w:bCs/>
                <w:snapToGrid/>
                <w:spacing w:val="0"/>
                <w:w w:val="100"/>
                <w:kern w:val="21"/>
                <w:highlight w:val="none"/>
              </w:rPr>
              <w:t>黑龙江省文化和旅游厅《关于进一步明确调整娱乐场所和互联网上网服务营业场所审批有关事项的通知》（黑文旅规</w:t>
            </w:r>
            <w:r>
              <w:rPr>
                <w:rFonts w:hint="default" w:ascii="Times New Roman" w:hAnsi="Times New Roman" w:cs="Times New Roman"/>
                <w:b/>
                <w:bCs/>
                <w:snapToGrid/>
                <w:spacing w:val="0"/>
                <w:w w:val="100"/>
                <w:kern w:val="21"/>
                <w:highlight w:val="none"/>
                <w:lang w:eastAsia="zh-CN"/>
              </w:rPr>
              <w:t>〔2025〕2号</w:t>
            </w:r>
            <w:r>
              <w:rPr>
                <w:rFonts w:hint="default" w:ascii="Times New Roman" w:hAnsi="Times New Roman" w:cs="Times New Roman"/>
                <w:b/>
                <w:bCs/>
                <w:snapToGrid/>
                <w:spacing w:val="0"/>
                <w:w w:val="100"/>
                <w:kern w:val="21"/>
                <w:highlight w:val="none"/>
              </w:rPr>
              <w:t>）</w:t>
            </w:r>
          </w:p>
          <w:p w14:paraId="4BE9371E">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二、学校、幼儿园周边不得设置娱乐场所、互联网上网服务营业场所。</w:t>
            </w:r>
            <w:r>
              <w:rPr>
                <w:rFonts w:hint="default" w:ascii="Times New Roman" w:hAnsi="Times New Roman" w:cs="Times New Roman"/>
                <w:snapToGrid/>
                <w:spacing w:val="0"/>
                <w:w w:val="100"/>
                <w:kern w:val="21"/>
                <w:highlight w:val="none"/>
              </w:rPr>
              <w:t>新设立娱乐场所、互联网上网服务营业场所，应当根据《中华人民共和国未成年人保护法》第五十八条规定及文化和旅游部相关通知要求，切实落实不得在学校、幼儿园周边设置有关场所的法定要求。新设立娱乐场所和互联网上网服务营业场所任一出入口距学校任一出入口交通行走距离不得低于200米；娱乐场所和互联网上网服务营业场所任一出入口距幼儿园任一出入口的交通行走距离不得低于100米。任一出入口是指场所、学校、幼儿园用于经营、兼营、管理和实际控制区域的日常出入口；不供人员日常通行，仅在特殊情况下使用的应急通道、消防通道除外。实地测量时，应以出入口通道外边沿为基线。设立在大型商场、超市、洗浴中心等文商综合体内的娱乐场所和互联网上网服务营业场所，从上述综合建筑体内场所的出入口测量。交通行走距离测量路线应符合当时道路规划并遵照交通规则执行。</w:t>
            </w:r>
          </w:p>
        </w:tc>
      </w:tr>
      <w:tr w14:paraId="3CB75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82" w:hRule="atLeast"/>
          <w:jc w:val="center"/>
        </w:trPr>
        <w:tc>
          <w:tcPr>
            <w:tcW w:w="652" w:type="dxa"/>
            <w:shd w:val="clear" w:color="auto" w:fill="auto"/>
            <w:vAlign w:val="center"/>
          </w:tcPr>
          <w:p w14:paraId="762213B5">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23</w:t>
            </w:r>
          </w:p>
        </w:tc>
        <w:tc>
          <w:tcPr>
            <w:tcW w:w="1928" w:type="dxa"/>
            <w:shd w:val="clear" w:color="auto" w:fill="auto"/>
            <w:vAlign w:val="center"/>
          </w:tcPr>
          <w:p w14:paraId="05A3976D">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无线电台（站）</w:t>
            </w:r>
          </w:p>
        </w:tc>
        <w:tc>
          <w:tcPr>
            <w:tcW w:w="2551" w:type="dxa"/>
            <w:shd w:val="clear" w:color="auto" w:fill="auto"/>
            <w:vAlign w:val="center"/>
          </w:tcPr>
          <w:p w14:paraId="0E513B15">
            <w:pPr>
              <w:pStyle w:val="10"/>
              <w:keepNext w:val="0"/>
              <w:keepLines/>
              <w:pageBreakBefore w:val="0"/>
              <w:widowControl w:val="0"/>
              <w:kinsoku/>
              <w:wordWrap/>
              <w:overflowPunct/>
              <w:topLinePunct/>
              <w:autoSpaceDE/>
              <w:autoSpaceDN/>
              <w:bidi w:val="0"/>
              <w:adjustRightInd/>
              <w:snapToGrid/>
              <w:spacing w:line="280" w:lineRule="exact"/>
              <w:ind w:left="0" w:right="0" w:firstLine="1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w:t>
            </w:r>
            <w:r>
              <w:rPr>
                <w:rFonts w:hint="default" w:ascii="Times New Roman" w:hAnsi="Times New Roman" w:cs="Times New Roman"/>
                <w:snapToGrid/>
                <w:spacing w:val="0"/>
                <w:w w:val="100"/>
                <w:kern w:val="21"/>
                <w:highlight w:val="none"/>
                <w:lang w:eastAsia="zh-CN"/>
              </w:rPr>
              <w:t>可能</w:t>
            </w:r>
            <w:r>
              <w:rPr>
                <w:rFonts w:hint="default" w:ascii="Times New Roman" w:hAnsi="Times New Roman" w:cs="Times New Roman"/>
                <w:snapToGrid/>
                <w:spacing w:val="0"/>
                <w:w w:val="100"/>
                <w:kern w:val="21"/>
                <w:highlight w:val="none"/>
              </w:rPr>
              <w:t>造成机场、铁路、港口以及高压</w:t>
            </w:r>
            <w:r>
              <w:rPr>
                <w:rFonts w:hint="default" w:ascii="Times New Roman" w:hAnsi="Times New Roman" w:cs="Times New Roman"/>
                <w:snapToGrid/>
                <w:spacing w:val="0"/>
                <w:w w:val="100"/>
                <w:kern w:val="21"/>
                <w:highlight w:val="none"/>
              </w:rPr>
              <w:t>输电线、变电站等重大建设项目的不符合电磁环境保护和电磁兼容的要求</w:t>
            </w:r>
            <w:r>
              <w:rPr>
                <w:rFonts w:hint="default" w:ascii="Times New Roman" w:hAnsi="Times New Roman" w:cs="Times New Roman"/>
                <w:snapToGrid/>
                <w:spacing w:val="0"/>
                <w:w w:val="100"/>
                <w:kern w:val="21"/>
                <w:highlight w:val="none"/>
              </w:rPr>
              <w:t>的地址；</w:t>
            </w:r>
          </w:p>
          <w:p w14:paraId="7A8BF568">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hanging="1" w:firstLine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2.不符合城乡规划的固定无线电台</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站</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的建设布局和选址。</w:t>
            </w:r>
          </w:p>
        </w:tc>
        <w:tc>
          <w:tcPr>
            <w:tcW w:w="10091" w:type="dxa"/>
            <w:shd w:val="clear" w:color="auto" w:fill="auto"/>
            <w:vAlign w:val="center"/>
          </w:tcPr>
          <w:p w14:paraId="10302A9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《中华人民共和国无线电管理条例》（2016年修订）</w:t>
            </w:r>
          </w:p>
          <w:p w14:paraId="47D69B7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firstLine="400" w:firstLine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第三十五条建设固定台址的无线电台</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站</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的选</w:t>
            </w:r>
            <w:r>
              <w:rPr>
                <w:rFonts w:hint="default" w:ascii="Times New Roman" w:hAnsi="Times New Roman" w:cs="Times New Roman"/>
                <w:snapToGrid/>
                <w:spacing w:val="0"/>
                <w:w w:val="100"/>
                <w:kern w:val="21"/>
                <w:highlight w:val="none"/>
              </w:rPr>
              <w:t>址，应当符合城乡规划的要求，避开影响其功能发挥的建筑物、设施等。地方人民政府制定、修改城乡规划，安排可能影响大型无线电台</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站</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功能发挥的建设项目的，</w:t>
            </w:r>
            <w:r>
              <w:rPr>
                <w:rFonts w:hint="default" w:ascii="Times New Roman" w:hAnsi="Times New Roman" w:cs="Times New Roman"/>
                <w:snapToGrid/>
                <w:spacing w:val="0"/>
                <w:w w:val="100"/>
                <w:kern w:val="21"/>
                <w:highlight w:val="none"/>
              </w:rPr>
              <w:t>应当考虑其功能发挥的需要，并征求所在地无线电管理机构和军队电磁频谱管理机构的意见。</w:t>
            </w:r>
            <w:r>
              <w:rPr>
                <w:rFonts w:hint="default" w:ascii="Times New Roman" w:hAnsi="Times New Roman" w:cs="Times New Roman"/>
                <w:snapToGrid/>
                <w:spacing w:val="0"/>
                <w:w w:val="100"/>
                <w:kern w:val="21"/>
                <w:highlight w:val="none"/>
              </w:rPr>
              <w:t>设置大型无线电</w:t>
            </w:r>
            <w:r>
              <w:rPr>
                <w:rFonts w:hint="default" w:ascii="Times New Roman" w:hAnsi="Times New Roman" w:cs="Times New Roman"/>
                <w:snapToGrid/>
                <w:spacing w:val="0"/>
                <w:w w:val="100"/>
                <w:kern w:val="21"/>
                <w:highlight w:val="none"/>
              </w:rPr>
              <w:t>台</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站</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、地面公众移动通信基站，其台址布局规划应当符合资源共享和电磁环境保</w:t>
            </w:r>
            <w:r>
              <w:rPr>
                <w:rFonts w:hint="default" w:ascii="Times New Roman" w:hAnsi="Times New Roman" w:cs="Times New Roman"/>
                <w:snapToGrid/>
                <w:spacing w:val="0"/>
                <w:w w:val="100"/>
                <w:kern w:val="21"/>
                <w:highlight w:val="none"/>
              </w:rPr>
              <w:t>护的要求。</w:t>
            </w:r>
          </w:p>
        </w:tc>
      </w:tr>
      <w:tr w14:paraId="095F8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90" w:hRule="atLeast"/>
          <w:jc w:val="center"/>
        </w:trPr>
        <w:tc>
          <w:tcPr>
            <w:tcW w:w="652" w:type="dxa"/>
            <w:shd w:val="clear" w:color="auto" w:fill="auto"/>
            <w:vAlign w:val="center"/>
          </w:tcPr>
          <w:p w14:paraId="4CC1D926">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24</w:t>
            </w:r>
          </w:p>
        </w:tc>
        <w:tc>
          <w:tcPr>
            <w:tcW w:w="1928" w:type="dxa"/>
            <w:vAlign w:val="center"/>
          </w:tcPr>
          <w:p w14:paraId="0FA91119">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开办特种行业（旅馆</w:t>
            </w:r>
            <w:r>
              <w:rPr>
                <w:rFonts w:hint="default" w:ascii="Times New Roman" w:hAnsi="Times New Roman" w:cs="Times New Roman"/>
                <w:snapToGrid/>
                <w:spacing w:val="0"/>
                <w:w w:val="100"/>
                <w:kern w:val="21"/>
                <w:highlight w:val="none"/>
              </w:rPr>
              <w:t>业、公章刻制业、开锁</w:t>
            </w:r>
            <w:r>
              <w:rPr>
                <w:rFonts w:hint="default" w:ascii="Times New Roman" w:hAnsi="Times New Roman" w:cs="Times New Roman"/>
                <w:snapToGrid/>
                <w:spacing w:val="0"/>
                <w:w w:val="100"/>
                <w:kern w:val="21"/>
                <w:highlight w:val="none"/>
              </w:rPr>
              <w:t>业、旧移动电话交易</w:t>
            </w:r>
            <w:r>
              <w:rPr>
                <w:rFonts w:hint="default" w:ascii="Times New Roman" w:hAnsi="Times New Roman" w:cs="Times New Roman"/>
                <w:snapToGrid/>
                <w:spacing w:val="0"/>
                <w:w w:val="100"/>
                <w:kern w:val="21"/>
                <w:highlight w:val="none"/>
              </w:rPr>
              <w:t>业、金银首饰加工、置</w:t>
            </w:r>
            <w:r>
              <w:rPr>
                <w:rFonts w:hint="default" w:ascii="Times New Roman" w:hAnsi="Times New Roman" w:cs="Times New Roman"/>
                <w:snapToGrid/>
                <w:spacing w:val="0"/>
                <w:w w:val="100"/>
                <w:kern w:val="21"/>
                <w:highlight w:val="none"/>
              </w:rPr>
              <w:t>换业、废旧金属收购</w:t>
            </w:r>
            <w:r>
              <w:rPr>
                <w:rFonts w:hint="default" w:ascii="Times New Roman" w:hAnsi="Times New Roman" w:cs="Times New Roman"/>
                <w:snapToGrid/>
                <w:spacing w:val="0"/>
                <w:w w:val="100"/>
                <w:kern w:val="21"/>
                <w:highlight w:val="none"/>
              </w:rPr>
              <w:t>业、机动车维修业、信</w:t>
            </w:r>
            <w:r>
              <w:rPr>
                <w:rFonts w:hint="default" w:ascii="Times New Roman" w:hAnsi="Times New Roman" w:cs="Times New Roman"/>
                <w:snapToGrid/>
                <w:spacing w:val="0"/>
                <w:w w:val="100"/>
                <w:kern w:val="21"/>
                <w:highlight w:val="none"/>
              </w:rPr>
              <w:t>托寄卖业等行业）</w:t>
            </w:r>
          </w:p>
        </w:tc>
        <w:tc>
          <w:tcPr>
            <w:tcW w:w="2551" w:type="dxa"/>
            <w:vAlign w:val="center"/>
          </w:tcPr>
          <w:p w14:paraId="74AF1E5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1.与居民共用一个楼门通道；</w:t>
            </w:r>
          </w:p>
          <w:p w14:paraId="2D32B2E0">
            <w:pPr>
              <w:pStyle w:val="10"/>
              <w:keepNext w:val="0"/>
              <w:keepLines/>
              <w:pageBreakBefore w:val="0"/>
              <w:widowControl w:val="0"/>
              <w:kinsoku/>
              <w:wordWrap/>
              <w:overflowPunct/>
              <w:topLinePunct/>
              <w:autoSpaceDE/>
              <w:autoSpaceDN/>
              <w:bidi w:val="0"/>
              <w:adjustRightInd/>
              <w:snapToGrid/>
              <w:spacing w:line="280" w:lineRule="exact"/>
              <w:ind w:left="0" w:right="0" w:hanging="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2.与易燃、易爆、剧毒、放射性等危</w:t>
            </w:r>
            <w:r>
              <w:rPr>
                <w:rFonts w:hint="default" w:ascii="Times New Roman" w:hAnsi="Times New Roman" w:cs="Times New Roman"/>
                <w:snapToGrid/>
                <w:spacing w:val="0"/>
                <w:w w:val="100"/>
                <w:kern w:val="21"/>
                <w:highlight w:val="none"/>
              </w:rPr>
              <w:t>险物品的工厂、仓库不保持安全距离</w:t>
            </w:r>
            <w:r>
              <w:rPr>
                <w:rFonts w:hint="default" w:ascii="Times New Roman" w:hAnsi="Times New Roman" w:cs="Times New Roman"/>
                <w:snapToGrid/>
                <w:spacing w:val="0"/>
                <w:w w:val="100"/>
                <w:kern w:val="21"/>
                <w:highlight w:val="none"/>
              </w:rPr>
              <w:t>的场地；</w:t>
            </w:r>
          </w:p>
          <w:p w14:paraId="3B57C8E1">
            <w:pPr>
              <w:pStyle w:val="10"/>
              <w:keepNext w:val="0"/>
              <w:keepLines/>
              <w:pageBreakBefore w:val="0"/>
              <w:widowControl w:val="0"/>
              <w:kinsoku/>
              <w:wordWrap/>
              <w:overflowPunct/>
              <w:topLinePunct/>
              <w:autoSpaceDE/>
              <w:autoSpaceDN/>
              <w:bidi w:val="0"/>
              <w:adjustRightInd/>
              <w:snapToGrid/>
              <w:spacing w:line="280" w:lineRule="exact"/>
              <w:ind w:left="0" w:right="0" w:firstLine="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3.铁路、矿区、油田、港口、机场、</w:t>
            </w:r>
            <w:r>
              <w:rPr>
                <w:rFonts w:hint="default" w:ascii="Times New Roman" w:hAnsi="Times New Roman" w:cs="Times New Roman"/>
                <w:snapToGrid/>
                <w:spacing w:val="0"/>
                <w:w w:val="100"/>
                <w:kern w:val="21"/>
                <w:highlight w:val="none"/>
              </w:rPr>
              <w:t>施工工地、军事禁区和金属冶炼加工企业附近不得设立废旧金属收购网点</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禁止设立网点的区域由所在地县级公安机关划定</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w:t>
            </w:r>
          </w:p>
        </w:tc>
        <w:tc>
          <w:tcPr>
            <w:tcW w:w="10091" w:type="dxa"/>
            <w:tcBorders>
              <w:bottom w:val="single" w:color="auto" w:sz="4" w:space="0"/>
            </w:tcBorders>
            <w:vAlign w:val="center"/>
          </w:tcPr>
          <w:p w14:paraId="0CD3108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《黑龙江省公共场所和特种行业治安管理条例》（2022年第六次修正）</w:t>
            </w:r>
          </w:p>
          <w:p w14:paraId="47E90BD8">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第七条开办特种行业的，应当具备下列条件：</w:t>
            </w:r>
          </w:p>
          <w:p w14:paraId="141F0E85">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（三）场地应当与易燃、易爆、剧毒、放射</w:t>
            </w:r>
            <w:r>
              <w:rPr>
                <w:rFonts w:hint="default" w:ascii="Times New Roman" w:hAnsi="Times New Roman" w:cs="Times New Roman"/>
                <w:snapToGrid/>
                <w:spacing w:val="0"/>
                <w:w w:val="100"/>
                <w:kern w:val="21"/>
                <w:highlight w:val="none"/>
              </w:rPr>
              <w:t>性等危险物品的工厂、仓库保持安全距离，场地的布局和设施符</w:t>
            </w:r>
            <w:r>
              <w:rPr>
                <w:rFonts w:hint="default" w:ascii="Times New Roman" w:hAnsi="Times New Roman" w:cs="Times New Roman"/>
                <w:snapToGrid/>
                <w:spacing w:val="0"/>
                <w:w w:val="100"/>
                <w:kern w:val="21"/>
                <w:highlight w:val="none"/>
              </w:rPr>
              <w:t>合有关安全的要求；</w:t>
            </w:r>
          </w:p>
          <w:p w14:paraId="5DBD8E0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（五）不得与居民共用一个楼门通道。</w:t>
            </w:r>
          </w:p>
          <w:p w14:paraId="149D9A5B">
            <w:pPr>
              <w:pStyle w:val="10"/>
              <w:keepNext w:val="0"/>
              <w:keepLines/>
              <w:pageBreakBefore w:val="0"/>
              <w:widowControl w:val="0"/>
              <w:kinsoku/>
              <w:wordWrap/>
              <w:overflowPunct/>
              <w:topLinePunct/>
              <w:autoSpaceDE/>
              <w:autoSpaceDN/>
              <w:bidi w:val="0"/>
              <w:adjustRightInd/>
              <w:snapToGrid/>
              <w:spacing w:line="280" w:lineRule="exact"/>
              <w:ind w:left="0" w:right="0" w:firstLine="28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在铁路、矿区、油田、港口、机场、施工工地、军事禁区和金属冶炼加工企业附近不得设立废旧金属收购</w:t>
            </w:r>
            <w:r>
              <w:rPr>
                <w:rFonts w:hint="default" w:ascii="Times New Roman" w:hAnsi="Times New Roman" w:cs="Times New Roman"/>
                <w:snapToGrid/>
                <w:spacing w:val="0"/>
                <w:w w:val="100"/>
                <w:kern w:val="21"/>
                <w:highlight w:val="none"/>
              </w:rPr>
              <w:t>网点，禁止设立网点的区域由所在地县级公安机关划定，并抄告同级市场监督管理部门。</w:t>
            </w:r>
          </w:p>
        </w:tc>
      </w:tr>
      <w:tr w14:paraId="2213A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9" w:hRule="atLeast"/>
          <w:jc w:val="center"/>
        </w:trPr>
        <w:tc>
          <w:tcPr>
            <w:tcW w:w="652" w:type="dxa"/>
            <w:shd w:val="clear" w:color="auto" w:fill="auto"/>
            <w:vAlign w:val="center"/>
          </w:tcPr>
          <w:p w14:paraId="320D4A6F">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25</w:t>
            </w:r>
          </w:p>
        </w:tc>
        <w:tc>
          <w:tcPr>
            <w:tcW w:w="1928" w:type="dxa"/>
            <w:vAlign w:val="center"/>
          </w:tcPr>
          <w:p w14:paraId="4D8AF0AF">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建房</w:t>
            </w:r>
          </w:p>
        </w:tc>
        <w:tc>
          <w:tcPr>
            <w:tcW w:w="2551" w:type="dxa"/>
            <w:tcBorders>
              <w:right w:val="single" w:color="auto" w:sz="4" w:space="0"/>
            </w:tcBorders>
            <w:vAlign w:val="center"/>
          </w:tcPr>
          <w:p w14:paraId="30D1BCA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堤防和护堤地</w:t>
            </w:r>
          </w:p>
        </w:tc>
        <w:tc>
          <w:tcPr>
            <w:tcW w:w="10091" w:type="dxa"/>
            <w:tcBorders>
              <w:top w:val="single" w:color="auto" w:sz="4" w:space="0"/>
              <w:left w:val="single" w:color="auto" w:sz="4" w:space="0"/>
              <w:bottom w:val="single" w:color="auto" w:sz="4" w:space="0"/>
              <w:right w:val="single" w:color="auto" w:sz="4" w:space="0"/>
            </w:tcBorders>
            <w:vAlign w:val="center"/>
          </w:tcPr>
          <w:p w14:paraId="0C22AB8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b/>
                <w:bCs/>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《中华人民共和国河道管理条例》</w:t>
            </w:r>
          </w:p>
          <w:p w14:paraId="0FCDB2B9">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第二十四条第二款  在堤防和护堤地，禁止建房、放牧、开渠、打井、挖窖、葬坟、晒粮、存放物料、开采地下资源、进行考古发掘以及开展集市贸易活动。</w:t>
            </w:r>
          </w:p>
        </w:tc>
      </w:tr>
      <w:tr w14:paraId="22F3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4" w:hRule="atLeast"/>
          <w:jc w:val="center"/>
        </w:trPr>
        <w:tc>
          <w:tcPr>
            <w:tcW w:w="652" w:type="dxa"/>
            <w:shd w:val="clear" w:color="auto" w:fill="auto"/>
            <w:vAlign w:val="center"/>
          </w:tcPr>
          <w:p w14:paraId="5042AC06">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26</w:t>
            </w:r>
          </w:p>
        </w:tc>
        <w:tc>
          <w:tcPr>
            <w:tcW w:w="1928" w:type="dxa"/>
            <w:vAlign w:val="center"/>
          </w:tcPr>
          <w:p w14:paraId="131D85BD">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林果业、挖塘养鱼</w:t>
            </w:r>
          </w:p>
        </w:tc>
        <w:tc>
          <w:tcPr>
            <w:tcW w:w="2551" w:type="dxa"/>
            <w:tcBorders>
              <w:right w:val="single" w:color="auto" w:sz="4" w:space="0"/>
            </w:tcBorders>
            <w:vAlign w:val="center"/>
          </w:tcPr>
          <w:p w14:paraId="2D45E77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永久基本农田</w:t>
            </w:r>
          </w:p>
        </w:tc>
        <w:tc>
          <w:tcPr>
            <w:tcW w:w="10091" w:type="dxa"/>
            <w:tcBorders>
              <w:top w:val="single" w:color="auto" w:sz="4" w:space="0"/>
              <w:left w:val="single" w:color="auto" w:sz="4" w:space="0"/>
              <w:bottom w:val="single" w:color="auto" w:sz="4" w:space="0"/>
              <w:right w:val="single" w:color="auto" w:sz="4" w:space="0"/>
            </w:tcBorders>
            <w:vAlign w:val="center"/>
          </w:tcPr>
          <w:p w14:paraId="19A044F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《中华人民共和国土地管理法》（2019年修订）</w:t>
            </w:r>
          </w:p>
          <w:p w14:paraId="38A108EE">
            <w:pPr>
              <w:pStyle w:val="10"/>
              <w:keepNext w:val="0"/>
              <w:keepLines/>
              <w:pageBreakBefore w:val="0"/>
              <w:widowControl w:val="0"/>
              <w:kinsoku/>
              <w:wordWrap/>
              <w:overflowPunct/>
              <w:topLinePunct/>
              <w:autoSpaceDE/>
              <w:autoSpaceDN/>
              <w:bidi w:val="0"/>
              <w:adjustRightInd/>
              <w:snapToGrid/>
              <w:spacing w:line="280" w:lineRule="exact"/>
              <w:ind w:left="0" w:right="0" w:firstLine="390"/>
              <w:jc w:val="both"/>
              <w:textAlignment w:val="baseline"/>
              <w:rPr>
                <w:rFonts w:hint="default" w:ascii="Times New Roman" w:hAnsi="Times New Roman" w:cs="Times New Roman"/>
                <w:snapToGrid/>
                <w:spacing w:val="0"/>
                <w:w w:val="100"/>
                <w:kern w:val="21"/>
                <w:sz w:val="21"/>
                <w:highlight w:val="none"/>
              </w:rPr>
            </w:pPr>
            <w:r>
              <w:rPr>
                <w:rFonts w:hint="default" w:ascii="Times New Roman" w:hAnsi="Times New Roman" w:cs="Times New Roman"/>
                <w:snapToGrid/>
                <w:spacing w:val="0"/>
                <w:w w:val="100"/>
                <w:kern w:val="21"/>
                <w:highlight w:val="none"/>
              </w:rPr>
              <w:t>第三十七条非农业建设必须节约使用土地，可以利用荒地的，不得占用耕地；可以利用劣地的，不得占用好地。禁止占用耕地建窑、建坟或者擅自在耕地上建房、挖砂、采石、采矿、取土等。禁止占用永久基本农田发展林果业和挖塘养鱼。</w:t>
            </w:r>
          </w:p>
        </w:tc>
      </w:tr>
      <w:tr w14:paraId="62D3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652" w:type="dxa"/>
            <w:shd w:val="clear" w:color="auto" w:fill="auto"/>
            <w:vAlign w:val="center"/>
          </w:tcPr>
          <w:p w14:paraId="0A79FBE3">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27</w:t>
            </w:r>
          </w:p>
        </w:tc>
        <w:tc>
          <w:tcPr>
            <w:tcW w:w="1928" w:type="dxa"/>
            <w:vAlign w:val="center"/>
          </w:tcPr>
          <w:p w14:paraId="4B8551BD">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营业性射击场</w:t>
            </w:r>
          </w:p>
        </w:tc>
        <w:tc>
          <w:tcPr>
            <w:tcW w:w="2551" w:type="dxa"/>
            <w:vAlign w:val="center"/>
          </w:tcPr>
          <w:p w14:paraId="2C8B84EF">
            <w:pPr>
              <w:pStyle w:val="10"/>
              <w:keepNext w:val="0"/>
              <w:keepLines/>
              <w:pageBreakBefore w:val="0"/>
              <w:widowControl w:val="0"/>
              <w:kinsoku/>
              <w:wordWrap/>
              <w:overflowPunct/>
              <w:topLinePunct/>
              <w:autoSpaceDE/>
              <w:autoSpaceDN/>
              <w:bidi w:val="0"/>
              <w:adjustRightInd/>
              <w:snapToGrid/>
              <w:spacing w:line="280" w:lineRule="exact"/>
              <w:ind w:left="0" w:right="0" w:hanging="17"/>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枪械射击馆及半封闭射击场应避开人</w:t>
            </w:r>
            <w:r>
              <w:rPr>
                <w:rFonts w:hint="default" w:ascii="Times New Roman" w:hAnsi="Times New Roman" w:cs="Times New Roman"/>
                <w:snapToGrid/>
                <w:spacing w:val="0"/>
                <w:w w:val="100"/>
                <w:kern w:val="21"/>
                <w:highlight w:val="none"/>
              </w:rPr>
              <w:t>口相对集中的区域设置，城区和郊区</w:t>
            </w:r>
            <w:r>
              <w:rPr>
                <w:rFonts w:hint="default" w:ascii="Times New Roman" w:hAnsi="Times New Roman" w:cs="Times New Roman"/>
                <w:snapToGrid/>
                <w:spacing w:val="0"/>
                <w:w w:val="100"/>
                <w:kern w:val="21"/>
                <w:highlight w:val="none"/>
              </w:rPr>
              <w:t>的城镇地区不应设置半封闭射击场。</w:t>
            </w:r>
          </w:p>
        </w:tc>
        <w:tc>
          <w:tcPr>
            <w:tcW w:w="10091" w:type="dxa"/>
            <w:tcBorders>
              <w:top w:val="single" w:color="auto" w:sz="4" w:space="0"/>
            </w:tcBorders>
            <w:vAlign w:val="center"/>
          </w:tcPr>
          <w:p w14:paraId="0208C6F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《枪械射击馆及半封闭射击场水平评估标准》（T/</w:t>
            </w:r>
            <w:r>
              <w:rPr>
                <w:rFonts w:hint="default" w:ascii="Times New Roman" w:hAnsi="Times New Roman" w:cs="Times New Roman"/>
                <w:b/>
                <w:bCs/>
                <w:snapToGrid/>
                <w:spacing w:val="0"/>
                <w:w w:val="100"/>
                <w:kern w:val="21"/>
                <w:highlight w:val="none"/>
              </w:rPr>
              <w:t>COS</w:t>
            </w:r>
            <w:r>
              <w:rPr>
                <w:rFonts w:hint="default" w:ascii="Times New Roman" w:hAnsi="Times New Roman" w:cs="Times New Roman"/>
                <w:b/>
                <w:bCs/>
                <w:snapToGrid/>
                <w:spacing w:val="0"/>
                <w:w w:val="100"/>
                <w:kern w:val="21"/>
                <w:highlight w:val="none"/>
              </w:rPr>
              <w:t>001-2018）</w:t>
            </w:r>
          </w:p>
          <w:p w14:paraId="7F213F07">
            <w:pPr>
              <w:pStyle w:val="10"/>
              <w:keepNext w:val="0"/>
              <w:keepLines/>
              <w:pageBreakBefore w:val="0"/>
              <w:widowControl w:val="0"/>
              <w:kinsoku/>
              <w:wordWrap/>
              <w:overflowPunct/>
              <w:topLinePunct/>
              <w:autoSpaceDE/>
              <w:autoSpaceDN/>
              <w:bidi w:val="0"/>
              <w:adjustRightInd/>
              <w:snapToGrid/>
              <w:spacing w:line="280" w:lineRule="exact"/>
              <w:ind w:left="0" w:right="0" w:firstLine="39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5.1.1枪械射击馆及半封闭射击场应避开人口相对集中的区域设置，城区和郊区的城镇地区不应设置半封</w:t>
            </w:r>
            <w:r>
              <w:rPr>
                <w:rFonts w:hint="default" w:ascii="Times New Roman" w:hAnsi="Times New Roman" w:cs="Times New Roman"/>
                <w:snapToGrid/>
                <w:spacing w:val="0"/>
                <w:w w:val="100"/>
                <w:kern w:val="21"/>
                <w:highlight w:val="none"/>
              </w:rPr>
              <w:t>闭射击场。</w:t>
            </w:r>
          </w:p>
          <w:p w14:paraId="04859129">
            <w:pPr>
              <w:pStyle w:val="10"/>
              <w:keepNext w:val="0"/>
              <w:keepLines/>
              <w:pageBreakBefore w:val="0"/>
              <w:widowControl w:val="0"/>
              <w:kinsoku/>
              <w:wordWrap/>
              <w:overflowPunct/>
              <w:topLinePunct/>
              <w:autoSpaceDE/>
              <w:autoSpaceDN/>
              <w:bidi w:val="0"/>
              <w:adjustRightInd/>
              <w:snapToGrid/>
              <w:spacing w:line="280" w:lineRule="exact"/>
              <w:ind w:left="0" w:right="0" w:firstLine="40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5.1.2半封闭射击场应充分利用射击方向有山体掩挡的自然地形，射击方向最大射击距离内的空间区域有居民聚居区、风景游览区、企事业单位、交通干道沿线或其他重要设施、场所的，应设置靶</w:t>
            </w:r>
            <w:r>
              <w:rPr>
                <w:rFonts w:hint="default" w:ascii="Times New Roman" w:hAnsi="Times New Roman" w:cs="Times New Roman"/>
                <w:snapToGrid/>
                <w:spacing w:val="0"/>
                <w:w w:val="100"/>
                <w:kern w:val="21"/>
                <w:highlight w:val="none"/>
              </w:rPr>
              <w:t>挡等安全设施，射</w:t>
            </w:r>
            <w:r>
              <w:rPr>
                <w:rFonts w:hint="default" w:ascii="Times New Roman" w:hAnsi="Times New Roman" w:cs="Times New Roman"/>
                <w:snapToGrid/>
                <w:spacing w:val="0"/>
                <w:w w:val="100"/>
                <w:kern w:val="21"/>
                <w:highlight w:val="none"/>
              </w:rPr>
              <w:t>击场在建造之前，应先绘制设计图与平面布置图</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附详细说明</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，送当地相关部</w:t>
            </w:r>
            <w:r>
              <w:rPr>
                <w:rFonts w:hint="default" w:ascii="Times New Roman" w:hAnsi="Times New Roman" w:cs="Times New Roman"/>
                <w:snapToGrid/>
                <w:spacing w:val="0"/>
                <w:w w:val="100"/>
                <w:kern w:val="21"/>
                <w:highlight w:val="none"/>
              </w:rPr>
              <w:t>门审查同意，并报公安机关批准</w:t>
            </w:r>
            <w:r>
              <w:rPr>
                <w:rFonts w:hint="default" w:ascii="Times New Roman" w:hAnsi="Times New Roman" w:cs="Times New Roman"/>
                <w:snapToGrid/>
                <w:spacing w:val="0"/>
                <w:w w:val="100"/>
                <w:kern w:val="21"/>
                <w:highlight w:val="none"/>
              </w:rPr>
              <w:t>后方可施工。竣工后要由当地相关部门会同公安机关检验并批准开</w:t>
            </w:r>
            <w:r>
              <w:rPr>
                <w:rFonts w:hint="default" w:ascii="Times New Roman" w:hAnsi="Times New Roman" w:cs="Times New Roman"/>
                <w:snapToGrid/>
                <w:spacing w:val="0"/>
                <w:w w:val="100"/>
                <w:kern w:val="21"/>
                <w:highlight w:val="none"/>
              </w:rPr>
              <w:t>放后方可使用。</w:t>
            </w:r>
          </w:p>
        </w:tc>
      </w:tr>
      <w:tr w14:paraId="558A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25" w:hRule="atLeast"/>
          <w:jc w:val="center"/>
        </w:trPr>
        <w:tc>
          <w:tcPr>
            <w:tcW w:w="652" w:type="dxa"/>
            <w:shd w:val="clear" w:color="auto" w:fill="auto"/>
            <w:vAlign w:val="center"/>
          </w:tcPr>
          <w:p w14:paraId="1488D673">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lang w:val="en-US" w:eastAsia="zh-CN"/>
              </w:rPr>
              <w:t>2</w:t>
            </w:r>
            <w:r>
              <w:rPr>
                <w:rFonts w:hint="default" w:ascii="Times New Roman" w:hAnsi="Times New Roman" w:cs="Times New Roman"/>
                <w:snapToGrid/>
                <w:spacing w:val="0"/>
                <w:w w:val="100"/>
                <w:kern w:val="21"/>
                <w:highlight w:val="none"/>
              </w:rPr>
              <w:t>8</w:t>
            </w:r>
          </w:p>
        </w:tc>
        <w:tc>
          <w:tcPr>
            <w:tcW w:w="1928" w:type="dxa"/>
            <w:vAlign w:val="center"/>
          </w:tcPr>
          <w:p w14:paraId="126AB423">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校外培训机构</w:t>
            </w:r>
          </w:p>
        </w:tc>
        <w:tc>
          <w:tcPr>
            <w:tcW w:w="2551" w:type="dxa"/>
            <w:vAlign w:val="center"/>
          </w:tcPr>
          <w:p w14:paraId="5A1BB19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1.培训用房</w:t>
            </w:r>
            <w:r>
              <w:rPr>
                <w:rFonts w:hint="default" w:ascii="Times New Roman" w:hAnsi="Times New Roman" w:eastAsia="Arial" w:cs="Times New Roman"/>
                <w:snapToGrid/>
                <w:spacing w:val="0"/>
                <w:w w:val="100"/>
                <w:kern w:val="21"/>
                <w:highlight w:val="none"/>
              </w:rPr>
              <w:t>4</w:t>
            </w:r>
            <w:r>
              <w:rPr>
                <w:rFonts w:hint="default" w:ascii="Times New Roman" w:hAnsi="Times New Roman" w:cs="Times New Roman"/>
                <w:snapToGrid/>
                <w:spacing w:val="0"/>
                <w:w w:val="100"/>
                <w:kern w:val="21"/>
                <w:highlight w:val="none"/>
              </w:rPr>
              <w:t>层以上（针对小学生的）</w:t>
            </w:r>
          </w:p>
          <w:p w14:paraId="7798588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2.培训用房5层以上（针对中学生的）</w:t>
            </w:r>
          </w:p>
          <w:p w14:paraId="1E184C3A">
            <w:pPr>
              <w:pStyle w:val="10"/>
              <w:keepNext w:val="0"/>
              <w:keepLines/>
              <w:pageBreakBefore w:val="0"/>
              <w:widowControl w:val="0"/>
              <w:kinsoku/>
              <w:wordWrap/>
              <w:overflowPunct/>
              <w:topLinePunct/>
              <w:autoSpaceDE/>
              <w:autoSpaceDN/>
              <w:bidi w:val="0"/>
              <w:adjustRightInd/>
              <w:snapToGrid/>
              <w:spacing w:line="280" w:lineRule="exact"/>
              <w:ind w:left="0" w:right="0" w:firstLine="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3.居民住宅、半地下室、地下室、车</w:t>
            </w:r>
            <w:r>
              <w:rPr>
                <w:rFonts w:hint="default" w:ascii="Times New Roman" w:hAnsi="Times New Roman" w:cs="Times New Roman"/>
                <w:snapToGrid/>
                <w:spacing w:val="0"/>
                <w:w w:val="100"/>
                <w:kern w:val="21"/>
                <w:highlight w:val="none"/>
              </w:rPr>
              <w:t>库及其他有安全隐患的场所。</w:t>
            </w:r>
          </w:p>
          <w:p w14:paraId="1A62DDBE">
            <w:pPr>
              <w:pStyle w:val="10"/>
              <w:keepNext w:val="0"/>
              <w:keepLines/>
              <w:pageBreakBefore w:val="0"/>
              <w:widowControl w:val="0"/>
              <w:kinsoku/>
              <w:wordWrap/>
              <w:overflowPunct/>
              <w:topLinePunct/>
              <w:autoSpaceDE/>
              <w:autoSpaceDN/>
              <w:bidi w:val="0"/>
              <w:adjustRightInd/>
              <w:snapToGrid/>
              <w:spacing w:line="280" w:lineRule="exact"/>
              <w:ind w:left="0" w:right="0" w:firstLine="30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学科类校外培训机构校舍面积不</w:t>
            </w:r>
            <w:r>
              <w:rPr>
                <w:rFonts w:hint="default" w:ascii="Times New Roman" w:hAnsi="Times New Roman" w:cs="Times New Roman"/>
                <w:snapToGrid/>
                <w:spacing w:val="0"/>
                <w:w w:val="100"/>
                <w:kern w:val="21"/>
                <w:highlight w:val="none"/>
              </w:rPr>
              <w:t>低于300平方米，其他类校外培训机</w:t>
            </w:r>
            <w:r>
              <w:rPr>
                <w:rFonts w:hint="default" w:ascii="Times New Roman" w:hAnsi="Times New Roman" w:cs="Times New Roman"/>
                <w:snapToGrid/>
                <w:spacing w:val="0"/>
                <w:w w:val="100"/>
                <w:kern w:val="21"/>
                <w:highlight w:val="none"/>
              </w:rPr>
              <w:t>构可适当降低标准，且同一培训时段</w:t>
            </w:r>
            <w:r>
              <w:rPr>
                <w:rFonts w:hint="default" w:ascii="Times New Roman" w:hAnsi="Times New Roman" w:cs="Times New Roman"/>
                <w:snapToGrid/>
                <w:spacing w:val="0"/>
                <w:w w:val="100"/>
                <w:kern w:val="21"/>
                <w:highlight w:val="none"/>
              </w:rPr>
              <w:t>内生均面积不低于3平方米</w:t>
            </w:r>
          </w:p>
        </w:tc>
        <w:tc>
          <w:tcPr>
            <w:tcW w:w="10091" w:type="dxa"/>
            <w:vAlign w:val="center"/>
          </w:tcPr>
          <w:p w14:paraId="4895931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黑龙江省教育厅关于印发《黑龙江省校外培训机构设置标准（试行）》的通知（黑教规〔</w:t>
            </w:r>
            <w:r>
              <w:rPr>
                <w:rFonts w:hint="default" w:ascii="Times New Roman" w:hAnsi="Times New Roman" w:eastAsia="Arial" w:cs="Times New Roman"/>
                <w:b/>
                <w:bCs/>
                <w:snapToGrid/>
                <w:spacing w:val="0"/>
                <w:w w:val="100"/>
                <w:kern w:val="21"/>
                <w:highlight w:val="none"/>
              </w:rPr>
              <w:t>2019</w:t>
            </w:r>
            <w:r>
              <w:rPr>
                <w:rFonts w:hint="default" w:ascii="Times New Roman" w:hAnsi="Times New Roman" w:cs="Times New Roman"/>
                <w:b/>
                <w:bCs/>
                <w:snapToGrid/>
                <w:spacing w:val="0"/>
                <w:w w:val="100"/>
                <w:kern w:val="21"/>
                <w:highlight w:val="none"/>
              </w:rPr>
              <w:t>〕</w:t>
            </w:r>
            <w:r>
              <w:rPr>
                <w:rFonts w:hint="default" w:ascii="Times New Roman" w:hAnsi="Times New Roman" w:eastAsia="Arial" w:cs="Times New Roman"/>
                <w:b/>
                <w:bCs/>
                <w:snapToGrid/>
                <w:spacing w:val="0"/>
                <w:w w:val="100"/>
                <w:kern w:val="21"/>
                <w:highlight w:val="none"/>
              </w:rPr>
              <w:t>8</w:t>
            </w:r>
            <w:r>
              <w:rPr>
                <w:rFonts w:hint="default" w:ascii="Times New Roman" w:hAnsi="Times New Roman" w:cs="Times New Roman"/>
                <w:b/>
                <w:bCs/>
                <w:snapToGrid/>
                <w:spacing w:val="0"/>
                <w:w w:val="100"/>
                <w:kern w:val="21"/>
                <w:highlight w:val="none"/>
              </w:rPr>
              <w:t>号）</w:t>
            </w:r>
          </w:p>
          <w:p w14:paraId="0FADC504">
            <w:pPr>
              <w:pStyle w:val="10"/>
              <w:keepNext w:val="0"/>
              <w:keepLines/>
              <w:pageBreakBefore w:val="0"/>
              <w:widowControl w:val="0"/>
              <w:kinsoku/>
              <w:wordWrap/>
              <w:overflowPunct/>
              <w:topLinePunct/>
              <w:autoSpaceDE/>
              <w:autoSpaceDN/>
              <w:bidi w:val="0"/>
              <w:adjustRightInd/>
              <w:snapToGrid/>
              <w:spacing w:line="280" w:lineRule="exact"/>
              <w:ind w:left="0" w:right="0" w:firstLine="39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第十条申请设立校外培训机构，应当具有符合安全条件且不危害或者影响学生身心健康的固定场所。举办者以自有场所办学的，应当提供办学场所的房屋产权证明材料；租用场所办</w:t>
            </w:r>
            <w:r>
              <w:rPr>
                <w:rFonts w:hint="default" w:ascii="Times New Roman" w:hAnsi="Times New Roman" w:cs="Times New Roman"/>
                <w:snapToGrid/>
                <w:spacing w:val="0"/>
                <w:w w:val="100"/>
                <w:kern w:val="21"/>
                <w:highlight w:val="none"/>
              </w:rPr>
              <w:t>学的，应当提供具有法律效力的</w:t>
            </w:r>
            <w:r>
              <w:rPr>
                <w:rFonts w:hint="default" w:ascii="Times New Roman" w:hAnsi="Times New Roman" w:cs="Times New Roman"/>
                <w:snapToGrid/>
                <w:spacing w:val="0"/>
                <w:w w:val="100"/>
                <w:kern w:val="21"/>
                <w:highlight w:val="none"/>
              </w:rPr>
              <w:t>租赁合同，租赁期限不得少于</w:t>
            </w:r>
            <w:r>
              <w:rPr>
                <w:rFonts w:hint="default" w:ascii="Times New Roman" w:hAnsi="Times New Roman" w:eastAsia="Arial" w:cs="Times New Roman"/>
                <w:snapToGrid/>
                <w:spacing w:val="0"/>
                <w:w w:val="100"/>
                <w:kern w:val="21"/>
                <w:highlight w:val="none"/>
              </w:rPr>
              <w:t>3</w:t>
            </w:r>
            <w:r>
              <w:rPr>
                <w:rFonts w:hint="default" w:ascii="Times New Roman" w:hAnsi="Times New Roman" w:cs="Times New Roman"/>
                <w:snapToGrid/>
                <w:spacing w:val="0"/>
                <w:w w:val="100"/>
                <w:kern w:val="21"/>
                <w:highlight w:val="none"/>
              </w:rPr>
              <w:t>年。且应当符合下列</w:t>
            </w:r>
            <w:r>
              <w:rPr>
                <w:rFonts w:hint="default" w:ascii="Times New Roman" w:hAnsi="Times New Roman" w:cs="Times New Roman"/>
                <w:snapToGrid/>
                <w:spacing w:val="0"/>
                <w:w w:val="100"/>
                <w:kern w:val="21"/>
                <w:highlight w:val="none"/>
              </w:rPr>
              <w:t>要求：</w:t>
            </w:r>
          </w:p>
          <w:p w14:paraId="59AA2FD9">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eastAsia="宋体" w:cs="Times New Roman"/>
                <w:snapToGrid/>
                <w:spacing w:val="0"/>
                <w:w w:val="100"/>
                <w:kern w:val="21"/>
                <w:highlight w:val="none"/>
                <w:lang w:eastAsia="zh-CN"/>
              </w:rPr>
              <w:t>（一）</w:t>
            </w:r>
            <w:r>
              <w:rPr>
                <w:rFonts w:hint="default" w:ascii="Times New Roman" w:hAnsi="Times New Roman" w:cs="Times New Roman"/>
                <w:snapToGrid/>
                <w:spacing w:val="0"/>
                <w:w w:val="100"/>
                <w:kern w:val="21"/>
                <w:highlight w:val="none"/>
              </w:rPr>
              <w:t>校外培训机构办学场地应当与办学项目和办学规模相适应，合法、独立使用，学科类校外培训机构校</w:t>
            </w:r>
            <w:r>
              <w:rPr>
                <w:rFonts w:hint="default" w:ascii="Times New Roman" w:hAnsi="Times New Roman" w:cs="Times New Roman"/>
                <w:snapToGrid/>
                <w:spacing w:val="0"/>
                <w:w w:val="100"/>
                <w:kern w:val="21"/>
                <w:highlight w:val="none"/>
              </w:rPr>
              <w:t>舍面积不低于</w:t>
            </w:r>
            <w:r>
              <w:rPr>
                <w:rFonts w:hint="default" w:ascii="Times New Roman" w:hAnsi="Times New Roman" w:eastAsia="Arial" w:cs="Times New Roman"/>
                <w:snapToGrid/>
                <w:spacing w:val="0"/>
                <w:w w:val="100"/>
                <w:kern w:val="21"/>
                <w:highlight w:val="none"/>
              </w:rPr>
              <w:t>300</w:t>
            </w:r>
            <w:r>
              <w:rPr>
                <w:rFonts w:hint="default" w:ascii="Times New Roman" w:hAnsi="Times New Roman" w:cs="Times New Roman"/>
                <w:snapToGrid/>
                <w:spacing w:val="0"/>
                <w:w w:val="100"/>
                <w:kern w:val="21"/>
                <w:highlight w:val="none"/>
              </w:rPr>
              <w:t>平方米，其他类校外培训机构可适当降低标准，且同一培训时</w:t>
            </w:r>
            <w:r>
              <w:rPr>
                <w:rFonts w:hint="default" w:ascii="Times New Roman" w:hAnsi="Times New Roman" w:cs="Times New Roman"/>
                <w:snapToGrid/>
                <w:spacing w:val="0"/>
                <w:w w:val="100"/>
                <w:kern w:val="21"/>
                <w:highlight w:val="none"/>
              </w:rPr>
              <w:t>段内生均面积不低于</w:t>
            </w:r>
            <w:r>
              <w:rPr>
                <w:rFonts w:hint="default" w:ascii="Times New Roman" w:hAnsi="Times New Roman" w:eastAsia="Arial" w:cs="Times New Roman"/>
                <w:snapToGrid/>
                <w:spacing w:val="0"/>
                <w:w w:val="100"/>
                <w:kern w:val="21"/>
                <w:highlight w:val="none"/>
              </w:rPr>
              <w:t>3</w:t>
            </w:r>
            <w:r>
              <w:rPr>
                <w:rFonts w:hint="default" w:ascii="Times New Roman" w:hAnsi="Times New Roman" w:cs="Times New Roman"/>
                <w:snapToGrid/>
                <w:spacing w:val="0"/>
                <w:w w:val="100"/>
                <w:kern w:val="21"/>
                <w:highlight w:val="none"/>
              </w:rPr>
              <w:t>平方</w:t>
            </w:r>
            <w:r>
              <w:rPr>
                <w:rFonts w:hint="default" w:ascii="Times New Roman" w:hAnsi="Times New Roman" w:cs="Times New Roman"/>
                <w:snapToGrid/>
                <w:spacing w:val="0"/>
                <w:w w:val="100"/>
                <w:kern w:val="21"/>
                <w:highlight w:val="none"/>
              </w:rPr>
              <w:t>米。</w:t>
            </w:r>
          </w:p>
          <w:p w14:paraId="631EC1F8">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eastAsia="宋体" w:cs="Times New Roman"/>
                <w:snapToGrid/>
                <w:spacing w:val="0"/>
                <w:w w:val="100"/>
                <w:kern w:val="21"/>
                <w:highlight w:val="none"/>
                <w:lang w:eastAsia="zh-CN"/>
              </w:rPr>
              <w:t>（二）</w:t>
            </w:r>
            <w:r>
              <w:rPr>
                <w:rFonts w:hint="default" w:ascii="Times New Roman" w:hAnsi="Times New Roman" w:cs="Times New Roman"/>
                <w:snapToGrid/>
                <w:spacing w:val="0"/>
                <w:w w:val="100"/>
                <w:kern w:val="21"/>
                <w:highlight w:val="none"/>
              </w:rPr>
              <w:t>校外培训机构的教学用房应当布局合理，采光、照明</w:t>
            </w:r>
            <w:r>
              <w:rPr>
                <w:rFonts w:hint="default" w:ascii="Times New Roman" w:hAnsi="Times New Roman" w:cs="Times New Roman"/>
                <w:snapToGrid/>
                <w:spacing w:val="0"/>
                <w:w w:val="100"/>
                <w:kern w:val="21"/>
                <w:highlight w:val="none"/>
              </w:rPr>
              <w:t>、通风、环保等符合教育教学要求。为寄宿学生</w:t>
            </w:r>
            <w:r>
              <w:rPr>
                <w:rFonts w:hint="default" w:ascii="Times New Roman" w:hAnsi="Times New Roman" w:cs="Times New Roman"/>
                <w:snapToGrid/>
                <w:spacing w:val="0"/>
                <w:w w:val="100"/>
                <w:kern w:val="21"/>
                <w:highlight w:val="none"/>
              </w:rPr>
              <w:t>提供的宿舍建筑符合宜居环境要求，配备与寄</w:t>
            </w:r>
            <w:r>
              <w:rPr>
                <w:rFonts w:hint="default" w:ascii="Times New Roman" w:hAnsi="Times New Roman" w:cs="Times New Roman"/>
                <w:snapToGrid/>
                <w:spacing w:val="0"/>
                <w:w w:val="100"/>
                <w:kern w:val="21"/>
                <w:highlight w:val="none"/>
              </w:rPr>
              <w:t>宿学生规模相匹配的阅览及生活场所。</w:t>
            </w:r>
          </w:p>
          <w:p w14:paraId="3D941F67">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eastAsia="宋体" w:cs="Times New Roman"/>
                <w:snapToGrid/>
                <w:spacing w:val="0"/>
                <w:w w:val="100"/>
                <w:kern w:val="21"/>
                <w:highlight w:val="none"/>
                <w:lang w:eastAsia="zh-CN"/>
              </w:rPr>
              <w:t>（三）</w:t>
            </w:r>
            <w:r>
              <w:rPr>
                <w:rFonts w:hint="default" w:ascii="Times New Roman" w:hAnsi="Times New Roman" w:cs="Times New Roman"/>
                <w:snapToGrid/>
                <w:spacing w:val="0"/>
                <w:w w:val="100"/>
                <w:kern w:val="21"/>
                <w:highlight w:val="none"/>
              </w:rPr>
              <w:t>校外培训机构的办学场所及学生宿舍应当符合消防安全相关要求。针对小学生的培训用房不宜超过</w:t>
            </w:r>
            <w:r>
              <w:rPr>
                <w:rFonts w:hint="default" w:ascii="Times New Roman" w:hAnsi="Times New Roman" w:eastAsia="Arial" w:cs="Times New Roman"/>
                <w:snapToGrid/>
                <w:spacing w:val="0"/>
                <w:w w:val="100"/>
                <w:kern w:val="21"/>
                <w:highlight w:val="none"/>
              </w:rPr>
              <w:t>4</w:t>
            </w:r>
            <w:r>
              <w:rPr>
                <w:rFonts w:hint="default" w:ascii="Times New Roman" w:hAnsi="Times New Roman" w:cs="Times New Roman"/>
                <w:snapToGrid/>
                <w:spacing w:val="0"/>
                <w:w w:val="100"/>
                <w:kern w:val="21"/>
                <w:highlight w:val="none"/>
              </w:rPr>
              <w:t>层，针对中学生的培训用房不宜超过</w:t>
            </w:r>
            <w:r>
              <w:rPr>
                <w:rFonts w:hint="default" w:ascii="Times New Roman" w:hAnsi="Times New Roman" w:eastAsia="Arial" w:cs="Times New Roman"/>
                <w:snapToGrid/>
                <w:spacing w:val="0"/>
                <w:w w:val="100"/>
                <w:kern w:val="21"/>
                <w:highlight w:val="none"/>
              </w:rPr>
              <w:t>5</w:t>
            </w:r>
            <w:r>
              <w:rPr>
                <w:rFonts w:hint="default" w:ascii="Times New Roman" w:hAnsi="Times New Roman" w:cs="Times New Roman"/>
                <w:snapToGrid/>
                <w:spacing w:val="0"/>
                <w:w w:val="100"/>
                <w:kern w:val="21"/>
                <w:highlight w:val="none"/>
              </w:rPr>
              <w:t>层，符合安全易疏散的要</w:t>
            </w:r>
            <w:r>
              <w:rPr>
                <w:rFonts w:hint="default" w:ascii="Times New Roman" w:hAnsi="Times New Roman" w:cs="Times New Roman"/>
                <w:snapToGrid/>
                <w:spacing w:val="0"/>
                <w:w w:val="100"/>
                <w:kern w:val="21"/>
                <w:highlight w:val="none"/>
              </w:rPr>
              <w:t>求。校外培训机构不得选用居民住宅、半地</w:t>
            </w:r>
            <w:r>
              <w:rPr>
                <w:rFonts w:hint="default" w:ascii="Times New Roman" w:hAnsi="Times New Roman" w:cs="Times New Roman"/>
                <w:snapToGrid/>
                <w:spacing w:val="0"/>
                <w:w w:val="100"/>
                <w:kern w:val="21"/>
                <w:highlight w:val="none"/>
              </w:rPr>
              <w:t>下室、地下室、车库及其他有安全隐患的场所。</w:t>
            </w:r>
          </w:p>
          <w:p w14:paraId="0A84DB01">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eastAsia="宋体" w:cs="Times New Roman"/>
                <w:snapToGrid/>
                <w:spacing w:val="0"/>
                <w:w w:val="100"/>
                <w:kern w:val="21"/>
                <w:highlight w:val="none"/>
                <w:lang w:eastAsia="zh-CN"/>
              </w:rPr>
              <w:t>（四）</w:t>
            </w:r>
            <w:r>
              <w:rPr>
                <w:rFonts w:hint="default" w:ascii="Times New Roman" w:hAnsi="Times New Roman" w:cs="Times New Roman"/>
                <w:snapToGrid/>
                <w:spacing w:val="0"/>
                <w:w w:val="100"/>
                <w:kern w:val="21"/>
                <w:highlight w:val="none"/>
              </w:rPr>
              <w:t>校外培训机构提供餐饮服务的，应当取得相应的食品经营许</w:t>
            </w:r>
            <w:r>
              <w:rPr>
                <w:rFonts w:hint="default" w:ascii="Times New Roman" w:hAnsi="Times New Roman" w:cs="Times New Roman"/>
                <w:snapToGrid/>
                <w:spacing w:val="0"/>
                <w:w w:val="100"/>
                <w:kern w:val="21"/>
                <w:highlight w:val="none"/>
              </w:rPr>
              <w:t>可等相关证照，建立健全食品安全管理制</w:t>
            </w:r>
            <w:r>
              <w:rPr>
                <w:rFonts w:hint="default" w:ascii="Times New Roman" w:hAnsi="Times New Roman" w:cs="Times New Roman"/>
                <w:snapToGrid/>
                <w:spacing w:val="0"/>
                <w:w w:val="100"/>
                <w:kern w:val="21"/>
                <w:highlight w:val="none"/>
              </w:rPr>
              <w:t>度，按照规定配备管理人员，落实食品安全管理措施。</w:t>
            </w:r>
          </w:p>
        </w:tc>
      </w:tr>
      <w:tr w14:paraId="6DF87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25" w:hRule="atLeast"/>
          <w:jc w:val="center"/>
        </w:trPr>
        <w:tc>
          <w:tcPr>
            <w:tcW w:w="652" w:type="dxa"/>
            <w:shd w:val="clear" w:color="auto" w:fill="auto"/>
            <w:vAlign w:val="center"/>
          </w:tcPr>
          <w:p w14:paraId="0E920C6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zh-CN" w:bidi="ar-SA"/>
              </w:rPr>
            </w:pPr>
            <w:r>
              <w:rPr>
                <w:rFonts w:hint="default" w:ascii="Times New Roman" w:hAnsi="Times New Roman" w:cs="Times New Roman"/>
                <w:snapToGrid/>
                <w:spacing w:val="0"/>
                <w:w w:val="100"/>
                <w:kern w:val="21"/>
                <w:highlight w:val="none"/>
              </w:rPr>
              <w:t>29</w:t>
            </w:r>
          </w:p>
        </w:tc>
        <w:tc>
          <w:tcPr>
            <w:tcW w:w="1928" w:type="dxa"/>
            <w:shd w:val="clear" w:color="auto" w:fill="auto"/>
            <w:vAlign w:val="center"/>
          </w:tcPr>
          <w:p w14:paraId="5C5E2545">
            <w:pPr>
              <w:pStyle w:val="10"/>
              <w:keepNext w:val="0"/>
              <w:keepLines/>
              <w:pageBreakBefore w:val="0"/>
              <w:widowControl w:val="0"/>
              <w:kinsoku/>
              <w:wordWrap/>
              <w:overflowPunct/>
              <w:topLinePunct/>
              <w:autoSpaceDE/>
              <w:autoSpaceDN/>
              <w:bidi w:val="0"/>
              <w:adjustRightInd/>
              <w:snapToGrid/>
              <w:spacing w:line="280" w:lineRule="exact"/>
              <w:ind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油仓储单位从事粮</w:t>
            </w:r>
            <w:r>
              <w:rPr>
                <w:rFonts w:hint="default" w:ascii="Times New Roman" w:hAnsi="Times New Roman" w:cs="Times New Roman"/>
                <w:snapToGrid/>
                <w:spacing w:val="0"/>
                <w:w w:val="100"/>
                <w:kern w:val="21"/>
                <w:highlight w:val="none"/>
              </w:rPr>
              <w:t>油仓储活动</w:t>
            </w:r>
          </w:p>
        </w:tc>
        <w:tc>
          <w:tcPr>
            <w:tcW w:w="2551" w:type="dxa"/>
            <w:shd w:val="clear" w:color="auto" w:fill="auto"/>
            <w:vAlign w:val="center"/>
          </w:tcPr>
          <w:p w14:paraId="287488CB">
            <w:pPr>
              <w:pStyle w:val="10"/>
              <w:keepNext w:val="0"/>
              <w:keepLines/>
              <w:pageBreakBefore w:val="0"/>
              <w:widowControl w:val="0"/>
              <w:kinsoku/>
              <w:wordWrap/>
              <w:overflowPunct/>
              <w:topLinePunct/>
              <w:autoSpaceDE/>
              <w:autoSpaceDN/>
              <w:bidi w:val="0"/>
              <w:adjustRightInd/>
              <w:snapToGrid/>
              <w:spacing w:line="280" w:lineRule="exact"/>
              <w:ind w:left="0" w:right="0" w:firstLine="1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1.距有害元素的矿山、炼焦、炼油、</w:t>
            </w:r>
            <w:r>
              <w:rPr>
                <w:rFonts w:hint="default" w:ascii="Times New Roman" w:hAnsi="Times New Roman" w:cs="Times New Roman"/>
                <w:snapToGrid/>
                <w:spacing w:val="0"/>
                <w:w w:val="100"/>
                <w:kern w:val="21"/>
                <w:highlight w:val="none"/>
              </w:rPr>
              <w:t>煤气、化工（包括有毒化合物的生产）、</w:t>
            </w:r>
            <w:r>
              <w:rPr>
                <w:rFonts w:hint="default" w:ascii="Times New Roman" w:hAnsi="Times New Roman" w:cs="Times New Roman"/>
                <w:snapToGrid/>
                <w:spacing w:val="0"/>
                <w:w w:val="100"/>
                <w:kern w:val="21"/>
                <w:highlight w:val="none"/>
              </w:rPr>
              <w:t>塑料、橡胶制品及加工、人造纤维、</w:t>
            </w:r>
            <w:r>
              <w:rPr>
                <w:rFonts w:hint="default" w:ascii="Times New Roman" w:hAnsi="Times New Roman" w:cs="Times New Roman"/>
                <w:snapToGrid/>
                <w:spacing w:val="0"/>
                <w:w w:val="100"/>
                <w:kern w:val="21"/>
                <w:highlight w:val="none"/>
              </w:rPr>
              <w:t>油漆、农药、化肥等排放有毒气体的</w:t>
            </w:r>
            <w:r>
              <w:rPr>
                <w:rFonts w:hint="default" w:ascii="Times New Roman" w:hAnsi="Times New Roman" w:cs="Times New Roman"/>
                <w:snapToGrid/>
                <w:spacing w:val="0"/>
                <w:w w:val="100"/>
                <w:kern w:val="21"/>
                <w:highlight w:val="none"/>
              </w:rPr>
              <w:t>生产单位，小于1000米；</w:t>
            </w:r>
          </w:p>
          <w:p w14:paraId="0604646E">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2.距屠宰场、集中垃圾堆场、污水</w:t>
            </w:r>
            <w:r>
              <w:rPr>
                <w:rFonts w:hint="default" w:ascii="Times New Roman" w:hAnsi="Times New Roman" w:cs="Times New Roman"/>
                <w:snapToGrid/>
                <w:spacing w:val="0"/>
                <w:w w:val="100"/>
                <w:kern w:val="21"/>
                <w:highlight w:val="none"/>
              </w:rPr>
              <w:t>处理站等单位，小于500米；</w:t>
            </w:r>
          </w:p>
          <w:p w14:paraId="07F919BA">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3.距砖瓦厂、混凝土及石膏制品厂</w:t>
            </w:r>
            <w:r>
              <w:rPr>
                <w:rFonts w:hint="default" w:ascii="Times New Roman" w:hAnsi="Times New Roman" w:cs="Times New Roman"/>
                <w:snapToGrid/>
                <w:spacing w:val="0"/>
                <w:w w:val="100"/>
                <w:kern w:val="21"/>
                <w:highlight w:val="none"/>
              </w:rPr>
              <w:t>等粉尘污染源，小于100米。</w:t>
            </w:r>
          </w:p>
        </w:tc>
        <w:tc>
          <w:tcPr>
            <w:tcW w:w="10091" w:type="dxa"/>
            <w:shd w:val="clear" w:color="auto" w:fill="auto"/>
            <w:vAlign w:val="center"/>
          </w:tcPr>
          <w:p w14:paraId="3FA1210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《粮油仓储管理办法》（国家发展和改革委员会令</w:t>
            </w:r>
            <w:r>
              <w:rPr>
                <w:rFonts w:hint="default" w:ascii="Times New Roman" w:hAnsi="Times New Roman" w:cs="Times New Roman"/>
                <w:b/>
                <w:bCs/>
                <w:snapToGrid/>
                <w:spacing w:val="0"/>
                <w:w w:val="100"/>
                <w:kern w:val="21"/>
                <w:highlight w:val="none"/>
              </w:rPr>
              <w:t>第5号）</w:t>
            </w:r>
          </w:p>
          <w:p w14:paraId="2A0CC159">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第七条粮油仓储单位应当具备以下条件：</w:t>
            </w:r>
          </w:p>
          <w:p w14:paraId="11E53A2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（一）拥有固定经营场地，并符合本办法有关污染源、危险源安全距离的规定；</w:t>
            </w:r>
          </w:p>
          <w:p w14:paraId="0039DCB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（二）拥有与从事粮油仓储活动相适应的设施设备，并符合</w:t>
            </w:r>
            <w:r>
              <w:rPr>
                <w:rFonts w:hint="default" w:ascii="Times New Roman" w:hAnsi="Times New Roman" w:cs="Times New Roman"/>
                <w:snapToGrid/>
                <w:spacing w:val="0"/>
                <w:w w:val="100"/>
                <w:kern w:val="21"/>
                <w:highlight w:val="none"/>
              </w:rPr>
              <w:t>粮油储藏技术规范的要求；</w:t>
            </w:r>
          </w:p>
          <w:p w14:paraId="73BCB52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（三）拥有相应的专业技术管理人员。</w:t>
            </w:r>
          </w:p>
          <w:p w14:paraId="0064D9E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b/>
                <w:bCs/>
                <w:snapToGrid/>
                <w:spacing w:val="0"/>
                <w:w w:val="100"/>
                <w:kern w:val="21"/>
                <w:highlight w:val="none"/>
              </w:rPr>
            </w:pPr>
            <w:r>
              <w:rPr>
                <w:rFonts w:hint="default" w:ascii="Times New Roman" w:hAnsi="Times New Roman" w:cs="Times New Roman"/>
                <w:b/>
                <w:bCs/>
                <w:snapToGrid/>
                <w:spacing w:val="0"/>
                <w:w w:val="100"/>
                <w:kern w:val="21"/>
                <w:highlight w:val="none"/>
              </w:rPr>
              <w:t>《国家发展和改革委员会关于污染源、危险源安</w:t>
            </w:r>
            <w:r>
              <w:rPr>
                <w:rFonts w:hint="default" w:ascii="Times New Roman" w:hAnsi="Times New Roman" w:cs="Times New Roman"/>
                <w:b/>
                <w:bCs/>
                <w:snapToGrid/>
                <w:spacing w:val="0"/>
                <w:w w:val="100"/>
                <w:kern w:val="21"/>
                <w:highlight w:val="none"/>
              </w:rPr>
              <w:t>全距离的规定》</w:t>
            </w:r>
          </w:p>
          <w:p w14:paraId="29D77C09">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粮油仓储单位的固定经营场地至污染源、危险源的距离</w:t>
            </w:r>
            <w:r>
              <w:rPr>
                <w:rFonts w:hint="default" w:ascii="Times New Roman" w:hAnsi="Times New Roman" w:cs="Times New Roman"/>
                <w:snapToGrid/>
                <w:spacing w:val="0"/>
                <w:w w:val="100"/>
                <w:kern w:val="21"/>
                <w:highlight w:val="none"/>
              </w:rPr>
              <w:t>应当满足以下要求：</w:t>
            </w:r>
          </w:p>
          <w:p w14:paraId="25E2433E">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一、距有害元素的矿山、炼焦、炼油、煤气、化</w:t>
            </w:r>
            <w:r>
              <w:rPr>
                <w:rFonts w:hint="default" w:ascii="Times New Roman" w:hAnsi="Times New Roman" w:cs="Times New Roman"/>
                <w:snapToGrid/>
                <w:spacing w:val="0"/>
                <w:w w:val="100"/>
                <w:kern w:val="21"/>
                <w:highlight w:val="none"/>
              </w:rPr>
              <w:t>工（包括有毒化合物的生产）、塑料、橡胶制品及加工、</w:t>
            </w:r>
            <w:r>
              <w:rPr>
                <w:rFonts w:hint="default" w:ascii="Times New Roman" w:hAnsi="Times New Roman" w:cs="Times New Roman"/>
                <w:snapToGrid/>
                <w:spacing w:val="0"/>
                <w:w w:val="100"/>
                <w:kern w:val="21"/>
                <w:highlight w:val="none"/>
              </w:rPr>
              <w:t>人造纤维、油漆、农药、化肥等排放有毒气体的生产单位，不小于1000米；</w:t>
            </w:r>
          </w:p>
          <w:p w14:paraId="67BAD79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二、距屠宰场、集中垃圾堆场、污水处理站等单位，不小于500米；</w:t>
            </w:r>
          </w:p>
          <w:p w14:paraId="458064B2">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三、距砖瓦厂、混凝土及石膏制品厂等粉尘污染源，不小于100米。</w:t>
            </w:r>
          </w:p>
        </w:tc>
      </w:tr>
      <w:tr w14:paraId="4894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99" w:hRule="atLeast"/>
          <w:jc w:val="center"/>
        </w:trPr>
        <w:tc>
          <w:tcPr>
            <w:tcW w:w="652" w:type="dxa"/>
            <w:shd w:val="clear" w:color="auto" w:fill="auto"/>
            <w:vAlign w:val="center"/>
          </w:tcPr>
          <w:p w14:paraId="4B7C450F">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30</w:t>
            </w:r>
          </w:p>
        </w:tc>
        <w:tc>
          <w:tcPr>
            <w:tcW w:w="1928" w:type="dxa"/>
            <w:vAlign w:val="center"/>
          </w:tcPr>
          <w:p w14:paraId="09DDB761">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幼儿园</w:t>
            </w:r>
          </w:p>
        </w:tc>
        <w:tc>
          <w:tcPr>
            <w:tcW w:w="2551" w:type="dxa"/>
            <w:vAlign w:val="center"/>
          </w:tcPr>
          <w:p w14:paraId="3B1CBC20">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不得建在高层建筑内，</w:t>
            </w:r>
            <w:r>
              <w:rPr>
                <w:rFonts w:hint="default" w:ascii="Times New Roman" w:hAnsi="Times New Roman" w:eastAsia="Arial" w:cs="Times New Roman"/>
                <w:snapToGrid/>
                <w:spacing w:val="0"/>
                <w:w w:val="100"/>
                <w:kern w:val="21"/>
                <w:highlight w:val="none"/>
              </w:rPr>
              <w:t>3</w:t>
            </w:r>
            <w:r>
              <w:rPr>
                <w:rFonts w:hint="default" w:ascii="Times New Roman" w:hAnsi="Times New Roman" w:cs="Times New Roman"/>
                <w:snapToGrid/>
                <w:spacing w:val="0"/>
                <w:w w:val="100"/>
                <w:kern w:val="21"/>
                <w:highlight w:val="none"/>
              </w:rPr>
              <w:t>班及以下规</w:t>
            </w:r>
            <w:r>
              <w:rPr>
                <w:rFonts w:hint="default" w:ascii="Times New Roman" w:hAnsi="Times New Roman" w:cs="Times New Roman"/>
                <w:snapToGrid/>
                <w:spacing w:val="0"/>
                <w:w w:val="100"/>
                <w:kern w:val="21"/>
                <w:highlight w:val="none"/>
              </w:rPr>
              <w:t>模幼儿园可设在多层公共建筑内的一</w:t>
            </w:r>
            <w:r>
              <w:rPr>
                <w:rFonts w:hint="default" w:ascii="Times New Roman" w:hAnsi="Times New Roman" w:cs="Times New Roman"/>
                <w:snapToGrid/>
                <w:spacing w:val="0"/>
                <w:w w:val="100"/>
                <w:kern w:val="21"/>
                <w:highlight w:val="none"/>
              </w:rPr>
              <w:t>至三层，应有独立院落和出入口，</w:t>
            </w:r>
            <w:r>
              <w:rPr>
                <w:rFonts w:hint="default" w:ascii="Times New Roman" w:hAnsi="Times New Roman" w:eastAsia="Arial" w:cs="Times New Roman"/>
                <w:snapToGrid/>
                <w:spacing w:val="0"/>
                <w:w w:val="100"/>
                <w:kern w:val="21"/>
                <w:highlight w:val="none"/>
              </w:rPr>
              <w:t>3</w:t>
            </w:r>
            <w:r>
              <w:rPr>
                <w:rFonts w:hint="default" w:ascii="Times New Roman" w:hAnsi="Times New Roman" w:cs="Times New Roman"/>
                <w:snapToGrid/>
                <w:spacing w:val="0"/>
                <w:w w:val="100"/>
                <w:kern w:val="21"/>
                <w:highlight w:val="none"/>
              </w:rPr>
              <w:t>班以上规模幼儿园不应设在多层公共</w:t>
            </w:r>
            <w:r>
              <w:rPr>
                <w:rFonts w:hint="default" w:ascii="Times New Roman" w:hAnsi="Times New Roman" w:cs="Times New Roman"/>
                <w:snapToGrid/>
                <w:spacing w:val="0"/>
                <w:w w:val="100"/>
                <w:kern w:val="21"/>
                <w:highlight w:val="none"/>
              </w:rPr>
              <w:t>建筑内。</w:t>
            </w:r>
          </w:p>
        </w:tc>
        <w:tc>
          <w:tcPr>
            <w:tcW w:w="10091" w:type="dxa"/>
            <w:vAlign w:val="center"/>
          </w:tcPr>
          <w:p w14:paraId="068D09E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《幼儿园建设标准》（建标175-2016）</w:t>
            </w:r>
          </w:p>
          <w:p w14:paraId="5C03E0E0">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第三章选址与规划布局第十二条幼儿园选址应符合下列原则：</w:t>
            </w:r>
          </w:p>
          <w:p w14:paraId="4917C972">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一、选择地质条件较好、环境适宜、空气流通、日照充足、交</w:t>
            </w:r>
            <w:r>
              <w:rPr>
                <w:rFonts w:hint="default" w:ascii="Times New Roman" w:hAnsi="Times New Roman" w:cs="Times New Roman"/>
                <w:snapToGrid/>
                <w:spacing w:val="0"/>
                <w:w w:val="100"/>
                <w:kern w:val="21"/>
                <w:highlight w:val="none"/>
              </w:rPr>
              <w:t>通方便、场地平整、排水通畅、基础设施完</w:t>
            </w:r>
            <w:r>
              <w:rPr>
                <w:rFonts w:hint="default" w:ascii="Times New Roman" w:hAnsi="Times New Roman" w:cs="Times New Roman"/>
                <w:snapToGrid/>
                <w:spacing w:val="0"/>
                <w:w w:val="100"/>
                <w:kern w:val="21"/>
                <w:highlight w:val="none"/>
              </w:rPr>
              <w:t>善、周边绿色植被丰富、符合卫生和环保要求的宜建地带。</w:t>
            </w:r>
          </w:p>
          <w:p w14:paraId="2B3FB547">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二、必须避开地震危险地段、可能发生地质灾害和洪水灾害的区域等不安</w:t>
            </w:r>
            <w:r>
              <w:rPr>
                <w:rFonts w:hint="default" w:ascii="Times New Roman" w:hAnsi="Times New Roman" w:cs="Times New Roman"/>
                <w:snapToGrid/>
                <w:spacing w:val="0"/>
                <w:w w:val="100"/>
                <w:kern w:val="21"/>
                <w:highlight w:val="none"/>
              </w:rPr>
              <w:t>全地带，避开输油、输气管道和高压供电走廊等。</w:t>
            </w:r>
          </w:p>
          <w:p w14:paraId="3D770B46">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三、必须与铁路、高速公路、机场及飞机起降航线</w:t>
            </w:r>
            <w:r>
              <w:rPr>
                <w:rFonts w:hint="default" w:ascii="Times New Roman" w:hAnsi="Times New Roman" w:cs="Times New Roman"/>
                <w:snapToGrid/>
                <w:spacing w:val="0"/>
                <w:w w:val="100"/>
                <w:kern w:val="21"/>
                <w:highlight w:val="none"/>
              </w:rPr>
              <w:t>有足够的安全、卫生防护距离。应避开主要交通干道、建筑的阴影区等。</w:t>
            </w:r>
          </w:p>
          <w:p w14:paraId="2734474F">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四、不应与集贸市场、娱乐场所、医院传染病房、</w:t>
            </w:r>
            <w:r>
              <w:rPr>
                <w:rFonts w:hint="default" w:ascii="Times New Roman" w:hAnsi="Times New Roman" w:cs="Times New Roman"/>
                <w:snapToGrid/>
                <w:spacing w:val="0"/>
                <w:w w:val="100"/>
                <w:kern w:val="21"/>
                <w:highlight w:val="none"/>
              </w:rPr>
              <w:t>太平间、殡仪馆、垃圾中转站及污水处理站等喧闹脏乱、</w:t>
            </w:r>
            <w:r>
              <w:rPr>
                <w:rFonts w:hint="default" w:ascii="Times New Roman" w:hAnsi="Times New Roman" w:cs="Times New Roman"/>
                <w:snapToGrid/>
                <w:spacing w:val="0"/>
                <w:w w:val="100"/>
                <w:kern w:val="21"/>
                <w:highlight w:val="none"/>
              </w:rPr>
              <w:t>不利于幼儿身心健康的场所毗邻；不应与生产经营贮藏有毒有害、易燃易爆物品等危及幼儿安全的场所毗邻；</w:t>
            </w:r>
            <w:r>
              <w:rPr>
                <w:rFonts w:hint="default" w:ascii="Times New Roman" w:hAnsi="Times New Roman" w:cs="Times New Roman"/>
                <w:snapToGrid/>
                <w:spacing w:val="0"/>
                <w:w w:val="100"/>
                <w:kern w:val="21"/>
                <w:highlight w:val="none"/>
              </w:rPr>
              <w:t>不应与通信发射塔</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台</w:t>
            </w:r>
            <w:r>
              <w:rPr>
                <w:rFonts w:hint="default" w:ascii="Times New Roman" w:hAnsi="Times New Roman" w:cs="Times New Roman"/>
                <w:snapToGrid/>
                <w:spacing w:val="0"/>
                <w:w w:val="100"/>
                <w:kern w:val="21"/>
                <w:highlight w:val="none"/>
                <w:lang w:eastAsia="zh-CN"/>
              </w:rPr>
              <w:t>）</w:t>
            </w:r>
            <w:r>
              <w:rPr>
                <w:rFonts w:hint="default" w:ascii="Times New Roman" w:hAnsi="Times New Roman" w:cs="Times New Roman"/>
                <w:snapToGrid/>
                <w:spacing w:val="0"/>
                <w:w w:val="100"/>
                <w:kern w:val="21"/>
                <w:highlight w:val="none"/>
              </w:rPr>
              <w:t>等有较强电磁波辐射的场所毗邻。</w:t>
            </w:r>
          </w:p>
          <w:p w14:paraId="100E7004">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五、幼儿园不得建在高层建筑内。3班及以</w:t>
            </w:r>
            <w:r>
              <w:rPr>
                <w:rFonts w:hint="default" w:ascii="Times New Roman" w:hAnsi="Times New Roman" w:cs="Times New Roman"/>
                <w:snapToGrid/>
                <w:spacing w:val="0"/>
                <w:w w:val="100"/>
                <w:kern w:val="21"/>
                <w:highlight w:val="none"/>
              </w:rPr>
              <w:t>下规模幼儿园可设在多层公共建筑内的一至三层，应有独立院落和出入口，室外游戏场地应有防护设施。3班以上规模幼儿园不应设在多层公共建筑内。</w:t>
            </w:r>
          </w:p>
          <w:p w14:paraId="21B5C4C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六、农村幼儿园宜设在集镇或毗邻乡村中小学，应避开养殖场、屠宰场、垃圾填埋场及水面等不良环境。</w:t>
            </w:r>
          </w:p>
        </w:tc>
      </w:tr>
      <w:tr w14:paraId="7918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652" w:type="dxa"/>
            <w:shd w:val="clear" w:color="auto" w:fill="auto"/>
            <w:vAlign w:val="center"/>
          </w:tcPr>
          <w:p w14:paraId="7C67D46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lang w:val="en-US" w:eastAsia="zh-CN"/>
              </w:rPr>
              <w:t>3</w:t>
            </w:r>
            <w:r>
              <w:rPr>
                <w:rFonts w:hint="default" w:ascii="Times New Roman" w:hAnsi="Times New Roman" w:cs="Times New Roman"/>
                <w:snapToGrid/>
                <w:spacing w:val="0"/>
                <w:w w:val="100"/>
                <w:kern w:val="21"/>
                <w:highlight w:val="none"/>
              </w:rPr>
              <w:t>1</w:t>
            </w:r>
          </w:p>
        </w:tc>
        <w:tc>
          <w:tcPr>
            <w:tcW w:w="1928" w:type="dxa"/>
            <w:vAlign w:val="center"/>
          </w:tcPr>
          <w:p w14:paraId="6B1E0A4F">
            <w:pPr>
              <w:pStyle w:val="10"/>
              <w:keepNext w:val="0"/>
              <w:keepLines/>
              <w:pageBreakBefore w:val="0"/>
              <w:widowControl w:val="0"/>
              <w:kinsoku/>
              <w:wordWrap/>
              <w:overflowPunct/>
              <w:topLinePunct/>
              <w:autoSpaceDE/>
              <w:autoSpaceDN/>
              <w:bidi w:val="0"/>
              <w:adjustRightInd/>
              <w:snapToGrid/>
              <w:spacing w:line="280" w:lineRule="exact"/>
              <w:ind w:left="0" w:right="0" w:hanging="584"/>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民办</w:t>
            </w:r>
            <w:r>
              <w:rPr>
                <w:rFonts w:hint="default" w:ascii="Times New Roman" w:hAnsi="Times New Roman" w:cs="Times New Roman"/>
                <w:snapToGrid/>
                <w:spacing w:val="0"/>
                <w:w w:val="100"/>
                <w:kern w:val="21"/>
                <w:highlight w:val="none"/>
                <w:lang w:val="en-US" w:eastAsia="zh-CN"/>
              </w:rPr>
              <w:t xml:space="preserve">   </w:t>
            </w:r>
            <w:r>
              <w:rPr>
                <w:rFonts w:hint="default" w:ascii="Times New Roman" w:hAnsi="Times New Roman" w:cs="Times New Roman"/>
                <w:snapToGrid/>
                <w:spacing w:val="0"/>
                <w:w w:val="100"/>
                <w:kern w:val="21"/>
                <w:highlight w:val="none"/>
              </w:rPr>
              <w:t>职业培训学校办学场所</w:t>
            </w:r>
          </w:p>
        </w:tc>
        <w:tc>
          <w:tcPr>
            <w:tcW w:w="2551" w:type="dxa"/>
            <w:vAlign w:val="center"/>
          </w:tcPr>
          <w:p w14:paraId="023B23B2">
            <w:pPr>
              <w:pStyle w:val="10"/>
              <w:keepNext w:val="0"/>
              <w:keepLines/>
              <w:pageBreakBefore w:val="0"/>
              <w:widowControl w:val="0"/>
              <w:kinsoku/>
              <w:wordWrap/>
              <w:overflowPunct/>
              <w:topLinePunct/>
              <w:autoSpaceDE/>
              <w:autoSpaceDN/>
              <w:bidi w:val="0"/>
              <w:adjustRightInd/>
              <w:snapToGrid/>
              <w:spacing w:line="280" w:lineRule="exact"/>
              <w:ind w:left="0" w:right="0" w:firstLine="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民办职业培训学校不得租借临时性</w:t>
            </w:r>
            <w:r>
              <w:rPr>
                <w:rFonts w:hint="default" w:ascii="Times New Roman" w:hAnsi="Times New Roman" w:cs="Times New Roman"/>
                <w:snapToGrid/>
                <w:spacing w:val="0"/>
                <w:w w:val="100"/>
                <w:kern w:val="21"/>
                <w:highlight w:val="none"/>
              </w:rPr>
              <w:t>简易建筑；</w:t>
            </w:r>
          </w:p>
          <w:p w14:paraId="08AB91E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不得租借危房、民舍；</w:t>
            </w:r>
          </w:p>
          <w:p w14:paraId="007FBECF">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3.不得租借从事正常活动的中小学及</w:t>
            </w:r>
            <w:r>
              <w:rPr>
                <w:rFonts w:hint="default" w:ascii="Times New Roman" w:hAnsi="Times New Roman" w:cs="Times New Roman"/>
                <w:snapToGrid/>
                <w:spacing w:val="0"/>
                <w:w w:val="100"/>
                <w:kern w:val="21"/>
                <w:highlight w:val="none"/>
              </w:rPr>
              <w:t>其他学校的教学校舍。</w:t>
            </w:r>
          </w:p>
          <w:p w14:paraId="26AD0F85">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4.无危房，有良好的照明、通风条件，</w:t>
            </w:r>
            <w:r>
              <w:rPr>
                <w:rFonts w:hint="default" w:ascii="Times New Roman" w:hAnsi="Times New Roman" w:cs="Times New Roman"/>
                <w:snapToGrid/>
                <w:spacing w:val="0"/>
                <w:w w:val="100"/>
                <w:kern w:val="21"/>
                <w:highlight w:val="none"/>
              </w:rPr>
              <w:t>符合环保、劳保、安全、消防、卫生等有关规定及国家职业（工种）规定</w:t>
            </w:r>
            <w:r>
              <w:rPr>
                <w:rFonts w:hint="default" w:ascii="Times New Roman" w:hAnsi="Times New Roman" w:cs="Times New Roman"/>
                <w:snapToGrid/>
                <w:spacing w:val="0"/>
                <w:w w:val="100"/>
                <w:kern w:val="21"/>
                <w:highlight w:val="none"/>
              </w:rPr>
              <w:t>的安全规程。</w:t>
            </w:r>
          </w:p>
        </w:tc>
        <w:tc>
          <w:tcPr>
            <w:tcW w:w="10091" w:type="dxa"/>
            <w:vAlign w:val="center"/>
          </w:tcPr>
          <w:p w14:paraId="73D260B1">
            <w:pPr>
              <w:pStyle w:val="10"/>
              <w:keepNext w:val="0"/>
              <w:keepLines/>
              <w:pageBreakBefore w:val="0"/>
              <w:widowControl w:val="0"/>
              <w:kinsoku/>
              <w:wordWrap/>
              <w:overflowPunct/>
              <w:topLinePunct/>
              <w:autoSpaceDE/>
              <w:autoSpaceDN/>
              <w:bidi w:val="0"/>
              <w:adjustRightInd/>
              <w:snapToGrid/>
              <w:spacing w:line="280" w:lineRule="exact"/>
              <w:ind w:left="0" w:right="0" w:hanging="14"/>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《关于印发黑龙江省各类民办教育机构设置标准的通知》（黑教联〔</w:t>
            </w:r>
            <w:r>
              <w:rPr>
                <w:rFonts w:hint="default" w:ascii="Times New Roman" w:hAnsi="Times New Roman" w:cs="Times New Roman"/>
                <w:b/>
                <w:bCs/>
                <w:snapToGrid/>
                <w:spacing w:val="0"/>
                <w:w w:val="100"/>
                <w:kern w:val="21"/>
                <w:highlight w:val="none"/>
              </w:rPr>
              <w:t>2010〕11号）中《黑龙江省民办职业培</w:t>
            </w:r>
            <w:r>
              <w:rPr>
                <w:rFonts w:hint="default" w:ascii="Times New Roman" w:hAnsi="Times New Roman" w:cs="Times New Roman"/>
                <w:b/>
                <w:bCs/>
                <w:snapToGrid/>
                <w:spacing w:val="0"/>
                <w:w w:val="100"/>
                <w:kern w:val="21"/>
                <w:highlight w:val="none"/>
              </w:rPr>
              <w:t>训学校设置标准》</w:t>
            </w:r>
          </w:p>
          <w:p w14:paraId="428559A3">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第六条：民办职业培训学校不得租借临时性简易建筑；不得租借危房、民舍；不</w:t>
            </w:r>
            <w:r>
              <w:rPr>
                <w:rFonts w:hint="default" w:ascii="Times New Roman" w:hAnsi="Times New Roman" w:cs="Times New Roman"/>
                <w:snapToGrid/>
                <w:spacing w:val="0"/>
                <w:w w:val="100"/>
                <w:kern w:val="21"/>
                <w:highlight w:val="none"/>
              </w:rPr>
              <w:t>得租借从事正常活动的中小学及其他学校的教学校舍。无危房，有良好的照明、通风条件，符合环保、劳保、安全、消防、卫生等有关</w:t>
            </w:r>
            <w:r>
              <w:rPr>
                <w:rFonts w:hint="default" w:ascii="Times New Roman" w:hAnsi="Times New Roman" w:cs="Times New Roman"/>
                <w:snapToGrid/>
                <w:spacing w:val="0"/>
                <w:w w:val="100"/>
                <w:kern w:val="21"/>
                <w:highlight w:val="none"/>
              </w:rPr>
              <w:t>规定及国家职业（工种）规定的安全规程。</w:t>
            </w:r>
          </w:p>
        </w:tc>
      </w:tr>
      <w:tr w14:paraId="4D56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78" w:hRule="atLeast"/>
          <w:jc w:val="center"/>
        </w:trPr>
        <w:tc>
          <w:tcPr>
            <w:tcW w:w="652" w:type="dxa"/>
            <w:shd w:val="clear" w:color="auto" w:fill="auto"/>
            <w:vAlign w:val="center"/>
          </w:tcPr>
          <w:p w14:paraId="057E8EDE">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32</w:t>
            </w:r>
          </w:p>
        </w:tc>
        <w:tc>
          <w:tcPr>
            <w:tcW w:w="1928" w:type="dxa"/>
            <w:vAlign w:val="center"/>
          </w:tcPr>
          <w:p w14:paraId="1DD8D47E">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棺材等土葬用品销售</w:t>
            </w:r>
          </w:p>
        </w:tc>
        <w:tc>
          <w:tcPr>
            <w:tcW w:w="2551" w:type="dxa"/>
            <w:vAlign w:val="center"/>
          </w:tcPr>
          <w:p w14:paraId="0257F47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实行火葬的地区</w:t>
            </w:r>
          </w:p>
        </w:tc>
        <w:tc>
          <w:tcPr>
            <w:tcW w:w="10091" w:type="dxa"/>
            <w:vAlign w:val="center"/>
          </w:tcPr>
          <w:p w14:paraId="029EE54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《殡葬管理条例》（2012年修订）</w:t>
            </w:r>
          </w:p>
          <w:p w14:paraId="2AA1F579">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第十七条禁止制造、销售封建迷信的丧葬用品。禁止在实行火葬的地区出售棺材等土葬用品。</w:t>
            </w:r>
          </w:p>
        </w:tc>
      </w:tr>
      <w:tr w14:paraId="350E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19" w:hRule="atLeast"/>
          <w:jc w:val="center"/>
        </w:trPr>
        <w:tc>
          <w:tcPr>
            <w:tcW w:w="652" w:type="dxa"/>
            <w:shd w:val="clear" w:color="auto" w:fill="auto"/>
            <w:vAlign w:val="center"/>
          </w:tcPr>
          <w:p w14:paraId="0A06050F">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33</w:t>
            </w:r>
          </w:p>
        </w:tc>
        <w:tc>
          <w:tcPr>
            <w:tcW w:w="1928" w:type="dxa"/>
            <w:vAlign w:val="center"/>
          </w:tcPr>
          <w:p w14:paraId="39B2BF77">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实验动物生产、实验场</w:t>
            </w:r>
            <w:r>
              <w:rPr>
                <w:rFonts w:hint="default" w:ascii="Times New Roman" w:hAnsi="Times New Roman" w:cs="Times New Roman"/>
                <w:snapToGrid/>
                <w:spacing w:val="0"/>
                <w:w w:val="100"/>
                <w:kern w:val="21"/>
                <w:highlight w:val="none"/>
              </w:rPr>
              <w:t>所</w:t>
            </w:r>
          </w:p>
        </w:tc>
        <w:tc>
          <w:tcPr>
            <w:tcW w:w="2551" w:type="dxa"/>
            <w:vAlign w:val="center"/>
          </w:tcPr>
          <w:p w14:paraId="363CE45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1.应避开自然疫源地；</w:t>
            </w:r>
          </w:p>
          <w:p w14:paraId="480A3429">
            <w:pPr>
              <w:pStyle w:val="10"/>
              <w:keepNext w:val="0"/>
              <w:keepLines/>
              <w:pageBreakBefore w:val="0"/>
              <w:widowControl w:val="0"/>
              <w:kinsoku/>
              <w:wordWrap/>
              <w:overflowPunct/>
              <w:topLinePunct/>
              <w:autoSpaceDE/>
              <w:autoSpaceDN/>
              <w:bidi w:val="0"/>
              <w:adjustRightInd/>
              <w:snapToGrid/>
              <w:spacing w:line="280" w:lineRule="exact"/>
              <w:ind w:left="0" w:right="0" w:hanging="9"/>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2.可能产生交叉感染的动物饲养场所</w:t>
            </w:r>
            <w:r>
              <w:rPr>
                <w:rFonts w:hint="default" w:ascii="Times New Roman" w:hAnsi="Times New Roman" w:cs="Times New Roman"/>
                <w:snapToGrid/>
                <w:spacing w:val="0"/>
                <w:w w:val="100"/>
                <w:kern w:val="21"/>
                <w:highlight w:val="none"/>
              </w:rPr>
              <w:t>附近；</w:t>
            </w:r>
          </w:p>
          <w:p w14:paraId="4ED8CFB9">
            <w:pPr>
              <w:pStyle w:val="10"/>
              <w:keepNext w:val="0"/>
              <w:keepLines/>
              <w:pageBreakBefore w:val="0"/>
              <w:widowControl w:val="0"/>
              <w:kinsoku/>
              <w:wordWrap/>
              <w:overflowPunct/>
              <w:topLinePunct/>
              <w:autoSpaceDE/>
              <w:autoSpaceDN/>
              <w:bidi w:val="0"/>
              <w:adjustRightInd/>
              <w:snapToGrid/>
              <w:spacing w:line="280" w:lineRule="exact"/>
              <w:ind w:left="0" w:right="0" w:firstLine="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3.铁路、码头、飞机场、交通要道、</w:t>
            </w:r>
            <w:r>
              <w:rPr>
                <w:rFonts w:hint="default" w:ascii="Times New Roman" w:hAnsi="Times New Roman" w:cs="Times New Roman"/>
                <w:snapToGrid/>
                <w:spacing w:val="0"/>
                <w:w w:val="100"/>
                <w:kern w:val="21"/>
                <w:highlight w:val="none"/>
              </w:rPr>
              <w:t>工厂、贮仓、堆场等区域附近。</w:t>
            </w:r>
          </w:p>
        </w:tc>
        <w:tc>
          <w:tcPr>
            <w:tcW w:w="10091" w:type="dxa"/>
            <w:vAlign w:val="center"/>
          </w:tcPr>
          <w:p w14:paraId="0355B50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《实验动物环境及设施》（GB14925-2010）</w:t>
            </w:r>
          </w:p>
          <w:p w14:paraId="5D1434F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4.2.1应避开自然疫源地。生产设施宜远离可能产生交叉感染的动物饲养场所。</w:t>
            </w:r>
          </w:p>
          <w:p w14:paraId="7DF1FB6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4.2.2宜选在环境空气质量及自然环境条件较好的区域。</w:t>
            </w:r>
          </w:p>
          <w:p w14:paraId="71EFF167">
            <w:pPr>
              <w:pStyle w:val="10"/>
              <w:keepNext w:val="0"/>
              <w:keepLines/>
              <w:pageBreakBefore w:val="0"/>
              <w:widowControl w:val="0"/>
              <w:kinsoku/>
              <w:wordWrap/>
              <w:overflowPunct/>
              <w:topLinePunct/>
              <w:autoSpaceDE/>
              <w:autoSpaceDN/>
              <w:bidi w:val="0"/>
              <w:adjustRightInd/>
              <w:snapToGrid/>
              <w:spacing w:line="280" w:lineRule="exact"/>
              <w:ind w:left="0" w:right="0" w:hanging="14"/>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4.2.3宜远离有严重空气污染、振动或噪声干扰的铁路、码头、飞机场、交通要道、工厂、贮仓、堆场等</w:t>
            </w:r>
            <w:r>
              <w:rPr>
                <w:rFonts w:hint="default" w:ascii="Times New Roman" w:hAnsi="Times New Roman" w:cs="Times New Roman"/>
                <w:snapToGrid/>
                <w:spacing w:val="0"/>
                <w:w w:val="100"/>
                <w:kern w:val="21"/>
                <w:highlight w:val="none"/>
              </w:rPr>
              <w:t>区域。</w:t>
            </w:r>
          </w:p>
        </w:tc>
      </w:tr>
      <w:tr w14:paraId="79B2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87" w:hRule="atLeast"/>
          <w:jc w:val="center"/>
        </w:trPr>
        <w:tc>
          <w:tcPr>
            <w:tcW w:w="652" w:type="dxa"/>
            <w:shd w:val="clear" w:color="auto" w:fill="auto"/>
            <w:vAlign w:val="center"/>
          </w:tcPr>
          <w:p w14:paraId="53375455">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34</w:t>
            </w:r>
          </w:p>
        </w:tc>
        <w:tc>
          <w:tcPr>
            <w:tcW w:w="1928" w:type="dxa"/>
            <w:vAlign w:val="center"/>
          </w:tcPr>
          <w:p w14:paraId="0A6B6D6C">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小型露天采石场生产</w:t>
            </w:r>
          </w:p>
        </w:tc>
        <w:tc>
          <w:tcPr>
            <w:tcW w:w="2551" w:type="dxa"/>
            <w:vAlign w:val="center"/>
          </w:tcPr>
          <w:p w14:paraId="52F6F0C0">
            <w:pPr>
              <w:pStyle w:val="10"/>
              <w:keepNext w:val="0"/>
              <w:keepLines/>
              <w:pageBreakBefore w:val="0"/>
              <w:widowControl w:val="0"/>
              <w:kinsoku/>
              <w:wordWrap/>
              <w:overflowPunct/>
              <w:topLinePunct/>
              <w:autoSpaceDE/>
              <w:autoSpaceDN/>
              <w:bidi w:val="0"/>
              <w:adjustRightInd/>
              <w:snapToGrid/>
              <w:spacing w:line="280" w:lineRule="exact"/>
              <w:ind w:left="0" w:right="0" w:firstLine="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1.相邻的采石场开采范围之间距离不</w:t>
            </w:r>
            <w:r>
              <w:rPr>
                <w:rFonts w:hint="default" w:ascii="Times New Roman" w:hAnsi="Times New Roman" w:cs="Times New Roman"/>
                <w:snapToGrid/>
                <w:spacing w:val="0"/>
                <w:w w:val="100"/>
                <w:kern w:val="21"/>
                <w:highlight w:val="none"/>
              </w:rPr>
              <w:t>足300米；</w:t>
            </w:r>
          </w:p>
          <w:p w14:paraId="0DA905F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2.300米内有生产生活设施。</w:t>
            </w:r>
          </w:p>
        </w:tc>
        <w:tc>
          <w:tcPr>
            <w:tcW w:w="10091" w:type="dxa"/>
            <w:vAlign w:val="center"/>
          </w:tcPr>
          <w:p w14:paraId="1DC3C70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《小型露天采石场安全管理与监督检查规定》（原国家安监</w:t>
            </w:r>
            <w:r>
              <w:rPr>
                <w:rFonts w:hint="default" w:ascii="Times New Roman" w:hAnsi="Times New Roman" w:cs="Times New Roman"/>
                <w:b/>
                <w:bCs/>
                <w:snapToGrid/>
                <w:spacing w:val="0"/>
                <w:w w:val="100"/>
                <w:kern w:val="21"/>
                <w:highlight w:val="none"/>
              </w:rPr>
              <w:t>总局令第39号）</w:t>
            </w:r>
          </w:p>
          <w:p w14:paraId="6F274C24">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第十二条相邻的采石场开采范围之间最小距离应当大</w:t>
            </w:r>
            <w:r>
              <w:rPr>
                <w:rFonts w:hint="default" w:ascii="Times New Roman" w:hAnsi="Times New Roman" w:cs="Times New Roman"/>
                <w:snapToGrid/>
                <w:spacing w:val="0"/>
                <w:w w:val="100"/>
                <w:kern w:val="21"/>
                <w:highlight w:val="none"/>
              </w:rPr>
              <w:t>于300米。</w:t>
            </w:r>
          </w:p>
          <w:p w14:paraId="14798F9C">
            <w:pPr>
              <w:pStyle w:val="10"/>
              <w:keepNext w:val="0"/>
              <w:keepLines/>
              <w:pageBreakBefore w:val="0"/>
              <w:widowControl w:val="0"/>
              <w:kinsoku/>
              <w:wordWrap/>
              <w:overflowPunct/>
              <w:topLinePunct/>
              <w:autoSpaceDE/>
              <w:autoSpaceDN/>
              <w:bidi w:val="0"/>
              <w:adjustRightInd/>
              <w:snapToGrid/>
              <w:spacing w:line="280" w:lineRule="exact"/>
              <w:ind w:left="0" w:right="0" w:firstLine="397"/>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第三十一条对于未委托具备相应资质的设计单位编制开采设计或者开采方案，以及周边300米范围内存</w:t>
            </w:r>
            <w:r>
              <w:rPr>
                <w:rFonts w:hint="default" w:ascii="Times New Roman" w:hAnsi="Times New Roman" w:cs="Times New Roman"/>
                <w:snapToGrid/>
                <w:spacing w:val="0"/>
                <w:w w:val="100"/>
                <w:kern w:val="21"/>
                <w:highlight w:val="none"/>
              </w:rPr>
              <w:t>在生产生活设施的小型露天采石场，不得对其进行审查和验收。</w:t>
            </w:r>
          </w:p>
        </w:tc>
      </w:tr>
      <w:tr w14:paraId="1B76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68" w:hRule="atLeast"/>
          <w:jc w:val="center"/>
        </w:trPr>
        <w:tc>
          <w:tcPr>
            <w:tcW w:w="652" w:type="dxa"/>
            <w:shd w:val="clear" w:color="auto" w:fill="auto"/>
            <w:vAlign w:val="center"/>
          </w:tcPr>
          <w:p w14:paraId="416C9903">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35</w:t>
            </w:r>
          </w:p>
        </w:tc>
        <w:tc>
          <w:tcPr>
            <w:tcW w:w="1928" w:type="dxa"/>
            <w:vAlign w:val="center"/>
          </w:tcPr>
          <w:p w14:paraId="13F56C4F">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房屋租赁经营场所</w:t>
            </w:r>
          </w:p>
        </w:tc>
        <w:tc>
          <w:tcPr>
            <w:tcW w:w="2551" w:type="dxa"/>
            <w:vAlign w:val="center"/>
          </w:tcPr>
          <w:p w14:paraId="39179FE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1.属于违法建筑的；</w:t>
            </w:r>
          </w:p>
          <w:p w14:paraId="1E9FD139">
            <w:pPr>
              <w:pStyle w:val="10"/>
              <w:keepNext w:val="0"/>
              <w:keepLines/>
              <w:pageBreakBefore w:val="0"/>
              <w:widowControl w:val="0"/>
              <w:kinsoku/>
              <w:wordWrap/>
              <w:overflowPunct/>
              <w:topLinePunct/>
              <w:autoSpaceDE/>
              <w:autoSpaceDN/>
              <w:bidi w:val="0"/>
              <w:adjustRightInd/>
              <w:snapToGrid/>
              <w:spacing w:line="280" w:lineRule="exact"/>
              <w:ind w:left="0" w:right="0" w:firstLine="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2.不符合安全、防灾等工程建设强制</w:t>
            </w:r>
            <w:r>
              <w:rPr>
                <w:rFonts w:hint="default" w:ascii="Times New Roman" w:hAnsi="Times New Roman" w:cs="Times New Roman"/>
                <w:snapToGrid/>
                <w:spacing w:val="0"/>
                <w:w w:val="100"/>
                <w:kern w:val="21"/>
                <w:highlight w:val="none"/>
              </w:rPr>
              <w:t>性标准的；</w:t>
            </w:r>
          </w:p>
          <w:p w14:paraId="7789F22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3.违反规定改变房屋使用性质的；</w:t>
            </w:r>
          </w:p>
          <w:p w14:paraId="5C557C6D">
            <w:pPr>
              <w:pStyle w:val="10"/>
              <w:keepNext w:val="0"/>
              <w:keepLines/>
              <w:pageBreakBefore w:val="0"/>
              <w:widowControl w:val="0"/>
              <w:kinsoku/>
              <w:wordWrap/>
              <w:overflowPunct/>
              <w:topLinePunct/>
              <w:autoSpaceDE/>
              <w:autoSpaceDN/>
              <w:bidi w:val="0"/>
              <w:adjustRightInd/>
              <w:snapToGrid/>
              <w:spacing w:line="280" w:lineRule="exact"/>
              <w:ind w:left="0" w:right="0" w:firstLine="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4.法律、法规规定禁止出租的其他情</w:t>
            </w:r>
            <w:r>
              <w:rPr>
                <w:rFonts w:hint="default" w:ascii="Times New Roman" w:hAnsi="Times New Roman" w:cs="Times New Roman"/>
                <w:snapToGrid/>
                <w:spacing w:val="0"/>
                <w:w w:val="100"/>
                <w:kern w:val="21"/>
                <w:highlight w:val="none"/>
              </w:rPr>
              <w:t>形。</w:t>
            </w:r>
          </w:p>
        </w:tc>
        <w:tc>
          <w:tcPr>
            <w:tcW w:w="10091" w:type="dxa"/>
            <w:vAlign w:val="center"/>
          </w:tcPr>
          <w:p w14:paraId="2281537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《商品房租赁管理办法》（住房和城乡建设部令第6号）</w:t>
            </w:r>
          </w:p>
          <w:p w14:paraId="60DF36F6">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第六条有下列情形之一的房屋不得出租：</w:t>
            </w:r>
          </w:p>
          <w:p w14:paraId="0322803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（一）属于违法建筑的；</w:t>
            </w:r>
          </w:p>
          <w:p w14:paraId="14574E0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（二）不符合安全、防灾等工程建设强制性标准的；</w:t>
            </w:r>
          </w:p>
          <w:p w14:paraId="683A386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（三）违反规定改变房屋使用性质的；</w:t>
            </w:r>
          </w:p>
          <w:p w14:paraId="09C3951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（四）法律、法规规定禁止出租的其他情形。</w:t>
            </w:r>
          </w:p>
        </w:tc>
      </w:tr>
      <w:tr w14:paraId="707D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04" w:hRule="atLeast"/>
          <w:jc w:val="center"/>
        </w:trPr>
        <w:tc>
          <w:tcPr>
            <w:tcW w:w="652" w:type="dxa"/>
            <w:shd w:val="clear" w:color="auto" w:fill="auto"/>
            <w:vAlign w:val="center"/>
          </w:tcPr>
          <w:p w14:paraId="5040BB20">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36</w:t>
            </w:r>
          </w:p>
        </w:tc>
        <w:tc>
          <w:tcPr>
            <w:tcW w:w="1928" w:type="dxa"/>
            <w:vAlign w:val="center"/>
          </w:tcPr>
          <w:p w14:paraId="1D4E3FD0">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农作物种植</w:t>
            </w:r>
          </w:p>
        </w:tc>
        <w:tc>
          <w:tcPr>
            <w:tcW w:w="2551" w:type="dxa"/>
            <w:vAlign w:val="center"/>
          </w:tcPr>
          <w:p w14:paraId="380DA30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二十五度以上陡坡地</w:t>
            </w:r>
          </w:p>
        </w:tc>
        <w:tc>
          <w:tcPr>
            <w:tcW w:w="10091" w:type="dxa"/>
            <w:vAlign w:val="center"/>
          </w:tcPr>
          <w:p w14:paraId="58C1393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《中华人民共和国水土保持法》（2011年</w:t>
            </w:r>
            <w:r>
              <w:rPr>
                <w:rFonts w:hint="default" w:ascii="Times New Roman" w:hAnsi="Times New Roman" w:cs="Times New Roman"/>
                <w:b/>
                <w:bCs/>
                <w:snapToGrid/>
                <w:spacing w:val="0"/>
                <w:w w:val="100"/>
                <w:kern w:val="21"/>
                <w:highlight w:val="none"/>
              </w:rPr>
              <w:t>3月1日起施行）</w:t>
            </w:r>
          </w:p>
          <w:p w14:paraId="6FAF122F">
            <w:pPr>
              <w:pStyle w:val="10"/>
              <w:keepNext w:val="0"/>
              <w:keepLines/>
              <w:pageBreakBefore w:val="0"/>
              <w:widowControl w:val="0"/>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第二十条禁止在二十五度以上陡坡地开垦种植农作</w:t>
            </w:r>
            <w:r>
              <w:rPr>
                <w:rFonts w:hint="default" w:ascii="Times New Roman" w:hAnsi="Times New Roman" w:cs="Times New Roman"/>
                <w:snapToGrid/>
                <w:spacing w:val="0"/>
                <w:w w:val="100"/>
                <w:kern w:val="21"/>
                <w:highlight w:val="none"/>
              </w:rPr>
              <w:t>物。在二十五度以上陡坡地种植经济林的，应当科学</w:t>
            </w:r>
            <w:r>
              <w:rPr>
                <w:rFonts w:hint="default" w:ascii="Times New Roman" w:hAnsi="Times New Roman" w:cs="Times New Roman"/>
                <w:snapToGrid/>
                <w:spacing w:val="0"/>
                <w:w w:val="100"/>
                <w:kern w:val="21"/>
                <w:highlight w:val="none"/>
              </w:rPr>
              <w:t>选择树种，合理确定规模，采取水土保持措施，防止</w:t>
            </w:r>
            <w:r>
              <w:rPr>
                <w:rFonts w:hint="default" w:ascii="Times New Roman" w:hAnsi="Times New Roman" w:cs="Times New Roman"/>
                <w:snapToGrid/>
                <w:spacing w:val="0"/>
                <w:w w:val="100"/>
                <w:kern w:val="21"/>
                <w:highlight w:val="none"/>
              </w:rPr>
              <w:t>造成水土流失。</w:t>
            </w:r>
          </w:p>
        </w:tc>
      </w:tr>
      <w:tr w14:paraId="55B1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4" w:hRule="atLeast"/>
          <w:jc w:val="center"/>
        </w:trPr>
        <w:tc>
          <w:tcPr>
            <w:tcW w:w="652" w:type="dxa"/>
            <w:shd w:val="clear" w:color="auto" w:fill="auto"/>
            <w:vAlign w:val="center"/>
          </w:tcPr>
          <w:p w14:paraId="08BA94BB">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37</w:t>
            </w:r>
          </w:p>
        </w:tc>
        <w:tc>
          <w:tcPr>
            <w:tcW w:w="1928" w:type="dxa"/>
            <w:vAlign w:val="center"/>
          </w:tcPr>
          <w:p w14:paraId="3F31D97C">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燃煤供热</w:t>
            </w:r>
          </w:p>
        </w:tc>
        <w:tc>
          <w:tcPr>
            <w:tcW w:w="2551" w:type="dxa"/>
            <w:vAlign w:val="center"/>
          </w:tcPr>
          <w:p w14:paraId="039AF42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在集中供热管网覆盖地区，禁止新建、</w:t>
            </w:r>
            <w:r>
              <w:rPr>
                <w:rFonts w:hint="default" w:ascii="Times New Roman" w:hAnsi="Times New Roman" w:cs="Times New Roman"/>
                <w:snapToGrid/>
                <w:spacing w:val="0"/>
                <w:w w:val="100"/>
                <w:kern w:val="21"/>
                <w:highlight w:val="none"/>
              </w:rPr>
              <w:t>扩建分散燃煤供热锅炉</w:t>
            </w:r>
          </w:p>
        </w:tc>
        <w:tc>
          <w:tcPr>
            <w:tcW w:w="10091" w:type="dxa"/>
            <w:vAlign w:val="center"/>
          </w:tcPr>
          <w:p w14:paraId="5DE03C9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《中华人民共和国大气污染防治法》（2018年修正）</w:t>
            </w:r>
          </w:p>
          <w:p w14:paraId="6F956B8C">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第三十九条城市建设应当统筹规划，在燃煤供热地区，推进热电联产和集中供热。在集中</w:t>
            </w:r>
            <w:r>
              <w:rPr>
                <w:rFonts w:hint="default" w:ascii="Times New Roman" w:hAnsi="Times New Roman" w:cs="Times New Roman"/>
                <w:snapToGrid/>
                <w:spacing w:val="0"/>
                <w:w w:val="100"/>
                <w:kern w:val="21"/>
                <w:highlight w:val="none"/>
              </w:rPr>
              <w:t>供热管网覆盖地区，禁止新建、扩建分散燃煤供热锅炉；已建成的不能达标排放的燃煤供热锅炉，应当在城市人民政府规定的期限内拆除。</w:t>
            </w:r>
          </w:p>
        </w:tc>
      </w:tr>
      <w:tr w14:paraId="178B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13" w:hRule="atLeast"/>
          <w:jc w:val="center"/>
        </w:trPr>
        <w:tc>
          <w:tcPr>
            <w:tcW w:w="652" w:type="dxa"/>
            <w:shd w:val="clear" w:color="auto" w:fill="auto"/>
            <w:vAlign w:val="center"/>
          </w:tcPr>
          <w:p w14:paraId="363EF910">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38</w:t>
            </w:r>
          </w:p>
        </w:tc>
        <w:tc>
          <w:tcPr>
            <w:tcW w:w="1928" w:type="dxa"/>
            <w:vAlign w:val="center"/>
          </w:tcPr>
          <w:p w14:paraId="16900203">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爆破、打井</w:t>
            </w:r>
          </w:p>
        </w:tc>
        <w:tc>
          <w:tcPr>
            <w:tcW w:w="2551" w:type="dxa"/>
            <w:vAlign w:val="center"/>
          </w:tcPr>
          <w:p w14:paraId="3F71E2A0">
            <w:pPr>
              <w:pStyle w:val="10"/>
              <w:keepNext w:val="0"/>
              <w:keepLines/>
              <w:pageBreakBefore w:val="0"/>
              <w:widowControl w:val="0"/>
              <w:kinsoku/>
              <w:wordWrap/>
              <w:overflowPunct/>
              <w:topLinePunct/>
              <w:autoSpaceDE/>
              <w:autoSpaceDN/>
              <w:bidi w:val="0"/>
              <w:adjustRightInd/>
              <w:snapToGrid/>
              <w:spacing w:line="280" w:lineRule="exact"/>
              <w:ind w:left="0" w:right="0" w:firstLine="1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1.禁止在大坝管理和保护范围内从事</w:t>
            </w:r>
            <w:r>
              <w:rPr>
                <w:rFonts w:hint="default" w:ascii="Times New Roman" w:hAnsi="Times New Roman" w:cs="Times New Roman"/>
                <w:snapToGrid/>
                <w:spacing w:val="0"/>
                <w:w w:val="100"/>
                <w:kern w:val="21"/>
                <w:highlight w:val="none"/>
              </w:rPr>
              <w:t>爆破、打井、采石、采矿、挖沙、取</w:t>
            </w:r>
            <w:r>
              <w:rPr>
                <w:rFonts w:hint="default" w:ascii="Times New Roman" w:hAnsi="Times New Roman" w:cs="Times New Roman"/>
                <w:snapToGrid/>
                <w:spacing w:val="0"/>
                <w:w w:val="100"/>
                <w:kern w:val="21"/>
                <w:highlight w:val="none"/>
              </w:rPr>
              <w:t>土、修坟等危害大坝安全的活动。</w:t>
            </w:r>
          </w:p>
          <w:p w14:paraId="02512FB7">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2.禁止在防洪工程设施保护范围内从</w:t>
            </w:r>
            <w:r>
              <w:rPr>
                <w:rFonts w:hint="default" w:ascii="Times New Roman" w:hAnsi="Times New Roman" w:cs="Times New Roman"/>
                <w:snapToGrid/>
                <w:spacing w:val="0"/>
                <w:w w:val="100"/>
                <w:kern w:val="21"/>
                <w:highlight w:val="none"/>
              </w:rPr>
              <w:t>事爆破、打井、采石、取土等危害防</w:t>
            </w:r>
            <w:r>
              <w:rPr>
                <w:rFonts w:hint="default" w:ascii="Times New Roman" w:hAnsi="Times New Roman" w:cs="Times New Roman"/>
                <w:snapToGrid/>
                <w:spacing w:val="0"/>
                <w:w w:val="100"/>
                <w:kern w:val="21"/>
                <w:highlight w:val="none"/>
              </w:rPr>
              <w:t>洪工程设施安全的活动。</w:t>
            </w:r>
          </w:p>
        </w:tc>
        <w:tc>
          <w:tcPr>
            <w:tcW w:w="10091" w:type="dxa"/>
            <w:vAlign w:val="center"/>
          </w:tcPr>
          <w:p w14:paraId="3DB43B7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《水库大坝安全管理条例》（2018年修正）</w:t>
            </w:r>
          </w:p>
          <w:p w14:paraId="1A8CCC53">
            <w:pPr>
              <w:pStyle w:val="10"/>
              <w:keepNext w:val="0"/>
              <w:keepLines/>
              <w:pageBreakBefore w:val="0"/>
              <w:widowControl w:val="0"/>
              <w:kinsoku/>
              <w:wordWrap/>
              <w:overflowPunct/>
              <w:topLinePunct/>
              <w:autoSpaceDE/>
              <w:autoSpaceDN/>
              <w:bidi w:val="0"/>
              <w:adjustRightInd/>
              <w:snapToGrid/>
              <w:spacing w:line="280" w:lineRule="exact"/>
              <w:ind w:left="0" w:right="0" w:firstLine="398"/>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第十三条禁止在大坝管理和保护范围内进行爆破、打井、</w:t>
            </w:r>
            <w:r>
              <w:rPr>
                <w:rFonts w:hint="default" w:ascii="Times New Roman" w:hAnsi="Times New Roman" w:cs="Times New Roman"/>
                <w:snapToGrid/>
                <w:spacing w:val="0"/>
                <w:w w:val="100"/>
                <w:kern w:val="21"/>
                <w:highlight w:val="none"/>
              </w:rPr>
              <w:t>采石、采矿、挖沙、取土、修坟等危害大坝安全的活动。</w:t>
            </w:r>
          </w:p>
          <w:p w14:paraId="3FF03165">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《中华人民共和国防洪法》（2016年修正）</w:t>
            </w:r>
          </w:p>
          <w:p w14:paraId="256EC204">
            <w:pPr>
              <w:pStyle w:val="10"/>
              <w:keepNext w:val="0"/>
              <w:keepLines/>
              <w:pageBreakBefore w:val="0"/>
              <w:widowControl w:val="0"/>
              <w:kinsoku/>
              <w:wordWrap/>
              <w:overflowPunct/>
              <w:topLinePunct/>
              <w:autoSpaceDE/>
              <w:autoSpaceDN/>
              <w:bidi w:val="0"/>
              <w:adjustRightInd/>
              <w:snapToGrid/>
              <w:spacing w:line="280" w:lineRule="exact"/>
              <w:ind w:left="0" w:right="0" w:firstLine="4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第三十五条第三款在防洪工程设施保护范围内，禁止</w:t>
            </w:r>
            <w:r>
              <w:rPr>
                <w:rFonts w:hint="default" w:ascii="Times New Roman" w:hAnsi="Times New Roman" w:cs="Times New Roman"/>
                <w:snapToGrid/>
                <w:spacing w:val="0"/>
                <w:w w:val="100"/>
                <w:kern w:val="21"/>
                <w:highlight w:val="none"/>
              </w:rPr>
              <w:t>进行爆破、打井、采石、取土等危害防洪工程设施安全的活动。</w:t>
            </w:r>
          </w:p>
        </w:tc>
      </w:tr>
      <w:tr w14:paraId="08A9F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42" w:hRule="atLeast"/>
          <w:jc w:val="center"/>
        </w:trPr>
        <w:tc>
          <w:tcPr>
            <w:tcW w:w="652" w:type="dxa"/>
            <w:shd w:val="clear" w:color="auto" w:fill="auto"/>
            <w:vAlign w:val="center"/>
          </w:tcPr>
          <w:p w14:paraId="2B223C3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39</w:t>
            </w:r>
          </w:p>
        </w:tc>
        <w:tc>
          <w:tcPr>
            <w:tcW w:w="1928" w:type="dxa"/>
            <w:vAlign w:val="center"/>
          </w:tcPr>
          <w:p w14:paraId="631D47A8">
            <w:pPr>
              <w:pStyle w:val="10"/>
              <w:keepNext w:val="0"/>
              <w:keepLines/>
              <w:pageBreakBefore w:val="0"/>
              <w:widowControl w:val="0"/>
              <w:kinsoku/>
              <w:wordWrap/>
              <w:overflowPunct/>
              <w:topLinePunct/>
              <w:autoSpaceDE/>
              <w:autoSpaceDN/>
              <w:bidi w:val="0"/>
              <w:adjustRightInd/>
              <w:snapToGrid/>
              <w:spacing w:line="280" w:lineRule="exact"/>
              <w:ind w:right="0"/>
              <w:jc w:val="center"/>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建设、建造永久性</w:t>
            </w:r>
            <w:r>
              <w:rPr>
                <w:rFonts w:hint="default" w:ascii="Times New Roman" w:hAnsi="Times New Roman" w:cs="Times New Roman"/>
                <w:snapToGrid/>
                <w:spacing w:val="0"/>
                <w:w w:val="100"/>
                <w:kern w:val="21"/>
                <w:highlight w:val="none"/>
              </w:rPr>
              <w:t>建筑物</w:t>
            </w:r>
          </w:p>
        </w:tc>
        <w:tc>
          <w:tcPr>
            <w:tcW w:w="2551" w:type="dxa"/>
            <w:vAlign w:val="center"/>
          </w:tcPr>
          <w:p w14:paraId="3D9D63D6">
            <w:pPr>
              <w:pStyle w:val="10"/>
              <w:keepNext w:val="0"/>
              <w:keepLines/>
              <w:pageBreakBefore w:val="0"/>
              <w:widowControl w:val="0"/>
              <w:kinsoku/>
              <w:wordWrap/>
              <w:overflowPunct/>
              <w:topLinePunct/>
              <w:autoSpaceDE/>
              <w:autoSpaceDN/>
              <w:bidi w:val="0"/>
              <w:adjustRightInd/>
              <w:snapToGrid/>
              <w:spacing w:line="280" w:lineRule="exact"/>
              <w:ind w:left="0" w:right="0" w:firstLine="1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1.禁止在领海基点保护范围内进行工</w:t>
            </w:r>
            <w:r>
              <w:rPr>
                <w:rFonts w:hint="default" w:ascii="Times New Roman" w:hAnsi="Times New Roman" w:cs="Times New Roman"/>
                <w:snapToGrid/>
                <w:spacing w:val="0"/>
                <w:w w:val="100"/>
                <w:kern w:val="21"/>
                <w:highlight w:val="none"/>
              </w:rPr>
              <w:t>程建设以及其他可能改变该区域地形、地貌的活动</w:t>
            </w:r>
          </w:p>
          <w:p w14:paraId="275A5615">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2.禁止在临时利用的无居民海岛上建</w:t>
            </w:r>
            <w:r>
              <w:rPr>
                <w:rFonts w:hint="default" w:ascii="Times New Roman" w:hAnsi="Times New Roman" w:cs="Times New Roman"/>
                <w:snapToGrid/>
                <w:spacing w:val="0"/>
                <w:w w:val="100"/>
                <w:kern w:val="21"/>
                <w:highlight w:val="none"/>
              </w:rPr>
              <w:t>造永久性建筑物或者设施</w:t>
            </w:r>
          </w:p>
          <w:p w14:paraId="59EEC011">
            <w:pPr>
              <w:pStyle w:val="10"/>
              <w:keepNext w:val="0"/>
              <w:keepLines/>
              <w:pageBreakBefore w:val="0"/>
              <w:widowControl w:val="0"/>
              <w:kinsoku/>
              <w:wordWrap/>
              <w:overflowPunct/>
              <w:topLinePunct/>
              <w:autoSpaceDE/>
              <w:autoSpaceDN/>
              <w:bidi w:val="0"/>
              <w:adjustRightInd/>
              <w:snapToGrid/>
              <w:spacing w:line="280" w:lineRule="exact"/>
              <w:ind w:left="0" w:right="0" w:firstLine="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3.禁止在依法确定为旅游娱乐用途的</w:t>
            </w:r>
            <w:r>
              <w:rPr>
                <w:rFonts w:hint="default" w:ascii="Times New Roman" w:hAnsi="Times New Roman" w:cs="Times New Roman"/>
                <w:snapToGrid/>
                <w:spacing w:val="0"/>
                <w:w w:val="100"/>
                <w:kern w:val="21"/>
                <w:highlight w:val="none"/>
              </w:rPr>
              <w:t>无居民海岛及周边海域建造居民定居场所和从事生产性养殖活动</w:t>
            </w:r>
          </w:p>
          <w:p w14:paraId="4463FD2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4.禁止在临时使用土地上修建永久性建筑物</w:t>
            </w:r>
          </w:p>
        </w:tc>
        <w:tc>
          <w:tcPr>
            <w:tcW w:w="10091" w:type="dxa"/>
            <w:vAlign w:val="center"/>
          </w:tcPr>
          <w:p w14:paraId="7482126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《中华人民共和国海岛保护法》（2010年3月1日起施行）</w:t>
            </w:r>
          </w:p>
          <w:p w14:paraId="2506ADA2">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第三十四条临时性利用无居民海岛的，不得在所利用的海岛建造永久</w:t>
            </w:r>
            <w:r>
              <w:rPr>
                <w:rFonts w:hint="default" w:ascii="Times New Roman" w:hAnsi="Times New Roman" w:cs="Times New Roman"/>
                <w:snapToGrid/>
                <w:spacing w:val="0"/>
                <w:w w:val="100"/>
                <w:kern w:val="21"/>
                <w:highlight w:val="none"/>
              </w:rPr>
              <w:t>性建筑物或者设施。</w:t>
            </w:r>
          </w:p>
          <w:p w14:paraId="4A2EFDE9">
            <w:pPr>
              <w:pStyle w:val="10"/>
              <w:keepNext w:val="0"/>
              <w:keepLines/>
              <w:pageBreakBefore w:val="0"/>
              <w:widowControl w:val="0"/>
              <w:kinsoku/>
              <w:wordWrap/>
              <w:overflowPunct/>
              <w:topLinePunct/>
              <w:autoSpaceDE/>
              <w:autoSpaceDN/>
              <w:bidi w:val="0"/>
              <w:adjustRightInd/>
              <w:snapToGrid/>
              <w:spacing w:line="280" w:lineRule="exact"/>
              <w:ind w:left="0" w:leftChars="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第三十五条在依法确定为开展旅游活动的可利用无居民海岛及其周边海域，不得建造居民定居场所，不得从事生产性养殖活动；已经存在生产性养殖活动的，应当在编制可利用无居民海岛保护和利</w:t>
            </w:r>
            <w:r>
              <w:rPr>
                <w:rFonts w:hint="default" w:ascii="Times New Roman" w:hAnsi="Times New Roman" w:cs="Times New Roman"/>
                <w:snapToGrid/>
                <w:spacing w:val="0"/>
                <w:w w:val="100"/>
                <w:kern w:val="21"/>
                <w:highlight w:val="none"/>
              </w:rPr>
              <w:t>用规划中确定相应的污染防治措施。</w:t>
            </w:r>
          </w:p>
          <w:p w14:paraId="3856047F">
            <w:pPr>
              <w:pStyle w:val="10"/>
              <w:keepNext w:val="0"/>
              <w:keepLines/>
              <w:pageBreakBefore w:val="0"/>
              <w:widowControl w:val="0"/>
              <w:kinsoku/>
              <w:wordWrap/>
              <w:overflowPunct/>
              <w:topLinePunct/>
              <w:autoSpaceDE/>
              <w:autoSpaceDN/>
              <w:bidi w:val="0"/>
              <w:adjustRightInd/>
              <w:snapToGrid/>
              <w:spacing w:line="280" w:lineRule="exact"/>
              <w:ind w:left="0" w:right="0" w:firstLine="391" w:firstLineChars="20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第三十七条禁止在领海基点保护范围内进行工程建设以及其他可能改变该区域地形、地貌的活</w:t>
            </w:r>
            <w:r>
              <w:rPr>
                <w:rFonts w:hint="default" w:ascii="Times New Roman" w:hAnsi="Times New Roman" w:cs="Times New Roman"/>
                <w:snapToGrid/>
                <w:spacing w:val="0"/>
                <w:w w:val="100"/>
                <w:kern w:val="21"/>
                <w:highlight w:val="none"/>
              </w:rPr>
              <w:t>动。确需进行</w:t>
            </w:r>
            <w:r>
              <w:rPr>
                <w:rFonts w:hint="default" w:ascii="Times New Roman" w:hAnsi="Times New Roman" w:cs="Times New Roman"/>
                <w:snapToGrid/>
                <w:spacing w:val="0"/>
                <w:w w:val="100"/>
                <w:kern w:val="21"/>
                <w:highlight w:val="none"/>
              </w:rPr>
              <w:t>以保护领海基点为目的的工程建设的，应当经过科学论证，报国务院海洋主管部门同意后依法办理审批手续。</w:t>
            </w:r>
          </w:p>
          <w:p w14:paraId="3A7F3438">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《中华人民共和国土地管理法》（2019年修订）</w:t>
            </w:r>
          </w:p>
          <w:p w14:paraId="22922A64">
            <w:pPr>
              <w:pStyle w:val="10"/>
              <w:keepNext w:val="0"/>
              <w:keepLines/>
              <w:pageBreakBefore w:val="0"/>
              <w:widowControl w:val="0"/>
              <w:kinsoku/>
              <w:wordWrap/>
              <w:overflowPunct/>
              <w:topLinePunct/>
              <w:autoSpaceDE/>
              <w:autoSpaceDN/>
              <w:bidi w:val="0"/>
              <w:adjustRightInd/>
              <w:snapToGrid/>
              <w:spacing w:line="280" w:lineRule="exact"/>
              <w:ind w:left="0" w:right="0" w:firstLine="391" w:firstLineChars="206"/>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第五十七条临时使用土地的使用者应当按照临时使用土地合同约定的用途使用土地，并不得修建永久性建筑物。</w:t>
            </w:r>
          </w:p>
        </w:tc>
      </w:tr>
      <w:tr w14:paraId="087B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87" w:hRule="atLeast"/>
          <w:jc w:val="center"/>
        </w:trPr>
        <w:tc>
          <w:tcPr>
            <w:tcW w:w="652" w:type="dxa"/>
            <w:shd w:val="clear" w:color="auto" w:fill="auto"/>
            <w:vAlign w:val="center"/>
          </w:tcPr>
          <w:p w14:paraId="541B3F23">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40</w:t>
            </w:r>
          </w:p>
        </w:tc>
        <w:tc>
          <w:tcPr>
            <w:tcW w:w="1928" w:type="dxa"/>
            <w:shd w:val="clear" w:color="auto" w:fill="auto"/>
            <w:vAlign w:val="center"/>
          </w:tcPr>
          <w:p w14:paraId="543BF8DD">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lang w:val="en-US" w:eastAsia="zh-CN"/>
              </w:rPr>
              <w:t>种植高杆作物</w:t>
            </w:r>
          </w:p>
        </w:tc>
        <w:tc>
          <w:tcPr>
            <w:tcW w:w="2551" w:type="dxa"/>
            <w:shd w:val="clear" w:color="auto" w:fill="auto"/>
            <w:vAlign w:val="center"/>
          </w:tcPr>
          <w:p w14:paraId="35AFAD86">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firstLine="2" w:firstLine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lang w:val="en-US" w:eastAsia="zh-CN"/>
              </w:rPr>
              <w:t>河道管理范围内</w:t>
            </w:r>
          </w:p>
        </w:tc>
        <w:tc>
          <w:tcPr>
            <w:tcW w:w="10091" w:type="dxa"/>
            <w:shd w:val="clear" w:color="auto" w:fill="auto"/>
            <w:vAlign w:val="center"/>
          </w:tcPr>
          <w:p w14:paraId="656E02CF">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b/>
                <w:bCs/>
                <w:snapToGrid/>
                <w:spacing w:val="0"/>
                <w:w w:val="100"/>
                <w:kern w:val="21"/>
                <w:highlight w:val="none"/>
                <w:lang w:val="en-US" w:eastAsia="zh-CN"/>
              </w:rPr>
            </w:pPr>
            <w:r>
              <w:rPr>
                <w:rFonts w:hint="default" w:ascii="Times New Roman" w:hAnsi="Times New Roman" w:cs="Times New Roman"/>
                <w:b/>
                <w:bCs/>
                <w:snapToGrid/>
                <w:spacing w:val="0"/>
                <w:w w:val="100"/>
                <w:kern w:val="21"/>
                <w:highlight w:val="none"/>
                <w:lang w:val="en-US" w:eastAsia="zh-CN"/>
              </w:rPr>
              <w:t>《中华人民共和国河道管理条例》</w:t>
            </w:r>
          </w:p>
          <w:p w14:paraId="0951709B">
            <w:pPr>
              <w:pStyle w:val="10"/>
              <w:keepNext w:val="0"/>
              <w:keepLines/>
              <w:pageBreakBefore w:val="0"/>
              <w:widowControl w:val="0"/>
              <w:kinsoku/>
              <w:wordWrap/>
              <w:overflowPunct/>
              <w:topLinePunct/>
              <w:autoSpaceDE/>
              <w:autoSpaceDN/>
              <w:bidi w:val="0"/>
              <w:adjustRightInd/>
              <w:snapToGrid/>
              <w:spacing w:line="280" w:lineRule="exact"/>
              <w:ind w:right="0" w:firstLine="380" w:firstLineChars="200"/>
              <w:jc w:val="both"/>
              <w:textAlignment w:val="baseline"/>
              <w:rPr>
                <w:rFonts w:hint="default" w:ascii="Times New Roman" w:hAnsi="Times New Roman" w:eastAsia="Arial" w:cs="Times New Roman"/>
                <w:snapToGrid/>
                <w:color w:val="000000"/>
                <w:spacing w:val="0"/>
                <w:w w:val="100"/>
                <w:kern w:val="21"/>
                <w:sz w:val="21"/>
                <w:szCs w:val="21"/>
                <w:highlight w:val="none"/>
                <w:lang w:val="en-US" w:eastAsia="en-US" w:bidi="ar-SA"/>
              </w:rPr>
            </w:pPr>
            <w:r>
              <w:rPr>
                <w:rFonts w:hint="default" w:ascii="Times New Roman" w:hAnsi="Times New Roman" w:eastAsia="微软雅黑" w:cs="Times New Roman"/>
                <w:snapToGrid/>
                <w:color w:val="000000"/>
                <w:spacing w:val="0"/>
                <w:w w:val="100"/>
                <w:kern w:val="21"/>
                <w:sz w:val="19"/>
                <w:szCs w:val="19"/>
                <w:highlight w:val="none"/>
                <w:lang w:val="en-US" w:eastAsia="zh-CN" w:bidi="ar-SA"/>
              </w:rPr>
              <w:t>第二十四条 在河道管理范围内，禁止修建围堤、阻水渠道、阻水道路；种植高杆农作物、芦苇、杞柳、荻柴和树木（堤防防护林除外）；设置拦河渔具；弃置矿渣、石渣、煤灰、泥土、垃圾等。在堤防和护堤地，禁止建房、放牧、开渠、打井、挖窖、葬坟、晒粮、存放物料、开采地下资源、进行考古发掘以及开展集市贸易活动。</w:t>
            </w:r>
          </w:p>
        </w:tc>
      </w:tr>
      <w:tr w14:paraId="3392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65" w:hRule="atLeast"/>
          <w:jc w:val="center"/>
        </w:trPr>
        <w:tc>
          <w:tcPr>
            <w:tcW w:w="652" w:type="dxa"/>
            <w:shd w:val="clear" w:color="auto" w:fill="auto"/>
            <w:vAlign w:val="center"/>
          </w:tcPr>
          <w:p w14:paraId="764745CC">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41</w:t>
            </w:r>
          </w:p>
        </w:tc>
        <w:tc>
          <w:tcPr>
            <w:tcW w:w="1928" w:type="dxa"/>
            <w:shd w:val="clear" w:color="auto" w:fill="auto"/>
            <w:vAlign w:val="center"/>
          </w:tcPr>
          <w:p w14:paraId="3E597EA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牲畜养殖业</w:t>
            </w:r>
          </w:p>
        </w:tc>
        <w:tc>
          <w:tcPr>
            <w:tcW w:w="2551" w:type="dxa"/>
            <w:shd w:val="clear" w:color="auto" w:fill="auto"/>
            <w:vAlign w:val="center"/>
          </w:tcPr>
          <w:p w14:paraId="6D3D2169">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在划定区域内按照文件要求严格审批工商营业执照</w:t>
            </w:r>
          </w:p>
        </w:tc>
        <w:tc>
          <w:tcPr>
            <w:tcW w:w="10091" w:type="dxa"/>
            <w:shd w:val="clear" w:color="auto" w:fill="auto"/>
            <w:vAlign w:val="center"/>
          </w:tcPr>
          <w:p w14:paraId="0C183186">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《滴道区畜禽禁养区划定方案》</w:t>
            </w:r>
          </w:p>
          <w:p w14:paraId="44E3DCCC">
            <w:pPr>
              <w:pStyle w:val="10"/>
              <w:keepNext w:val="0"/>
              <w:keepLines/>
              <w:pageBreakBefore w:val="0"/>
              <w:widowControl w:val="0"/>
              <w:kinsoku/>
              <w:wordWrap/>
              <w:overflowPunct/>
              <w:topLinePunct/>
              <w:autoSpaceDE/>
              <w:autoSpaceDN/>
              <w:bidi w:val="0"/>
              <w:adjustRightInd/>
              <w:snapToGrid/>
              <w:spacing w:line="280" w:lineRule="exact"/>
              <w:ind w:left="0" w:right="0" w:firstLine="437"/>
              <w:jc w:val="both"/>
              <w:textAlignment w:val="baseline"/>
              <w:rPr>
                <w:rFonts w:hint="default" w:ascii="Times New Roman" w:hAnsi="Times New Roman" w:cs="Times New Roman"/>
                <w:snapToGrid/>
                <w:spacing w:val="0"/>
                <w:w w:val="100"/>
                <w:kern w:val="21"/>
                <w:sz w:val="20"/>
                <w:szCs w:val="20"/>
                <w:highlight w:val="none"/>
              </w:rPr>
            </w:pPr>
            <w:r>
              <w:rPr>
                <w:rFonts w:hint="default" w:ascii="Times New Roman" w:hAnsi="Times New Roman" w:cs="Times New Roman"/>
                <w:snapToGrid/>
                <w:spacing w:val="0"/>
                <w:w w:val="100"/>
                <w:kern w:val="21"/>
                <w:sz w:val="20"/>
                <w:szCs w:val="20"/>
                <w:highlight w:val="none"/>
              </w:rPr>
              <w:t>团山子水库的一级保护区域为水库入水口至上游</w:t>
            </w:r>
            <w:r>
              <w:rPr>
                <w:rFonts w:hint="default" w:ascii="Times New Roman" w:hAnsi="Times New Roman" w:eastAsia="Arial" w:cs="Times New Roman"/>
                <w:snapToGrid/>
                <w:spacing w:val="0"/>
                <w:w w:val="100"/>
                <w:kern w:val="21"/>
                <w:sz w:val="20"/>
                <w:szCs w:val="20"/>
                <w:highlight w:val="none"/>
              </w:rPr>
              <w:t>1</w:t>
            </w:r>
            <w:r>
              <w:rPr>
                <w:rFonts w:hint="default" w:ascii="Times New Roman" w:hAnsi="Times New Roman" w:cs="Times New Roman"/>
                <w:snapToGrid/>
                <w:spacing w:val="0"/>
                <w:w w:val="100"/>
                <w:kern w:val="21"/>
                <w:sz w:val="20"/>
                <w:szCs w:val="20"/>
                <w:highlight w:val="none"/>
              </w:rPr>
              <w:t>公里之间的水域范围周边</w:t>
            </w:r>
            <w:r>
              <w:rPr>
                <w:rFonts w:hint="default" w:ascii="Times New Roman" w:hAnsi="Times New Roman" w:eastAsia="Arial" w:cs="Times New Roman"/>
                <w:snapToGrid/>
                <w:spacing w:val="0"/>
                <w:w w:val="100"/>
                <w:kern w:val="21"/>
                <w:sz w:val="20"/>
                <w:szCs w:val="20"/>
                <w:highlight w:val="none"/>
              </w:rPr>
              <w:t>1000</w:t>
            </w:r>
            <w:r>
              <w:rPr>
                <w:rFonts w:hint="default" w:ascii="Times New Roman" w:hAnsi="Times New Roman" w:cs="Times New Roman"/>
                <w:snapToGrid/>
                <w:spacing w:val="0"/>
                <w:w w:val="100"/>
                <w:kern w:val="21"/>
                <w:sz w:val="20"/>
                <w:szCs w:val="20"/>
                <w:highlight w:val="none"/>
              </w:rPr>
              <w:t>米以内；大通沟</w:t>
            </w:r>
            <w:r>
              <w:rPr>
                <w:rFonts w:hint="default" w:ascii="Times New Roman" w:hAnsi="Times New Roman" w:cs="Times New Roman"/>
                <w:snapToGrid/>
                <w:spacing w:val="0"/>
                <w:w w:val="100"/>
                <w:kern w:val="21"/>
                <w:sz w:val="20"/>
                <w:szCs w:val="20"/>
                <w:highlight w:val="none"/>
              </w:rPr>
              <w:t>地区饮用水水源地的一级保护区范围是以西山水源井为中心，周边</w:t>
            </w:r>
            <w:r>
              <w:rPr>
                <w:rFonts w:hint="default" w:ascii="Times New Roman" w:hAnsi="Times New Roman" w:eastAsia="Arial" w:cs="Times New Roman"/>
                <w:snapToGrid/>
                <w:spacing w:val="0"/>
                <w:w w:val="100"/>
                <w:kern w:val="21"/>
                <w:sz w:val="20"/>
                <w:szCs w:val="20"/>
                <w:highlight w:val="none"/>
              </w:rPr>
              <w:t>1000</w:t>
            </w:r>
            <w:r>
              <w:rPr>
                <w:rFonts w:hint="default" w:ascii="Times New Roman" w:hAnsi="Times New Roman" w:cs="Times New Roman"/>
                <w:snapToGrid/>
                <w:spacing w:val="0"/>
                <w:w w:val="100"/>
                <w:kern w:val="21"/>
                <w:sz w:val="20"/>
                <w:szCs w:val="20"/>
                <w:highlight w:val="none"/>
              </w:rPr>
              <w:t>米以内；滴道</w:t>
            </w:r>
            <w:r>
              <w:rPr>
                <w:rFonts w:hint="default" w:ascii="Times New Roman" w:hAnsi="Times New Roman" w:cs="Times New Roman"/>
                <w:snapToGrid/>
                <w:spacing w:val="0"/>
                <w:w w:val="100"/>
                <w:kern w:val="21"/>
                <w:sz w:val="20"/>
                <w:szCs w:val="20"/>
                <w:highlight w:val="none"/>
              </w:rPr>
              <w:t>河、牤牛河、穆棱河周边</w:t>
            </w:r>
            <w:r>
              <w:rPr>
                <w:rFonts w:hint="default" w:ascii="Times New Roman" w:hAnsi="Times New Roman" w:eastAsia="Arial" w:cs="Times New Roman"/>
                <w:snapToGrid/>
                <w:spacing w:val="0"/>
                <w:w w:val="100"/>
                <w:kern w:val="21"/>
                <w:sz w:val="20"/>
                <w:szCs w:val="20"/>
                <w:highlight w:val="none"/>
              </w:rPr>
              <w:t>1000</w:t>
            </w:r>
            <w:r>
              <w:rPr>
                <w:rFonts w:hint="default" w:ascii="Times New Roman" w:hAnsi="Times New Roman" w:cs="Times New Roman"/>
                <w:snapToGrid/>
                <w:spacing w:val="0"/>
                <w:w w:val="100"/>
                <w:kern w:val="21"/>
                <w:sz w:val="20"/>
                <w:szCs w:val="20"/>
                <w:highlight w:val="none"/>
              </w:rPr>
              <w:t>米以内；城镇居民区、学校、医院等人口集中区域；环境质量达不到主体功能区标准的</w:t>
            </w:r>
            <w:r>
              <w:rPr>
                <w:rFonts w:hint="default" w:ascii="Times New Roman" w:hAnsi="Times New Roman" w:cs="Times New Roman"/>
                <w:snapToGrid/>
                <w:spacing w:val="0"/>
                <w:w w:val="100"/>
                <w:kern w:val="21"/>
                <w:sz w:val="20"/>
                <w:szCs w:val="20"/>
                <w:highlight w:val="none"/>
              </w:rPr>
              <w:t>区域；城市规划区及周围</w:t>
            </w:r>
            <w:r>
              <w:rPr>
                <w:rFonts w:hint="default" w:ascii="Times New Roman" w:hAnsi="Times New Roman" w:eastAsia="Arial" w:cs="Times New Roman"/>
                <w:snapToGrid/>
                <w:spacing w:val="0"/>
                <w:w w:val="100"/>
                <w:kern w:val="21"/>
                <w:sz w:val="20"/>
                <w:szCs w:val="20"/>
                <w:highlight w:val="none"/>
              </w:rPr>
              <w:t>500</w:t>
            </w:r>
            <w:r>
              <w:rPr>
                <w:rFonts w:hint="default" w:ascii="Times New Roman" w:hAnsi="Times New Roman" w:cs="Times New Roman"/>
                <w:snapToGrid/>
                <w:spacing w:val="0"/>
                <w:w w:val="100"/>
                <w:kern w:val="21"/>
                <w:sz w:val="20"/>
                <w:szCs w:val="20"/>
                <w:highlight w:val="none"/>
              </w:rPr>
              <w:t>米范围内；国道、省道及主要区级交通主干道两侧外延</w:t>
            </w:r>
            <w:r>
              <w:rPr>
                <w:rFonts w:hint="default" w:ascii="Times New Roman" w:hAnsi="Times New Roman" w:eastAsia="Arial" w:cs="Times New Roman"/>
                <w:snapToGrid/>
                <w:spacing w:val="0"/>
                <w:w w:val="100"/>
                <w:kern w:val="21"/>
                <w:sz w:val="20"/>
                <w:szCs w:val="20"/>
                <w:highlight w:val="none"/>
              </w:rPr>
              <w:t>500</w:t>
            </w:r>
            <w:r>
              <w:rPr>
                <w:rFonts w:hint="default" w:ascii="Times New Roman" w:hAnsi="Times New Roman" w:cs="Times New Roman"/>
                <w:snapToGrid/>
                <w:spacing w:val="0"/>
                <w:w w:val="100"/>
                <w:kern w:val="21"/>
                <w:sz w:val="20"/>
                <w:szCs w:val="20"/>
                <w:highlight w:val="none"/>
              </w:rPr>
              <w:t>米范围内。</w:t>
            </w:r>
          </w:p>
          <w:p w14:paraId="1AD25B2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sz w:val="20"/>
                <w:szCs w:val="20"/>
                <w:highlight w:val="none"/>
              </w:rPr>
            </w:pPr>
            <w:r>
              <w:rPr>
                <w:rFonts w:hint="default" w:ascii="Times New Roman" w:hAnsi="Times New Roman" w:cs="Times New Roman"/>
                <w:b/>
                <w:bCs/>
                <w:snapToGrid/>
                <w:spacing w:val="0"/>
                <w:w w:val="100"/>
                <w:kern w:val="21"/>
                <w:sz w:val="20"/>
                <w:szCs w:val="20"/>
                <w:highlight w:val="none"/>
              </w:rPr>
              <w:t>《城子河区畜禽禁养区划定方案》的通知（城政办</w:t>
            </w:r>
            <w:r>
              <w:rPr>
                <w:rFonts w:hint="default" w:ascii="Times New Roman" w:hAnsi="Times New Roman" w:cs="Times New Roman"/>
                <w:b/>
                <w:bCs/>
                <w:snapToGrid/>
                <w:spacing w:val="0"/>
                <w:w w:val="100"/>
                <w:kern w:val="21"/>
                <w:sz w:val="20"/>
                <w:szCs w:val="20"/>
                <w:highlight w:val="none"/>
                <w:lang w:eastAsia="zh-CN"/>
              </w:rPr>
              <w:t>〔2017〕12号</w:t>
            </w:r>
            <w:r>
              <w:rPr>
                <w:rFonts w:hint="default" w:ascii="Times New Roman" w:hAnsi="Times New Roman" w:cs="Times New Roman"/>
                <w:b/>
                <w:bCs/>
                <w:snapToGrid/>
                <w:spacing w:val="0"/>
                <w:w w:val="100"/>
                <w:kern w:val="21"/>
                <w:sz w:val="20"/>
                <w:szCs w:val="20"/>
                <w:highlight w:val="none"/>
              </w:rPr>
              <w:t>）</w:t>
            </w:r>
          </w:p>
          <w:p w14:paraId="519445F5">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firstLine="401" w:firstLineChars="0"/>
              <w:jc w:val="both"/>
              <w:textAlignment w:val="baseline"/>
              <w:rPr>
                <w:rFonts w:hint="default" w:ascii="Times New Roman" w:hAnsi="Times New Roman" w:eastAsia="微软雅黑" w:cs="Times New Roman"/>
                <w:snapToGrid/>
                <w:color w:val="000000"/>
                <w:spacing w:val="0"/>
                <w:w w:val="100"/>
                <w:kern w:val="21"/>
                <w:sz w:val="20"/>
                <w:szCs w:val="20"/>
                <w:highlight w:val="none"/>
                <w:lang w:val="en-US" w:eastAsia="en-US" w:bidi="ar-SA"/>
              </w:rPr>
            </w:pPr>
            <w:r>
              <w:rPr>
                <w:rFonts w:hint="default" w:ascii="Times New Roman" w:hAnsi="Times New Roman" w:cs="Times New Roman"/>
                <w:snapToGrid/>
                <w:spacing w:val="0"/>
                <w:w w:val="100"/>
                <w:kern w:val="21"/>
                <w:sz w:val="20"/>
                <w:szCs w:val="20"/>
                <w:highlight w:val="none"/>
              </w:rPr>
              <w:t>城子河区团山子水库城子河境内饮水水源保护一级保护区</w:t>
            </w:r>
            <w:r>
              <w:rPr>
                <w:rFonts w:hint="default" w:ascii="Times New Roman" w:hAnsi="Times New Roman" w:eastAsia="Arial" w:cs="Times New Roman"/>
                <w:snapToGrid/>
                <w:spacing w:val="0"/>
                <w:w w:val="100"/>
                <w:kern w:val="21"/>
                <w:sz w:val="20"/>
                <w:szCs w:val="20"/>
                <w:highlight w:val="none"/>
              </w:rPr>
              <w:t>300</w:t>
            </w:r>
            <w:r>
              <w:rPr>
                <w:rFonts w:hint="default" w:ascii="Times New Roman" w:hAnsi="Times New Roman" w:cs="Times New Roman"/>
                <w:snapToGrid/>
                <w:spacing w:val="0"/>
                <w:w w:val="100"/>
                <w:kern w:val="21"/>
                <w:sz w:val="20"/>
                <w:szCs w:val="20"/>
                <w:highlight w:val="none"/>
              </w:rPr>
              <w:t>米范围内、饮水</w:t>
            </w:r>
            <w:r>
              <w:rPr>
                <w:rFonts w:hint="default" w:ascii="Times New Roman" w:hAnsi="Times New Roman" w:cs="Times New Roman"/>
                <w:snapToGrid/>
                <w:spacing w:val="0"/>
                <w:w w:val="100"/>
                <w:kern w:val="21"/>
                <w:sz w:val="20"/>
                <w:szCs w:val="20"/>
                <w:highlight w:val="none"/>
              </w:rPr>
              <w:t>水源保护二级保护区</w:t>
            </w:r>
            <w:r>
              <w:rPr>
                <w:rFonts w:hint="default" w:ascii="Times New Roman" w:hAnsi="Times New Roman" w:eastAsia="Arial" w:cs="Times New Roman"/>
                <w:snapToGrid/>
                <w:spacing w:val="0"/>
                <w:w w:val="100"/>
                <w:kern w:val="21"/>
                <w:sz w:val="20"/>
                <w:szCs w:val="20"/>
                <w:highlight w:val="none"/>
              </w:rPr>
              <w:t>1000</w:t>
            </w:r>
            <w:r>
              <w:rPr>
                <w:rFonts w:hint="default" w:ascii="Times New Roman" w:hAnsi="Times New Roman" w:cs="Times New Roman"/>
                <w:snapToGrid/>
                <w:spacing w:val="0"/>
                <w:w w:val="100"/>
                <w:kern w:val="21"/>
                <w:sz w:val="20"/>
                <w:szCs w:val="20"/>
                <w:highlight w:val="none"/>
              </w:rPr>
              <w:t>米范围内禁止设立畜禽养殖户。</w:t>
            </w:r>
          </w:p>
        </w:tc>
      </w:tr>
      <w:tr w14:paraId="36363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04" w:hRule="atLeast"/>
          <w:jc w:val="center"/>
        </w:trPr>
        <w:tc>
          <w:tcPr>
            <w:tcW w:w="652" w:type="dxa"/>
            <w:shd w:val="clear" w:color="auto" w:fill="auto"/>
            <w:vAlign w:val="center"/>
          </w:tcPr>
          <w:p w14:paraId="78D2F260">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zh-CN" w:bidi="ar-SA"/>
              </w:rPr>
            </w:pPr>
            <w:r>
              <w:rPr>
                <w:rFonts w:hint="default" w:ascii="Times New Roman" w:hAnsi="Times New Roman" w:cs="Times New Roman"/>
                <w:snapToGrid/>
                <w:spacing w:val="0"/>
                <w:w w:val="100"/>
                <w:kern w:val="21"/>
                <w:highlight w:val="none"/>
              </w:rPr>
              <w:t>42</w:t>
            </w:r>
          </w:p>
        </w:tc>
        <w:tc>
          <w:tcPr>
            <w:tcW w:w="1928" w:type="dxa"/>
            <w:vAlign w:val="center"/>
          </w:tcPr>
          <w:p w14:paraId="182D8F27">
            <w:pPr>
              <w:pStyle w:val="10"/>
              <w:keepNext w:val="0"/>
              <w:keepLines/>
              <w:pageBreakBefore w:val="0"/>
              <w:widowControl w:val="0"/>
              <w:kinsoku/>
              <w:wordWrap/>
              <w:overflowPunct/>
              <w:topLinePunct/>
              <w:autoSpaceDE/>
              <w:autoSpaceDN/>
              <w:bidi w:val="0"/>
              <w:adjustRightInd/>
              <w:snapToGrid/>
              <w:spacing w:line="280" w:lineRule="exact"/>
              <w:ind w:left="0" w:right="0"/>
              <w:jc w:val="center"/>
              <w:textAlignment w:val="baseline"/>
              <w:rPr>
                <w:rFonts w:hint="default" w:ascii="Times New Roman" w:hAnsi="Times New Roman" w:eastAsia="仿宋" w:cs="Times New Roman"/>
                <w:snapToGrid/>
                <w:spacing w:val="0"/>
                <w:w w:val="100"/>
                <w:kern w:val="21"/>
                <w:sz w:val="20"/>
                <w:szCs w:val="20"/>
                <w:highlight w:val="none"/>
              </w:rPr>
            </w:pPr>
            <w:r>
              <w:rPr>
                <w:rFonts w:hint="default" w:ascii="Times New Roman" w:hAnsi="Times New Roman" w:cs="Times New Roman"/>
                <w:snapToGrid/>
                <w:spacing w:val="0"/>
                <w:w w:val="100"/>
                <w:kern w:val="21"/>
                <w:highlight w:val="none"/>
              </w:rPr>
              <w:t>废旧金属收购网点</w:t>
            </w:r>
          </w:p>
        </w:tc>
        <w:tc>
          <w:tcPr>
            <w:tcW w:w="2551" w:type="dxa"/>
            <w:vAlign w:val="center"/>
          </w:tcPr>
          <w:p w14:paraId="0043F933">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在铁路、矿区、油田、港口、机场、施工工地、军事禁区和金属冶炼加工企业附近不得设立废旧金属收购网点</w:t>
            </w:r>
          </w:p>
        </w:tc>
        <w:tc>
          <w:tcPr>
            <w:tcW w:w="10091" w:type="dxa"/>
            <w:vAlign w:val="center"/>
          </w:tcPr>
          <w:p w14:paraId="478E11ED">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《鸡冠公安分局关于禁止设立废旧金属网点区域的划定》</w:t>
            </w:r>
          </w:p>
          <w:p w14:paraId="4961D3A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sz w:val="20"/>
                <w:szCs w:val="20"/>
                <w:highlight w:val="none"/>
              </w:rPr>
            </w:pPr>
            <w:r>
              <w:rPr>
                <w:rFonts w:hint="default" w:ascii="Times New Roman" w:hAnsi="Times New Roman" w:cs="Times New Roman"/>
                <w:snapToGrid/>
                <w:spacing w:val="0"/>
                <w:w w:val="100"/>
                <w:kern w:val="21"/>
                <w:sz w:val="20"/>
                <w:szCs w:val="20"/>
                <w:highlight w:val="none"/>
                <w:lang w:eastAsia="zh-CN"/>
              </w:rPr>
              <w:t>1.</w:t>
            </w:r>
            <w:r>
              <w:rPr>
                <w:rFonts w:hint="default" w:ascii="Times New Roman" w:hAnsi="Times New Roman" w:cs="Times New Roman"/>
                <w:snapToGrid/>
                <w:spacing w:val="0"/>
                <w:w w:val="100"/>
                <w:kern w:val="21"/>
                <w:sz w:val="20"/>
                <w:szCs w:val="20"/>
                <w:highlight w:val="none"/>
              </w:rPr>
              <w:t>西起西郊路东至朝阳桥铁路沿线南北两侧</w:t>
            </w:r>
            <w:r>
              <w:rPr>
                <w:rFonts w:hint="default" w:ascii="Times New Roman" w:hAnsi="Times New Roman" w:eastAsia="Arial" w:cs="Times New Roman"/>
                <w:snapToGrid/>
                <w:spacing w:val="0"/>
                <w:w w:val="100"/>
                <w:kern w:val="21"/>
                <w:sz w:val="20"/>
                <w:szCs w:val="20"/>
                <w:highlight w:val="none"/>
              </w:rPr>
              <w:t>200</w:t>
            </w:r>
            <w:r>
              <w:rPr>
                <w:rFonts w:hint="default" w:ascii="Times New Roman" w:hAnsi="Times New Roman" w:cs="Times New Roman"/>
                <w:snapToGrid/>
                <w:spacing w:val="0"/>
                <w:w w:val="100"/>
                <w:kern w:val="21"/>
                <w:sz w:val="20"/>
                <w:szCs w:val="20"/>
                <w:highlight w:val="none"/>
              </w:rPr>
              <w:t>米内；</w:t>
            </w:r>
          </w:p>
          <w:p w14:paraId="6D6D903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sz w:val="20"/>
                <w:szCs w:val="20"/>
                <w:highlight w:val="none"/>
              </w:rPr>
            </w:pPr>
            <w:r>
              <w:rPr>
                <w:rFonts w:hint="default" w:ascii="Times New Roman" w:hAnsi="Times New Roman" w:cs="Times New Roman"/>
                <w:snapToGrid/>
                <w:spacing w:val="0"/>
                <w:w w:val="100"/>
                <w:kern w:val="21"/>
                <w:sz w:val="20"/>
                <w:szCs w:val="20"/>
                <w:highlight w:val="none"/>
                <w:lang w:eastAsia="zh-CN"/>
              </w:rPr>
              <w:t>2.</w:t>
            </w:r>
            <w:r>
              <w:rPr>
                <w:rFonts w:hint="default" w:ascii="Times New Roman" w:hAnsi="Times New Roman" w:cs="Times New Roman"/>
                <w:snapToGrid/>
                <w:spacing w:val="0"/>
                <w:w w:val="100"/>
                <w:kern w:val="21"/>
                <w:sz w:val="20"/>
                <w:szCs w:val="20"/>
                <w:highlight w:val="none"/>
              </w:rPr>
              <w:t>兴国西路194号鸡西武警支队附近200米内；</w:t>
            </w:r>
          </w:p>
          <w:p w14:paraId="3020EA2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sz w:val="20"/>
                <w:szCs w:val="20"/>
                <w:highlight w:val="none"/>
              </w:rPr>
            </w:pPr>
            <w:r>
              <w:rPr>
                <w:rFonts w:hint="default" w:ascii="Times New Roman" w:hAnsi="Times New Roman" w:cs="Times New Roman"/>
                <w:snapToGrid/>
                <w:spacing w:val="0"/>
                <w:w w:val="100"/>
                <w:kern w:val="21"/>
                <w:sz w:val="20"/>
                <w:szCs w:val="20"/>
                <w:highlight w:val="none"/>
                <w:lang w:eastAsia="zh-CN"/>
              </w:rPr>
              <w:t>3.</w:t>
            </w:r>
            <w:r>
              <w:rPr>
                <w:rFonts w:hint="default" w:ascii="Times New Roman" w:hAnsi="Times New Roman" w:cs="Times New Roman"/>
                <w:snapToGrid/>
                <w:spacing w:val="0"/>
                <w:w w:val="100"/>
                <w:kern w:val="21"/>
                <w:sz w:val="20"/>
                <w:szCs w:val="20"/>
                <w:highlight w:val="none"/>
              </w:rPr>
              <w:t>兴国西路175号鸡西武警支队机动中队</w:t>
            </w:r>
            <w:r>
              <w:rPr>
                <w:rFonts w:hint="default" w:ascii="Times New Roman" w:hAnsi="Times New Roman" w:cs="Times New Roman"/>
                <w:snapToGrid/>
                <w:spacing w:val="0"/>
                <w:w w:val="100"/>
                <w:kern w:val="21"/>
                <w:sz w:val="20"/>
                <w:szCs w:val="20"/>
                <w:highlight w:val="none"/>
              </w:rPr>
              <w:t>附近200米内；</w:t>
            </w:r>
          </w:p>
          <w:p w14:paraId="76BBED78">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sz w:val="20"/>
                <w:szCs w:val="20"/>
                <w:highlight w:val="none"/>
              </w:rPr>
            </w:pPr>
            <w:r>
              <w:rPr>
                <w:rFonts w:hint="default" w:ascii="Times New Roman" w:hAnsi="Times New Roman" w:cs="Times New Roman"/>
                <w:snapToGrid/>
                <w:spacing w:val="0"/>
                <w:w w:val="100"/>
                <w:kern w:val="21"/>
                <w:sz w:val="20"/>
                <w:szCs w:val="20"/>
                <w:highlight w:val="none"/>
                <w:lang w:eastAsia="zh-CN"/>
              </w:rPr>
              <w:t>4.</w:t>
            </w:r>
            <w:r>
              <w:rPr>
                <w:rFonts w:hint="default" w:ascii="Times New Roman" w:hAnsi="Times New Roman" w:cs="Times New Roman"/>
                <w:snapToGrid/>
                <w:spacing w:val="0"/>
                <w:w w:val="100"/>
                <w:kern w:val="21"/>
                <w:sz w:val="20"/>
                <w:szCs w:val="20"/>
                <w:highlight w:val="none"/>
              </w:rPr>
              <w:t>和平南大街与红阳路交叉口鸡西军分区附近200米内。</w:t>
            </w:r>
          </w:p>
          <w:p w14:paraId="66CD737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《黑龙江省公共场所和特种行业治安管理条例》</w:t>
            </w:r>
          </w:p>
          <w:p w14:paraId="381B199F">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兰岭火车站至鸡西大唐二热有限公司铁路沿线南北两侧200米内；滴道区三井、九</w:t>
            </w:r>
            <w:r>
              <w:rPr>
                <w:rFonts w:hint="default" w:ascii="Times New Roman" w:hAnsi="Times New Roman" w:cs="Times New Roman"/>
                <w:snapToGrid/>
                <w:spacing w:val="0"/>
                <w:w w:val="100"/>
                <w:kern w:val="21"/>
                <w:highlight w:val="none"/>
              </w:rPr>
              <w:t>井、立井200米内；</w:t>
            </w:r>
            <w:r>
              <w:rPr>
                <w:rFonts w:hint="default" w:ascii="Times New Roman" w:hAnsi="Times New Roman" w:cs="Times New Roman"/>
                <w:snapToGrid/>
                <w:spacing w:val="0"/>
                <w:w w:val="100"/>
                <w:kern w:val="21"/>
                <w:highlight w:val="none"/>
              </w:rPr>
              <w:t>大半道武警中队附近200米内；</w:t>
            </w:r>
          </w:p>
          <w:p w14:paraId="16C4FBBE">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西起密山市太平乡东至密山市兴凯镇铁路沿线南北两侧200米内、密山市知一镇嘉禾村32114部队附</w:t>
            </w:r>
            <w:r>
              <w:rPr>
                <w:rFonts w:hint="default" w:ascii="Times New Roman" w:hAnsi="Times New Roman" w:cs="Times New Roman"/>
                <w:snapToGrid/>
                <w:spacing w:val="0"/>
                <w:w w:val="100"/>
                <w:kern w:val="21"/>
                <w:highlight w:val="none"/>
              </w:rPr>
              <w:t>近200米内、密山市一街四委武警中队附近200米内。</w:t>
            </w:r>
          </w:p>
          <w:p w14:paraId="18DEFEE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《梨树公安分局关于禁止设立废旧金属回收业经营网点区域划定的抄告函》</w:t>
            </w:r>
          </w:p>
          <w:p w14:paraId="2C749AAA">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梨树区劳动委、西山委、团结委、永利委、红旗委、和平委、双建委、自建委、偏槽委、永和委</w:t>
            </w:r>
            <w:r>
              <w:rPr>
                <w:rFonts w:hint="default" w:ascii="Times New Roman" w:hAnsi="Times New Roman" w:cs="Times New Roman"/>
                <w:snapToGrid/>
                <w:spacing w:val="0"/>
                <w:w w:val="100"/>
                <w:kern w:val="21"/>
                <w:highlight w:val="none"/>
              </w:rPr>
              <w:t>、东升委、</w:t>
            </w:r>
            <w:r>
              <w:rPr>
                <w:rFonts w:hint="default" w:ascii="Times New Roman" w:hAnsi="Times New Roman" w:cs="Times New Roman"/>
                <w:snapToGrid/>
                <w:spacing w:val="0"/>
                <w:w w:val="100"/>
                <w:kern w:val="21"/>
                <w:highlight w:val="none"/>
              </w:rPr>
              <w:t>胜利委、发展委、新荣委、新民委、新生委、新兴委、育民委、共荣委、北</w:t>
            </w:r>
            <w:r>
              <w:rPr>
                <w:rFonts w:hint="default" w:ascii="Times New Roman" w:hAnsi="Times New Roman" w:cs="Times New Roman"/>
                <w:snapToGrid/>
                <w:spacing w:val="0"/>
                <w:w w:val="100"/>
                <w:kern w:val="21"/>
                <w:highlight w:val="none"/>
              </w:rPr>
              <w:t>山委、朝阳委、平岗委、向阳委、</w:t>
            </w:r>
            <w:r>
              <w:rPr>
                <w:rFonts w:hint="default" w:ascii="Times New Roman" w:hAnsi="Times New Roman" w:cs="Times New Roman"/>
                <w:snapToGrid/>
                <w:spacing w:val="0"/>
                <w:w w:val="100"/>
                <w:kern w:val="21"/>
                <w:highlight w:val="none"/>
              </w:rPr>
              <w:t>新华委、东山委、太平委、暖泉委、井西委、新西委、桥西委、岭西委、河</w:t>
            </w:r>
            <w:r>
              <w:rPr>
                <w:rFonts w:hint="default" w:ascii="Times New Roman" w:hAnsi="Times New Roman" w:cs="Times New Roman"/>
                <w:snapToGrid/>
                <w:spacing w:val="0"/>
                <w:w w:val="100"/>
                <w:kern w:val="21"/>
                <w:highlight w:val="none"/>
              </w:rPr>
              <w:t>口委、河东委、桥北委、中兴委、碱场委、中西委、碱北委、老达委、北凤委。</w:t>
            </w:r>
          </w:p>
          <w:p w14:paraId="46CE3CC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城子河区公安分局《关于禁止设立废旧金属回</w:t>
            </w:r>
            <w:r>
              <w:rPr>
                <w:rFonts w:hint="default" w:ascii="Times New Roman" w:hAnsi="Times New Roman" w:cs="Times New Roman"/>
                <w:b/>
                <w:bCs/>
                <w:snapToGrid/>
                <w:spacing w:val="0"/>
                <w:w w:val="100"/>
                <w:kern w:val="21"/>
                <w:highlight w:val="none"/>
              </w:rPr>
              <w:t>收业经营网点区域划定的抄告函》（城公函</w:t>
            </w:r>
            <w:r>
              <w:rPr>
                <w:rFonts w:hint="default" w:ascii="Times New Roman" w:hAnsi="Times New Roman" w:cs="Times New Roman"/>
                <w:b/>
                <w:bCs/>
                <w:snapToGrid/>
                <w:spacing w:val="0"/>
                <w:w w:val="100"/>
                <w:kern w:val="21"/>
                <w:highlight w:val="none"/>
                <w:lang w:eastAsia="zh-CN"/>
              </w:rPr>
              <w:t>〔2023〕2号</w:t>
            </w:r>
            <w:r>
              <w:rPr>
                <w:rFonts w:hint="default" w:ascii="Times New Roman" w:hAnsi="Times New Roman" w:cs="Times New Roman"/>
                <w:b/>
                <w:bCs/>
                <w:snapToGrid/>
                <w:spacing w:val="0"/>
                <w:w w:val="100"/>
                <w:kern w:val="21"/>
                <w:highlight w:val="none"/>
              </w:rPr>
              <w:t>）</w:t>
            </w:r>
          </w:p>
          <w:p w14:paraId="2740FEA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城子河区矿立井周边200米内、城子河区矿铁路沿线200米内禁止设立废旧</w:t>
            </w:r>
            <w:r>
              <w:rPr>
                <w:rFonts w:hint="default" w:ascii="Times New Roman" w:hAnsi="Times New Roman" w:cs="Times New Roman"/>
                <w:snapToGrid/>
                <w:spacing w:val="0"/>
                <w:w w:val="100"/>
                <w:kern w:val="21"/>
                <w:highlight w:val="none"/>
              </w:rPr>
              <w:t>金属收购网点。</w:t>
            </w:r>
          </w:p>
          <w:p w14:paraId="375715A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《虎林市公安局关于禁止设立废旧金属网点区域划定的函》虎公函</w:t>
            </w:r>
            <w:r>
              <w:rPr>
                <w:rFonts w:hint="default" w:ascii="Times New Roman" w:hAnsi="Times New Roman" w:cs="Times New Roman"/>
                <w:b/>
                <w:bCs/>
                <w:snapToGrid/>
                <w:spacing w:val="0"/>
                <w:w w:val="100"/>
                <w:kern w:val="21"/>
                <w:highlight w:val="none"/>
                <w:lang w:eastAsia="zh-CN"/>
              </w:rPr>
              <w:t>〔2023〕8号</w:t>
            </w:r>
          </w:p>
          <w:p w14:paraId="2A33151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1.</w:t>
            </w:r>
            <w:r>
              <w:rPr>
                <w:rFonts w:hint="default" w:ascii="Times New Roman" w:hAnsi="Times New Roman" w:cs="Times New Roman"/>
                <w:snapToGrid/>
                <w:spacing w:val="0"/>
                <w:w w:val="100"/>
                <w:kern w:val="21"/>
                <w:highlight w:val="none"/>
              </w:rPr>
              <w:t>西起杨岗镇东至虎林市恒远家园小区</w:t>
            </w:r>
            <w:r>
              <w:rPr>
                <w:rFonts w:hint="default" w:ascii="Times New Roman" w:hAnsi="Times New Roman" w:cs="Times New Roman"/>
                <w:snapToGrid/>
                <w:spacing w:val="0"/>
                <w:w w:val="100"/>
                <w:kern w:val="21"/>
                <w:highlight w:val="none"/>
                <w:lang w:eastAsia="zh-CN"/>
              </w:rPr>
              <w:t>位于</w:t>
            </w:r>
            <w:r>
              <w:rPr>
                <w:rFonts w:hint="default" w:ascii="Times New Roman" w:hAnsi="Times New Roman" w:cs="Times New Roman"/>
                <w:snapToGrid/>
                <w:spacing w:val="0"/>
                <w:w w:val="100"/>
                <w:kern w:val="21"/>
                <w:highlight w:val="none"/>
              </w:rPr>
              <w:t>铁路沿线南北两侧200米内；</w:t>
            </w:r>
          </w:p>
          <w:p w14:paraId="1E5BD0B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2.</w:t>
            </w:r>
            <w:r>
              <w:rPr>
                <w:rFonts w:hint="default" w:ascii="Times New Roman" w:hAnsi="Times New Roman" w:cs="Times New Roman"/>
                <w:snapToGrid/>
                <w:spacing w:val="0"/>
                <w:w w:val="100"/>
                <w:kern w:val="21"/>
                <w:highlight w:val="none"/>
              </w:rPr>
              <w:t>南起虎林市恒远家园小区位置北至东方红镇铁路沿线两侧200米内；</w:t>
            </w:r>
          </w:p>
          <w:p w14:paraId="5FBD57E4">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3.</w:t>
            </w:r>
            <w:r>
              <w:rPr>
                <w:rFonts w:hint="default" w:ascii="Times New Roman" w:hAnsi="Times New Roman" w:cs="Times New Roman"/>
                <w:snapToGrid/>
                <w:spacing w:val="0"/>
                <w:w w:val="100"/>
                <w:kern w:val="21"/>
                <w:highlight w:val="none"/>
              </w:rPr>
              <w:t>虎林市革新街武警中队附近200米内。</w:t>
            </w:r>
          </w:p>
          <w:p w14:paraId="16EF62A9">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b/>
                <w:bCs/>
                <w:snapToGrid/>
                <w:spacing w:val="0"/>
                <w:w w:val="100"/>
                <w:kern w:val="21"/>
                <w:highlight w:val="none"/>
                <w:lang w:eastAsia="zh-CN"/>
              </w:rPr>
            </w:pPr>
            <w:r>
              <w:rPr>
                <w:rFonts w:hint="default" w:ascii="Times New Roman" w:hAnsi="Times New Roman" w:cs="Times New Roman"/>
                <w:b/>
                <w:bCs/>
                <w:snapToGrid/>
                <w:spacing w:val="0"/>
                <w:w w:val="100"/>
                <w:kern w:val="21"/>
                <w:highlight w:val="none"/>
                <w:lang w:eastAsia="zh-CN"/>
              </w:rPr>
              <w:t>《鸡东县公安局关于禁止设立废旧金属网点区域的划定》（鸡公发〔2023〕26号）</w:t>
            </w:r>
          </w:p>
          <w:p w14:paraId="259A17CC">
            <w:pPr>
              <w:pStyle w:val="10"/>
              <w:keepNext w:val="0"/>
              <w:keepLines/>
              <w:pageBreakBefore w:val="0"/>
              <w:widowControl w:val="0"/>
              <w:numPr>
                <w:ilvl w:val="0"/>
                <w:numId w:val="1"/>
              </w:numP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西起鸡东村至电厂铁路沿线南北侧200范围内；</w:t>
            </w:r>
          </w:p>
          <w:p w14:paraId="4D69DDD8">
            <w:pPr>
              <w:pStyle w:val="10"/>
              <w:keepNext w:val="0"/>
              <w:keepLines/>
              <w:pageBreakBefore w:val="0"/>
              <w:widowControl w:val="0"/>
              <w:numPr>
                <w:ilvl w:val="0"/>
                <w:numId w:val="1"/>
              </w:numP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鸡东煤矿城南社区全域；</w:t>
            </w:r>
          </w:p>
          <w:p w14:paraId="10CBE645">
            <w:pPr>
              <w:pStyle w:val="10"/>
              <w:keepNext w:val="0"/>
              <w:keepLines/>
              <w:pageBreakBefore w:val="0"/>
              <w:widowControl w:val="0"/>
              <w:numPr>
                <w:ilvl w:val="0"/>
                <w:numId w:val="1"/>
              </w:numP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哈达镇山河村、新义村、程家村；</w:t>
            </w:r>
          </w:p>
          <w:p w14:paraId="50B80590">
            <w:pPr>
              <w:pStyle w:val="10"/>
              <w:keepNext w:val="0"/>
              <w:keepLines/>
              <w:pageBreakBefore w:val="0"/>
              <w:widowControl w:val="0"/>
              <w:numPr>
                <w:ilvl w:val="0"/>
                <w:numId w:val="1"/>
              </w:numP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东海镇新华村、长山村、兴国村、永远村、永泉村；</w:t>
            </w:r>
          </w:p>
          <w:p w14:paraId="7C9F9BA6">
            <w:pPr>
              <w:pStyle w:val="10"/>
              <w:keepNext w:val="0"/>
              <w:keepLines/>
              <w:pageBreakBefore w:val="0"/>
              <w:widowControl w:val="0"/>
              <w:numPr>
                <w:ilvl w:val="0"/>
                <w:numId w:val="1"/>
              </w:numP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永安镇永平村、永政村；</w:t>
            </w:r>
          </w:p>
          <w:p w14:paraId="6C807E24">
            <w:pPr>
              <w:pStyle w:val="10"/>
              <w:keepNext w:val="0"/>
              <w:keepLines/>
              <w:pageBreakBefore w:val="0"/>
              <w:widowControl w:val="0"/>
              <w:numPr>
                <w:ilvl w:val="0"/>
                <w:numId w:val="1"/>
              </w:numP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永和镇保安村、东安村；</w:t>
            </w:r>
          </w:p>
          <w:p w14:paraId="30FBFB2E">
            <w:pPr>
              <w:pStyle w:val="10"/>
              <w:keepNext w:val="0"/>
              <w:keepLines/>
              <w:pageBreakBefore w:val="0"/>
              <w:widowControl w:val="0"/>
              <w:numPr>
                <w:ilvl w:val="0"/>
                <w:numId w:val="1"/>
              </w:numPr>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lang w:val="en-US" w:eastAsia="zh-CN"/>
              </w:rPr>
            </w:pPr>
            <w:r>
              <w:rPr>
                <w:rFonts w:hint="default" w:ascii="Times New Roman" w:hAnsi="Times New Roman" w:cs="Times New Roman"/>
                <w:snapToGrid/>
                <w:spacing w:val="0"/>
                <w:w w:val="100"/>
                <w:kern w:val="21"/>
                <w:highlight w:val="none"/>
                <w:lang w:val="en-US" w:eastAsia="zh-CN"/>
              </w:rPr>
              <w:t>兴农镇兴林村、兴农村、西马场社区。</w:t>
            </w:r>
          </w:p>
        </w:tc>
      </w:tr>
      <w:tr w14:paraId="56613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42" w:hRule="atLeast"/>
          <w:jc w:val="center"/>
        </w:trPr>
        <w:tc>
          <w:tcPr>
            <w:tcW w:w="652" w:type="dxa"/>
            <w:shd w:val="clear" w:color="auto" w:fill="auto"/>
            <w:vAlign w:val="center"/>
          </w:tcPr>
          <w:p w14:paraId="7194F4BE">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zh-CN" w:bidi="ar-SA"/>
              </w:rPr>
            </w:pPr>
            <w:r>
              <w:rPr>
                <w:rFonts w:hint="default" w:ascii="Times New Roman" w:hAnsi="Times New Roman" w:cs="Times New Roman"/>
                <w:snapToGrid/>
                <w:spacing w:val="0"/>
                <w:w w:val="100"/>
                <w:kern w:val="21"/>
                <w:highlight w:val="none"/>
                <w:lang w:val="en-US" w:eastAsia="zh-CN"/>
              </w:rPr>
              <w:t>43</w:t>
            </w:r>
          </w:p>
        </w:tc>
        <w:tc>
          <w:tcPr>
            <w:tcW w:w="1928" w:type="dxa"/>
            <w:shd w:val="clear" w:color="auto" w:fill="auto"/>
            <w:vAlign w:val="center"/>
          </w:tcPr>
          <w:p w14:paraId="6AFCDF27">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仿宋" w:cs="Times New Roman"/>
                <w:snapToGrid/>
                <w:color w:val="000000"/>
                <w:spacing w:val="0"/>
                <w:w w:val="100"/>
                <w:kern w:val="21"/>
                <w:sz w:val="20"/>
                <w:szCs w:val="20"/>
                <w:highlight w:val="none"/>
                <w:lang w:val="en-US" w:eastAsia="zh-CN" w:bidi="ar-SA"/>
              </w:rPr>
            </w:pPr>
            <w:r>
              <w:rPr>
                <w:rFonts w:hint="default" w:ascii="Times New Roman" w:hAnsi="Times New Roman" w:cs="Times New Roman"/>
                <w:snapToGrid/>
                <w:spacing w:val="0"/>
                <w:w w:val="100"/>
                <w:kern w:val="21"/>
                <w:highlight w:val="none"/>
              </w:rPr>
              <w:t>烟草制品零售</w:t>
            </w:r>
          </w:p>
        </w:tc>
        <w:tc>
          <w:tcPr>
            <w:tcW w:w="2551" w:type="dxa"/>
            <w:shd w:val="clear" w:color="auto" w:fill="auto"/>
            <w:vAlign w:val="center"/>
          </w:tcPr>
          <w:p w14:paraId="007FAB2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1.中、小学校周围；</w:t>
            </w:r>
          </w:p>
          <w:p w14:paraId="52FF3C35">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firstLine="2" w:firstLine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zh-CN" w:bidi="ar-SA"/>
              </w:rPr>
            </w:pPr>
            <w:r>
              <w:rPr>
                <w:rFonts w:hint="default" w:ascii="Times New Roman" w:hAnsi="Times New Roman" w:cs="Times New Roman"/>
                <w:snapToGrid/>
                <w:spacing w:val="0"/>
                <w:w w:val="100"/>
                <w:kern w:val="21"/>
                <w:highlight w:val="none"/>
              </w:rPr>
              <w:t>2.经营场所基于安全因素不适宜经营</w:t>
            </w:r>
            <w:r>
              <w:rPr>
                <w:rFonts w:hint="default" w:ascii="Times New Roman" w:hAnsi="Times New Roman" w:cs="Times New Roman"/>
                <w:snapToGrid/>
                <w:spacing w:val="0"/>
                <w:w w:val="100"/>
                <w:kern w:val="21"/>
                <w:highlight w:val="none"/>
              </w:rPr>
              <w:t>卷烟的。</w:t>
            </w:r>
          </w:p>
        </w:tc>
        <w:tc>
          <w:tcPr>
            <w:tcW w:w="10091" w:type="dxa"/>
            <w:shd w:val="clear" w:color="auto" w:fill="auto"/>
            <w:vAlign w:val="center"/>
          </w:tcPr>
          <w:p w14:paraId="3D30B23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《烟草专卖许可证管理办法》（中华人民共和国工业和信息化部令第37</w:t>
            </w:r>
            <w:r>
              <w:rPr>
                <w:rFonts w:hint="default" w:ascii="Times New Roman" w:hAnsi="Times New Roman" w:cs="Times New Roman"/>
                <w:b/>
                <w:bCs/>
                <w:snapToGrid/>
                <w:spacing w:val="0"/>
                <w:w w:val="100"/>
                <w:kern w:val="21"/>
                <w:highlight w:val="none"/>
              </w:rPr>
              <w:t>号）</w:t>
            </w:r>
          </w:p>
          <w:p w14:paraId="09676B55">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第二十五条有下列情形之一的，不予发放烟草专卖零售许可证</w:t>
            </w:r>
            <w:r>
              <w:rPr>
                <w:rFonts w:hint="default" w:ascii="Times New Roman" w:hAnsi="Times New Roman" w:cs="Times New Roman"/>
                <w:snapToGrid/>
                <w:spacing w:val="0"/>
                <w:w w:val="100"/>
                <w:kern w:val="21"/>
                <w:highlight w:val="none"/>
                <w:lang w:eastAsia="zh-CN"/>
              </w:rPr>
              <w:t>：</w:t>
            </w:r>
          </w:p>
          <w:p w14:paraId="6B577772">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（一）</w:t>
            </w:r>
            <w:r>
              <w:rPr>
                <w:rFonts w:hint="default" w:ascii="Times New Roman" w:hAnsi="Times New Roman" w:cs="Times New Roman"/>
                <w:snapToGrid/>
                <w:spacing w:val="0"/>
                <w:w w:val="100"/>
                <w:kern w:val="21"/>
                <w:highlight w:val="none"/>
              </w:rPr>
              <w:t>经营场所基于安全因素不适宜经营卷烟的</w:t>
            </w:r>
            <w:r>
              <w:rPr>
                <w:rFonts w:hint="default" w:ascii="Times New Roman" w:hAnsi="Times New Roman" w:cs="Times New Roman"/>
                <w:snapToGrid/>
                <w:spacing w:val="0"/>
                <w:w w:val="100"/>
                <w:kern w:val="21"/>
                <w:highlight w:val="none"/>
                <w:lang w:eastAsia="zh-CN"/>
              </w:rPr>
              <w:t>；</w:t>
            </w:r>
          </w:p>
          <w:p w14:paraId="2F653C81">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（二）</w:t>
            </w:r>
            <w:r>
              <w:rPr>
                <w:rFonts w:hint="default" w:ascii="Times New Roman" w:hAnsi="Times New Roman" w:cs="Times New Roman"/>
                <w:snapToGrid/>
                <w:spacing w:val="0"/>
                <w:w w:val="100"/>
                <w:kern w:val="21"/>
                <w:highlight w:val="none"/>
              </w:rPr>
              <w:t>中、小学校周围</w:t>
            </w:r>
            <w:r>
              <w:rPr>
                <w:rFonts w:hint="default" w:ascii="Times New Roman" w:hAnsi="Times New Roman" w:cs="Times New Roman"/>
                <w:snapToGrid/>
                <w:spacing w:val="0"/>
                <w:w w:val="100"/>
                <w:kern w:val="21"/>
                <w:highlight w:val="none"/>
                <w:lang w:eastAsia="zh-CN"/>
              </w:rPr>
              <w:t>；</w:t>
            </w:r>
          </w:p>
          <w:p w14:paraId="363913A6">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（三）</w:t>
            </w:r>
            <w:r>
              <w:rPr>
                <w:rFonts w:hint="default" w:ascii="Times New Roman" w:hAnsi="Times New Roman" w:cs="Times New Roman"/>
                <w:snapToGrid/>
                <w:spacing w:val="0"/>
                <w:w w:val="100"/>
                <w:kern w:val="21"/>
                <w:highlight w:val="none"/>
              </w:rPr>
              <w:t>取消从事烟草专卖业务资格不满三年的</w:t>
            </w:r>
            <w:r>
              <w:rPr>
                <w:rFonts w:hint="default" w:ascii="Times New Roman" w:hAnsi="Times New Roman" w:cs="Times New Roman"/>
                <w:snapToGrid/>
                <w:spacing w:val="0"/>
                <w:w w:val="100"/>
                <w:kern w:val="21"/>
                <w:highlight w:val="none"/>
                <w:lang w:eastAsia="zh-CN"/>
              </w:rPr>
              <w:t>；</w:t>
            </w:r>
          </w:p>
          <w:p w14:paraId="5D391A16">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（四）</w:t>
            </w:r>
            <w:r>
              <w:rPr>
                <w:rFonts w:hint="default" w:ascii="Times New Roman" w:hAnsi="Times New Roman" w:cs="Times New Roman"/>
                <w:snapToGrid/>
                <w:spacing w:val="0"/>
                <w:w w:val="100"/>
                <w:kern w:val="21"/>
                <w:highlight w:val="none"/>
              </w:rPr>
              <w:t>因申请人隐瞒有关情况或者提供虚假材料，烟草专卖局作出不予受理</w:t>
            </w:r>
            <w:r>
              <w:rPr>
                <w:rFonts w:hint="default" w:ascii="Times New Roman" w:hAnsi="Times New Roman" w:cs="Times New Roman"/>
                <w:snapToGrid/>
                <w:spacing w:val="0"/>
                <w:w w:val="100"/>
                <w:kern w:val="21"/>
                <w:highlight w:val="none"/>
              </w:rPr>
              <w:t>或者不予发证决定后，申请人一</w:t>
            </w:r>
            <w:r>
              <w:rPr>
                <w:rFonts w:hint="default" w:ascii="Times New Roman" w:hAnsi="Times New Roman" w:cs="Times New Roman"/>
                <w:snapToGrid/>
                <w:spacing w:val="0"/>
                <w:w w:val="100"/>
                <w:kern w:val="21"/>
                <w:highlight w:val="none"/>
              </w:rPr>
              <w:t>年内再次提出申请的</w:t>
            </w:r>
            <w:r>
              <w:rPr>
                <w:rFonts w:hint="default" w:ascii="Times New Roman" w:hAnsi="Times New Roman" w:cs="Times New Roman"/>
                <w:snapToGrid/>
                <w:spacing w:val="0"/>
                <w:w w:val="100"/>
                <w:kern w:val="21"/>
                <w:highlight w:val="none"/>
                <w:lang w:eastAsia="zh-CN"/>
              </w:rPr>
              <w:t>；</w:t>
            </w:r>
          </w:p>
          <w:p w14:paraId="792DD323">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（五）</w:t>
            </w:r>
            <w:r>
              <w:rPr>
                <w:rFonts w:hint="default" w:ascii="Times New Roman" w:hAnsi="Times New Roman" w:cs="Times New Roman"/>
                <w:snapToGrid/>
                <w:spacing w:val="0"/>
                <w:w w:val="100"/>
                <w:kern w:val="21"/>
                <w:highlight w:val="none"/>
              </w:rPr>
              <w:t>因申请人以欺骗、贿赂等不正当手段取得的烟草专卖许可证被撤销后，申请人三年内再次提出申请</w:t>
            </w:r>
            <w:r>
              <w:rPr>
                <w:rFonts w:hint="default" w:ascii="Times New Roman" w:hAnsi="Times New Roman" w:cs="Times New Roman"/>
                <w:snapToGrid/>
                <w:spacing w:val="0"/>
                <w:w w:val="100"/>
                <w:kern w:val="21"/>
                <w:highlight w:val="none"/>
              </w:rPr>
              <w:t>的</w:t>
            </w:r>
            <w:r>
              <w:rPr>
                <w:rFonts w:hint="default" w:ascii="Times New Roman" w:hAnsi="Times New Roman" w:cs="Times New Roman"/>
                <w:snapToGrid/>
                <w:spacing w:val="0"/>
                <w:w w:val="100"/>
                <w:kern w:val="21"/>
                <w:highlight w:val="none"/>
                <w:lang w:eastAsia="zh-CN"/>
              </w:rPr>
              <w:t>；</w:t>
            </w:r>
          </w:p>
          <w:p w14:paraId="26691980">
            <w:pPr>
              <w:pStyle w:val="10"/>
              <w:keepNext w:val="0"/>
              <w:keepLines/>
              <w:pageBreakBefore w:val="0"/>
              <w:widowControl w:val="0"/>
              <w:kinsoku/>
              <w:wordWrap/>
              <w:overflowPunct/>
              <w:topLinePunct/>
              <w:autoSpaceDE/>
              <w:autoSpaceDN/>
              <w:bidi w:val="0"/>
              <w:adjustRightInd/>
              <w:snapToGrid/>
              <w:spacing w:line="280" w:lineRule="exact"/>
              <w:ind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lang w:eastAsia="zh-CN"/>
              </w:rPr>
              <w:t>（六）</w:t>
            </w:r>
            <w:r>
              <w:rPr>
                <w:rFonts w:hint="default" w:ascii="Times New Roman" w:hAnsi="Times New Roman" w:cs="Times New Roman"/>
                <w:snapToGrid/>
                <w:spacing w:val="0"/>
                <w:w w:val="100"/>
                <w:kern w:val="21"/>
                <w:highlight w:val="none"/>
              </w:rPr>
              <w:t>未领取烟草专卖零售许可证经营烟草专卖品业务，并且一年内被执法机关处罚两次以上，在三年内申</w:t>
            </w:r>
            <w:r>
              <w:rPr>
                <w:rFonts w:hint="default" w:ascii="Times New Roman" w:hAnsi="Times New Roman" w:cs="Times New Roman"/>
                <w:snapToGrid/>
                <w:spacing w:val="0"/>
                <w:w w:val="100"/>
                <w:kern w:val="21"/>
                <w:highlight w:val="none"/>
              </w:rPr>
              <w:t>请领取烟草专卖零售许可证的</w:t>
            </w:r>
            <w:r>
              <w:rPr>
                <w:rFonts w:hint="default" w:ascii="Times New Roman" w:hAnsi="Times New Roman" w:cs="Times New Roman"/>
                <w:snapToGrid/>
                <w:spacing w:val="0"/>
                <w:w w:val="100"/>
                <w:kern w:val="21"/>
                <w:highlight w:val="none"/>
                <w:lang w:eastAsia="zh-CN"/>
              </w:rPr>
              <w:t>；</w:t>
            </w:r>
          </w:p>
          <w:p w14:paraId="26B724EE">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zh-CN" w:bidi="ar-SA"/>
              </w:rPr>
            </w:pPr>
            <w:r>
              <w:rPr>
                <w:rFonts w:hint="default" w:ascii="Times New Roman" w:hAnsi="Times New Roman" w:cs="Times New Roman"/>
                <w:snapToGrid/>
                <w:spacing w:val="0"/>
                <w:w w:val="100"/>
                <w:kern w:val="21"/>
                <w:highlight w:val="none"/>
                <w:lang w:eastAsia="zh-CN"/>
              </w:rPr>
              <w:t>（七）</w:t>
            </w:r>
            <w:r>
              <w:rPr>
                <w:rFonts w:hint="default" w:ascii="Times New Roman" w:hAnsi="Times New Roman" w:cs="Times New Roman"/>
                <w:snapToGrid/>
                <w:spacing w:val="0"/>
                <w:w w:val="100"/>
                <w:kern w:val="21"/>
                <w:highlight w:val="none"/>
              </w:rPr>
              <w:t>国家烟草专卖局规定的其他不予发证的情形。</w:t>
            </w:r>
          </w:p>
        </w:tc>
      </w:tr>
      <w:tr w14:paraId="3BAB8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49" w:hRule="atLeast"/>
          <w:jc w:val="center"/>
        </w:trPr>
        <w:tc>
          <w:tcPr>
            <w:tcW w:w="652" w:type="dxa"/>
            <w:shd w:val="clear" w:color="auto" w:fill="auto"/>
            <w:vAlign w:val="center"/>
          </w:tcPr>
          <w:p w14:paraId="217A84BA">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zh-CN" w:bidi="ar-SA"/>
              </w:rPr>
            </w:pPr>
            <w:r>
              <w:rPr>
                <w:rFonts w:hint="default" w:ascii="Times New Roman" w:hAnsi="Times New Roman" w:cs="Times New Roman"/>
                <w:snapToGrid/>
                <w:spacing w:val="0"/>
                <w:w w:val="100"/>
                <w:kern w:val="21"/>
                <w:highlight w:val="none"/>
              </w:rPr>
              <w:t>4</w:t>
            </w:r>
            <w:r>
              <w:rPr>
                <w:rFonts w:hint="default" w:ascii="Times New Roman" w:hAnsi="Times New Roman" w:cs="Times New Roman"/>
                <w:snapToGrid/>
                <w:spacing w:val="0"/>
                <w:w w:val="100"/>
                <w:kern w:val="21"/>
                <w:highlight w:val="none"/>
                <w:lang w:val="en-US" w:eastAsia="zh-CN"/>
              </w:rPr>
              <w:t>4</w:t>
            </w:r>
          </w:p>
        </w:tc>
        <w:tc>
          <w:tcPr>
            <w:tcW w:w="1928" w:type="dxa"/>
            <w:shd w:val="clear" w:color="auto" w:fill="auto"/>
            <w:vAlign w:val="center"/>
          </w:tcPr>
          <w:p w14:paraId="245127E2">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center"/>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采矿业</w:t>
            </w:r>
          </w:p>
        </w:tc>
        <w:tc>
          <w:tcPr>
            <w:tcW w:w="2551" w:type="dxa"/>
            <w:shd w:val="clear" w:color="auto" w:fill="auto"/>
            <w:vAlign w:val="center"/>
          </w:tcPr>
          <w:p w14:paraId="37C01CCA">
            <w:pPr>
              <w:pStyle w:val="10"/>
              <w:keepNext w:val="0"/>
              <w:keepLines/>
              <w:pageBreakBefore w:val="0"/>
              <w:widowControl w:val="0"/>
              <w:kinsoku/>
              <w:wordWrap/>
              <w:overflowPunct/>
              <w:topLinePunct/>
              <w:autoSpaceDE/>
              <w:autoSpaceDN/>
              <w:bidi w:val="0"/>
              <w:adjustRightInd/>
              <w:snapToGrid/>
              <w:spacing w:line="280" w:lineRule="exact"/>
              <w:ind w:left="0" w:right="0" w:hanging="3"/>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1.港口、机场、国防工程设施圈定地</w:t>
            </w:r>
            <w:r>
              <w:rPr>
                <w:rFonts w:hint="default" w:ascii="Times New Roman" w:hAnsi="Times New Roman" w:cs="Times New Roman"/>
                <w:snapToGrid/>
                <w:spacing w:val="0"/>
                <w:w w:val="100"/>
                <w:kern w:val="21"/>
                <w:highlight w:val="none"/>
              </w:rPr>
              <w:t>区以内；</w:t>
            </w:r>
          </w:p>
          <w:p w14:paraId="5C04E7AB">
            <w:pPr>
              <w:pStyle w:val="10"/>
              <w:keepNext w:val="0"/>
              <w:keepLines/>
              <w:pageBreakBefore w:val="0"/>
              <w:widowControl w:val="0"/>
              <w:kinsoku/>
              <w:wordWrap/>
              <w:overflowPunct/>
              <w:topLinePunct/>
              <w:autoSpaceDE/>
              <w:autoSpaceDN/>
              <w:bidi w:val="0"/>
              <w:adjustRightInd/>
              <w:snapToGrid/>
              <w:spacing w:line="280" w:lineRule="exact"/>
              <w:ind w:left="0" w:right="0" w:firstLine="2"/>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2.重要工业区、大型水利工程设施、</w:t>
            </w:r>
            <w:r>
              <w:rPr>
                <w:rFonts w:hint="default" w:ascii="Times New Roman" w:hAnsi="Times New Roman" w:cs="Times New Roman"/>
                <w:snapToGrid/>
                <w:spacing w:val="0"/>
                <w:w w:val="100"/>
                <w:kern w:val="21"/>
                <w:highlight w:val="none"/>
              </w:rPr>
              <w:t>城镇市政工程设施附近一定距离以</w:t>
            </w:r>
            <w:r>
              <w:rPr>
                <w:rFonts w:hint="default" w:ascii="Times New Roman" w:hAnsi="Times New Roman" w:cs="Times New Roman"/>
                <w:snapToGrid/>
                <w:spacing w:val="0"/>
                <w:w w:val="100"/>
                <w:kern w:val="21"/>
                <w:highlight w:val="none"/>
              </w:rPr>
              <w:t>内；</w:t>
            </w:r>
          </w:p>
          <w:p w14:paraId="2121CDDE">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3.铁路、重要公路两侧一定距离以内；</w:t>
            </w:r>
          </w:p>
          <w:p w14:paraId="54EF3C4C">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4.重要河流、堤坝两侧一定距离以内；</w:t>
            </w:r>
          </w:p>
          <w:p w14:paraId="03FAEB45">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5.国家划定的自然保护区、重要风景</w:t>
            </w:r>
            <w:r>
              <w:rPr>
                <w:rFonts w:hint="default" w:ascii="Times New Roman" w:hAnsi="Times New Roman" w:cs="Times New Roman"/>
                <w:snapToGrid/>
                <w:spacing w:val="0"/>
                <w:w w:val="100"/>
                <w:kern w:val="21"/>
                <w:highlight w:val="none"/>
              </w:rPr>
              <w:t>区，国家重点保护的不能移动的历史</w:t>
            </w:r>
            <w:r>
              <w:rPr>
                <w:rFonts w:hint="default" w:ascii="Times New Roman" w:hAnsi="Times New Roman" w:cs="Times New Roman"/>
                <w:snapToGrid/>
                <w:spacing w:val="0"/>
                <w:w w:val="100"/>
                <w:kern w:val="21"/>
                <w:highlight w:val="none"/>
              </w:rPr>
              <w:t>文物和名胜古迹所在地。</w:t>
            </w:r>
          </w:p>
          <w:p w14:paraId="40A24B60">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6.耕地</w:t>
            </w:r>
          </w:p>
          <w:p w14:paraId="624672F4">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rPr>
              <w:t>7.水文监测环境保护范围内</w:t>
            </w:r>
          </w:p>
        </w:tc>
        <w:tc>
          <w:tcPr>
            <w:tcW w:w="10091" w:type="dxa"/>
            <w:shd w:val="clear" w:color="auto" w:fill="auto"/>
            <w:vAlign w:val="center"/>
          </w:tcPr>
          <w:p w14:paraId="79B46977">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《中华人民共和国矿产资源法》</w:t>
            </w:r>
          </w:p>
          <w:p w14:paraId="30A91463">
            <w:pPr>
              <w:pStyle w:val="10"/>
              <w:keepNext w:val="0"/>
              <w:keepLines/>
              <w:pageBreakBefore w:val="0"/>
              <w:widowControl w:val="0"/>
              <w:kinsoku/>
              <w:wordWrap/>
              <w:overflowPunct/>
              <w:topLinePunct/>
              <w:autoSpaceDE/>
              <w:autoSpaceDN/>
              <w:bidi w:val="0"/>
              <w:adjustRightInd/>
              <w:snapToGrid/>
              <w:spacing w:line="280" w:lineRule="exact"/>
              <w:ind w:left="0" w:right="0" w:firstLine="395"/>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第二十条非经国务院授权的有关主管部门同意，不得在下列地区开采矿产资源</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一）港口、机场、国</w:t>
            </w:r>
            <w:r>
              <w:rPr>
                <w:rFonts w:hint="default" w:ascii="Times New Roman" w:hAnsi="Times New Roman" w:cs="Times New Roman"/>
                <w:snapToGrid/>
                <w:spacing w:val="0"/>
                <w:w w:val="100"/>
                <w:kern w:val="21"/>
                <w:highlight w:val="none"/>
              </w:rPr>
              <w:t>防工程设施圈定地区以内</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二）重要工业区、大型水利工程设</w:t>
            </w:r>
            <w:r>
              <w:rPr>
                <w:rFonts w:hint="default" w:ascii="Times New Roman" w:hAnsi="Times New Roman" w:cs="Times New Roman"/>
                <w:snapToGrid/>
                <w:spacing w:val="0"/>
                <w:w w:val="100"/>
                <w:kern w:val="21"/>
                <w:highlight w:val="none"/>
              </w:rPr>
              <w:t>施、城镇市政工程设施附近一定距离以内</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三）</w:t>
            </w:r>
            <w:r>
              <w:rPr>
                <w:rFonts w:hint="default" w:ascii="Times New Roman" w:hAnsi="Times New Roman" w:cs="Times New Roman"/>
                <w:snapToGrid/>
                <w:spacing w:val="0"/>
                <w:w w:val="100"/>
                <w:kern w:val="21"/>
                <w:highlight w:val="none"/>
              </w:rPr>
              <w:t>铁路、重要公路两侧一定距离以内</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四）重要河流、堤坝两侧一定距离以内</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五）国家划定的自然保护区、</w:t>
            </w:r>
            <w:r>
              <w:rPr>
                <w:rFonts w:hint="default" w:ascii="Times New Roman" w:hAnsi="Times New Roman" w:cs="Times New Roman"/>
                <w:snapToGrid/>
                <w:spacing w:val="0"/>
                <w:w w:val="100"/>
                <w:kern w:val="21"/>
                <w:highlight w:val="none"/>
              </w:rPr>
              <w:t>重要风景区，国家重点保护的不能移动的历史文物和名胜古迹所在地</w:t>
            </w:r>
            <w:r>
              <w:rPr>
                <w:rFonts w:hint="default" w:ascii="Times New Roman" w:hAnsi="Times New Roman" w:cs="Times New Roman"/>
                <w:snapToGrid/>
                <w:spacing w:val="0"/>
                <w:w w:val="100"/>
                <w:kern w:val="21"/>
                <w:highlight w:val="none"/>
              </w:rPr>
              <w:t>；（</w:t>
            </w:r>
            <w:r>
              <w:rPr>
                <w:rFonts w:hint="default" w:ascii="Times New Roman" w:hAnsi="Times New Roman" w:cs="Times New Roman"/>
                <w:snapToGrid/>
                <w:spacing w:val="0"/>
                <w:w w:val="100"/>
                <w:kern w:val="21"/>
                <w:highlight w:val="none"/>
              </w:rPr>
              <w:t>六）国家规定不得开采矿产资源的其</w:t>
            </w:r>
            <w:r>
              <w:rPr>
                <w:rFonts w:hint="default" w:ascii="Times New Roman" w:hAnsi="Times New Roman" w:cs="Times New Roman"/>
                <w:snapToGrid/>
                <w:spacing w:val="0"/>
                <w:w w:val="100"/>
                <w:kern w:val="21"/>
                <w:highlight w:val="none"/>
              </w:rPr>
              <w:t>他地区。</w:t>
            </w:r>
          </w:p>
          <w:p w14:paraId="1BAF06FA">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《中华人民共和国土地管理法》</w:t>
            </w:r>
          </w:p>
          <w:p w14:paraId="54F5AF08">
            <w:pPr>
              <w:pStyle w:val="10"/>
              <w:keepNext w:val="0"/>
              <w:keepLines/>
              <w:pageBreakBefore w:val="0"/>
              <w:widowControl w:val="0"/>
              <w:kinsoku/>
              <w:wordWrap/>
              <w:overflowPunct/>
              <w:topLinePunct/>
              <w:autoSpaceDE/>
              <w:autoSpaceDN/>
              <w:bidi w:val="0"/>
              <w:adjustRightInd/>
              <w:snapToGrid/>
              <w:spacing w:line="280" w:lineRule="exact"/>
              <w:ind w:left="0" w:right="0" w:firstLine="371"/>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第三十七条第二款禁止占用耕地建窑、建坟或者擅自在耕地上建房、挖砂、采石、采矿、取土等。禁止</w:t>
            </w:r>
            <w:r>
              <w:rPr>
                <w:rFonts w:hint="default" w:ascii="Times New Roman" w:hAnsi="Times New Roman" w:cs="Times New Roman"/>
                <w:snapToGrid/>
                <w:spacing w:val="0"/>
                <w:w w:val="100"/>
                <w:kern w:val="21"/>
                <w:highlight w:val="none"/>
              </w:rPr>
              <w:t>占用永久基本农田发展林果业和挖塘养鱼。</w:t>
            </w:r>
          </w:p>
          <w:p w14:paraId="66C27F2B">
            <w:pPr>
              <w:pStyle w:val="10"/>
              <w:keepNext w:val="0"/>
              <w:keepLines/>
              <w:pageBreakBefore w:val="0"/>
              <w:widowControl w:val="0"/>
              <w:kinsoku/>
              <w:wordWrap/>
              <w:overflowPunct/>
              <w:topLinePunct/>
              <w:autoSpaceDE/>
              <w:autoSpaceDN/>
              <w:bidi w:val="0"/>
              <w:adjustRightInd/>
              <w:snapToGrid/>
              <w:spacing w:line="280" w:lineRule="exact"/>
              <w:ind w:left="0" w:right="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b/>
                <w:bCs/>
                <w:snapToGrid/>
                <w:spacing w:val="0"/>
                <w:w w:val="100"/>
                <w:kern w:val="21"/>
                <w:highlight w:val="none"/>
              </w:rPr>
              <w:t>《中华人民共和国水文条例》</w:t>
            </w:r>
          </w:p>
          <w:p w14:paraId="73036411">
            <w:pPr>
              <w:pStyle w:val="10"/>
              <w:keepNext w:val="0"/>
              <w:keepLines/>
              <w:pageBreakBefore w:val="0"/>
              <w:widowControl w:val="0"/>
              <w:kinsoku/>
              <w:wordWrap/>
              <w:overflowPunct/>
              <w:topLinePunct/>
              <w:autoSpaceDE/>
              <w:autoSpaceDN/>
              <w:bidi w:val="0"/>
              <w:adjustRightInd/>
              <w:snapToGrid/>
              <w:spacing w:line="280" w:lineRule="exact"/>
              <w:ind w:left="0" w:right="0" w:firstLine="380" w:firstLineChars="200"/>
              <w:jc w:val="both"/>
              <w:textAlignment w:val="baseline"/>
              <w:rPr>
                <w:rFonts w:hint="default" w:ascii="Times New Roman" w:hAnsi="Times New Roman" w:cs="Times New Roman"/>
                <w:snapToGrid/>
                <w:spacing w:val="0"/>
                <w:w w:val="100"/>
                <w:kern w:val="21"/>
                <w:highlight w:val="none"/>
              </w:rPr>
            </w:pPr>
            <w:r>
              <w:rPr>
                <w:rFonts w:hint="default" w:ascii="Times New Roman" w:hAnsi="Times New Roman" w:cs="Times New Roman"/>
                <w:snapToGrid/>
                <w:spacing w:val="0"/>
                <w:w w:val="100"/>
                <w:kern w:val="21"/>
                <w:highlight w:val="none"/>
              </w:rPr>
              <w:t>第三十二条禁止在水文监测环境保护范围内从事下列活动：</w:t>
            </w:r>
          </w:p>
          <w:p w14:paraId="4E4898DA">
            <w:pPr>
              <w:pStyle w:val="10"/>
              <w:keepNext w:val="0"/>
              <w:keepLines/>
              <w:pageBreakBefore w:val="0"/>
              <w:widowControl w:val="0"/>
              <w:kinsoku/>
              <w:wordWrap/>
              <w:overflowPunct/>
              <w:topLinePunct/>
              <w:autoSpaceDE/>
              <w:autoSpaceDN/>
              <w:bidi w:val="0"/>
              <w:adjustRightInd/>
              <w:snapToGrid/>
              <w:spacing w:line="280" w:lineRule="exact"/>
              <w:ind w:left="0" w:leftChars="0" w:right="0" w:rightChars="0"/>
              <w:jc w:val="both"/>
              <w:textAlignment w:val="baseline"/>
              <w:rPr>
                <w:rFonts w:hint="default" w:ascii="Times New Roman" w:hAnsi="Times New Roman" w:eastAsia="微软雅黑" w:cs="Times New Roman"/>
                <w:snapToGrid/>
                <w:color w:val="000000"/>
                <w:spacing w:val="0"/>
                <w:w w:val="100"/>
                <w:kern w:val="21"/>
                <w:sz w:val="19"/>
                <w:szCs w:val="19"/>
                <w:highlight w:val="none"/>
                <w:lang w:val="en-US" w:eastAsia="en-US" w:bidi="ar-SA"/>
              </w:rPr>
            </w:pPr>
            <w:r>
              <w:rPr>
                <w:rFonts w:hint="default" w:ascii="Times New Roman" w:hAnsi="Times New Roman" w:cs="Times New Roman"/>
                <w:snapToGrid/>
                <w:spacing w:val="0"/>
                <w:w w:val="100"/>
                <w:kern w:val="21"/>
                <w:highlight w:val="none"/>
                <w:lang w:eastAsia="zh-CN"/>
              </w:rPr>
              <w:t>（二）</w:t>
            </w:r>
            <w:r>
              <w:rPr>
                <w:rFonts w:hint="default" w:ascii="Times New Roman" w:hAnsi="Times New Roman" w:cs="Times New Roman"/>
                <w:snapToGrid/>
                <w:spacing w:val="0"/>
                <w:w w:val="100"/>
                <w:kern w:val="21"/>
                <w:highlight w:val="none"/>
              </w:rPr>
              <w:t>取土、挖砂、采石、淘金、爆破和倾倒废弃物；</w:t>
            </w:r>
          </w:p>
        </w:tc>
      </w:tr>
    </w:tbl>
    <w:p w14:paraId="0AB75EFF">
      <w:pPr>
        <w:pStyle w:val="3"/>
        <w:keepNext w:val="0"/>
        <w:keepLines w:val="0"/>
        <w:pageBreakBefore w:val="0"/>
        <w:widowControl w:val="0"/>
        <w:kinsoku/>
        <w:wordWrap/>
        <w:overflowPunct/>
        <w:topLinePunct/>
        <w:autoSpaceDE/>
        <w:autoSpaceDN/>
        <w:bidi w:val="0"/>
        <w:adjustRightInd/>
        <w:snapToGrid/>
        <w:spacing w:line="240" w:lineRule="auto"/>
        <w:ind w:left="0" w:right="0"/>
        <w:textAlignment w:val="baseline"/>
        <w:rPr>
          <w:rFonts w:hint="default" w:ascii="Times New Roman" w:hAnsi="Times New Roman" w:cs="Times New Roman"/>
          <w:snapToGrid/>
          <w:spacing w:val="0"/>
          <w:w w:val="100"/>
          <w:kern w:val="21"/>
        </w:rPr>
      </w:pPr>
    </w:p>
    <w:sectPr>
      <w:footerReference r:id="rId5" w:type="default"/>
      <w:pgSz w:w="16839" w:h="11906"/>
      <w:pgMar w:top="850" w:right="850" w:bottom="850" w:left="850" w:header="850" w:footer="992" w:gutter="0"/>
      <w:pgNumType w:fmt="decimal"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29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B651A">
                          <w:pPr>
                            <w:pStyle w:val="4"/>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3CB651A">
                    <w:pPr>
                      <w:pStyle w:val="4"/>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636F9"/>
    <w:multiLevelType w:val="singleLevel"/>
    <w:tmpl w:val="FBA636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AE15BA"/>
    <w:rsid w:val="087938B9"/>
    <w:rsid w:val="0B0A3B2F"/>
    <w:rsid w:val="0C3C77C2"/>
    <w:rsid w:val="1BB7BD02"/>
    <w:rsid w:val="1DF960CE"/>
    <w:rsid w:val="1F122276"/>
    <w:rsid w:val="378C35EB"/>
    <w:rsid w:val="38ED6723"/>
    <w:rsid w:val="3ACA7C12"/>
    <w:rsid w:val="3AF37A62"/>
    <w:rsid w:val="41160006"/>
    <w:rsid w:val="42176969"/>
    <w:rsid w:val="53AE0038"/>
    <w:rsid w:val="54D36316"/>
    <w:rsid w:val="595F7A3D"/>
    <w:rsid w:val="5FF92820"/>
    <w:rsid w:val="60203CAC"/>
    <w:rsid w:val="653DA237"/>
    <w:rsid w:val="672524A2"/>
    <w:rsid w:val="679F0D29"/>
    <w:rsid w:val="67BF8F8B"/>
    <w:rsid w:val="6AFB633F"/>
    <w:rsid w:val="6BF6E8FD"/>
    <w:rsid w:val="70A40DE9"/>
    <w:rsid w:val="72DF3034"/>
    <w:rsid w:val="77FB256C"/>
    <w:rsid w:val="79FD3993"/>
    <w:rsid w:val="7CDDE12D"/>
    <w:rsid w:val="7D893CE4"/>
    <w:rsid w:val="7E8B6D8E"/>
    <w:rsid w:val="7F7E2808"/>
    <w:rsid w:val="7FDD0609"/>
    <w:rsid w:val="7FDF165B"/>
    <w:rsid w:val="7FF6F9DA"/>
    <w:rsid w:val="7FFE7A41"/>
    <w:rsid w:val="97DBD67F"/>
    <w:rsid w:val="ACFD846D"/>
    <w:rsid w:val="AFFDB8E8"/>
    <w:rsid w:val="BBBF3E83"/>
    <w:rsid w:val="BFBD9E54"/>
    <w:rsid w:val="BFFF08A2"/>
    <w:rsid w:val="CE1F5C74"/>
    <w:rsid w:val="CEFF479F"/>
    <w:rsid w:val="D7E56417"/>
    <w:rsid w:val="DDFFA96F"/>
    <w:rsid w:val="E52F8A93"/>
    <w:rsid w:val="F7FC0A96"/>
    <w:rsid w:val="F8BC4B86"/>
    <w:rsid w:val="FD97FF43"/>
    <w:rsid w:val="FDFF9EBA"/>
    <w:rsid w:val="FEBB40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rFonts w:ascii="等线" w:hAnsi="等线" w:eastAsia="等线" w:cs="宋体"/>
      <w:sz w:val="32"/>
      <w:szCs w:val="22"/>
      <w:lang w:eastAsia="en-US"/>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12022</Words>
  <Characters>12309</Characters>
  <TotalTime>5</TotalTime>
  <ScaleCrop>false</ScaleCrop>
  <LinksUpToDate>false</LinksUpToDate>
  <CharactersWithSpaces>12321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2024-06-16T15:49:00Z</dcterms:created>
  <dc:creator>uos</dc:creator>
  <cp:lastModifiedBy>Jason</cp:lastModifiedBy>
  <cp:lastPrinted>2025-10-10T07:11:09Z</cp:lastPrinted>
  <dcterms:modified xsi:type="dcterms:W3CDTF">2025-10-10T07:35:48Z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2025-08-01T09:11:23Z</vt:filetime>
  </property>
  <property fmtid="{D5CDD505-2E9C-101B-9397-08002B2CF9AE}" pid="4" name="KSOProductBuildVer">
    <vt:lpwstr>2052-12.1.0.22529</vt:lpwstr>
  </property>
  <property fmtid="{D5CDD505-2E9C-101B-9397-08002B2CF9AE}" pid="5" name="ICV">
    <vt:lpwstr>0C8314A06F6B4005B34F62B18A5F4AB1_13</vt:lpwstr>
  </property>
  <property fmtid="{D5CDD505-2E9C-101B-9397-08002B2CF9AE}" pid="6" name="KSOTemplateDocerSaveRecord">
    <vt:lpwstr>eyJoZGlkIjoiMmUzZjk0MDZiM2RjZjcyMjZkYjE4MjU0ZjI3OTU0YjUiLCJ1c2VySWQiOiIxOTYzMTQ4NDAifQ==</vt:lpwstr>
  </property>
</Properties>
</file>