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ED75E5C">
      <w:pPr>
        <w:rPr>
          <w:rFonts w:hint="default" w:ascii="Times New Roman" w:hAnsi="Times New Roman" w:eastAsia="仿宋_GB2312" w:cs="Times New Roman"/>
          <w:color w:val="auto"/>
          <w:sz w:val="36"/>
          <w:szCs w:val="36"/>
          <w:highlight w:val="none"/>
          <w:lang w:val="en-US" w:eastAsia="zh-CN"/>
        </w:rPr>
      </w:pPr>
    </w:p>
    <w:p w14:paraId="00EAF6EE">
      <w:pPr>
        <w:rPr>
          <w:rFonts w:hint="default" w:ascii="Times New Roman" w:hAnsi="Times New Roman" w:eastAsia="仿宋_GB2312" w:cs="Times New Roman"/>
          <w:color w:val="auto"/>
          <w:sz w:val="36"/>
          <w:szCs w:val="36"/>
          <w:highlight w:val="none"/>
        </w:rPr>
      </w:pPr>
    </w:p>
    <w:p w14:paraId="3A32757D">
      <w:pPr>
        <w:rPr>
          <w:rFonts w:hint="default" w:ascii="Times New Roman" w:hAnsi="Times New Roman" w:eastAsia="仿宋_GB2312" w:cs="Times New Roman"/>
          <w:color w:val="auto"/>
          <w:sz w:val="36"/>
          <w:szCs w:val="36"/>
          <w:highlight w:val="none"/>
        </w:rPr>
      </w:pPr>
    </w:p>
    <w:p w14:paraId="0B77BF09">
      <w:pPr>
        <w:rPr>
          <w:rFonts w:hint="eastAsia" w:ascii="宋体" w:hAnsi="宋体" w:eastAsia="宋体" w:cs="宋体"/>
          <w:color w:val="auto"/>
          <w:sz w:val="36"/>
          <w:szCs w:val="36"/>
          <w:highlight w:val="none"/>
        </w:rPr>
      </w:pPr>
    </w:p>
    <w:p w14:paraId="4ED1D276">
      <w:pPr>
        <w:rPr>
          <w:rFonts w:hint="eastAsia" w:ascii="宋体" w:hAnsi="宋体" w:eastAsia="宋体" w:cs="宋体"/>
          <w:color w:val="auto"/>
          <w:sz w:val="36"/>
          <w:szCs w:val="36"/>
          <w:highlight w:val="none"/>
        </w:rPr>
      </w:pPr>
    </w:p>
    <w:p w14:paraId="67E46258">
      <w:pPr>
        <w:adjustRightInd w:val="0"/>
        <w:snapToGrid w:val="0"/>
        <w:jc w:val="center"/>
        <w:outlineLvl w:val="0"/>
        <w:rPr>
          <w:rFonts w:hint="eastAsia" w:ascii="宋体" w:hAnsi="宋体" w:eastAsia="宋体" w:cs="宋体"/>
          <w:bCs/>
          <w:color w:val="auto"/>
          <w:sz w:val="72"/>
          <w:szCs w:val="72"/>
          <w:highlight w:val="none"/>
        </w:rPr>
      </w:pPr>
      <w:bookmarkStart w:id="0" w:name="_Toc20566"/>
      <w:bookmarkStart w:id="1" w:name="_Toc1041"/>
      <w:bookmarkStart w:id="2" w:name="_Toc18176"/>
      <w:bookmarkStart w:id="3" w:name="_Toc15511"/>
      <w:bookmarkStart w:id="4" w:name="_Toc845"/>
      <w:bookmarkStart w:id="5" w:name="_Toc24661"/>
      <w:bookmarkStart w:id="6" w:name="_Toc8828"/>
      <w:bookmarkStart w:id="7" w:name="_Toc80034800"/>
      <w:bookmarkStart w:id="8" w:name="_Toc17705"/>
      <w:bookmarkStart w:id="9" w:name="_Toc13958"/>
      <w:r>
        <w:rPr>
          <w:rFonts w:hint="eastAsia" w:ascii="宋体" w:hAnsi="宋体" w:eastAsia="宋体" w:cs="宋体"/>
          <w:bCs/>
          <w:color w:val="auto"/>
          <w:sz w:val="72"/>
          <w:szCs w:val="72"/>
          <w:highlight w:val="none"/>
        </w:rPr>
        <w:t>建设项目环境影响报告表</w:t>
      </w:r>
      <w:bookmarkEnd w:id="0"/>
      <w:bookmarkEnd w:id="1"/>
      <w:bookmarkEnd w:id="2"/>
      <w:bookmarkEnd w:id="3"/>
      <w:bookmarkEnd w:id="4"/>
      <w:bookmarkEnd w:id="5"/>
      <w:bookmarkEnd w:id="6"/>
      <w:bookmarkEnd w:id="7"/>
      <w:bookmarkEnd w:id="8"/>
      <w:bookmarkEnd w:id="9"/>
    </w:p>
    <w:p w14:paraId="78B4FE95">
      <w:pPr>
        <w:adjustRightInd w:val="0"/>
        <w:snapToGrid w:val="0"/>
        <w:spacing w:before="192" w:beforeLines="80"/>
        <w:jc w:val="center"/>
        <w:rPr>
          <w:rFonts w:hint="eastAsia" w:ascii="宋体" w:hAnsi="宋体" w:eastAsia="宋体" w:cs="宋体"/>
          <w:bCs/>
          <w:color w:val="auto"/>
          <w:sz w:val="48"/>
          <w:szCs w:val="48"/>
          <w:highlight w:val="none"/>
        </w:rPr>
      </w:pPr>
      <w:r>
        <w:rPr>
          <w:rFonts w:hint="eastAsia" w:ascii="宋体" w:hAnsi="宋体" w:eastAsia="宋体" w:cs="宋体"/>
          <w:bCs/>
          <w:color w:val="auto"/>
          <w:sz w:val="48"/>
          <w:szCs w:val="48"/>
          <w:highlight w:val="none"/>
        </w:rPr>
        <w:t>（污染影响类）</w:t>
      </w:r>
    </w:p>
    <w:p w14:paraId="7A7A1BED">
      <w:pPr>
        <w:adjustRightInd w:val="0"/>
        <w:snapToGrid w:val="0"/>
        <w:spacing w:before="192" w:beforeLines="80"/>
        <w:jc w:val="center"/>
        <w:rPr>
          <w:rFonts w:hint="default" w:ascii="Times New Roman" w:hAnsi="Times New Roman" w:eastAsia="楷体_GB2312" w:cs="Times New Roman"/>
          <w:bCs/>
          <w:color w:val="auto"/>
          <w:sz w:val="48"/>
          <w:szCs w:val="48"/>
          <w:highlight w:val="none"/>
        </w:rPr>
      </w:pPr>
    </w:p>
    <w:p w14:paraId="1975AC30">
      <w:pPr>
        <w:rPr>
          <w:rFonts w:hint="default" w:ascii="Times New Roman" w:hAnsi="Times New Roman" w:cs="Times New Roman"/>
          <w:color w:val="auto"/>
          <w:highlight w:val="none"/>
        </w:rPr>
      </w:pPr>
    </w:p>
    <w:p w14:paraId="262A6AB1">
      <w:pPr>
        <w:jc w:val="center"/>
        <w:rPr>
          <w:rFonts w:hint="default" w:ascii="Times New Roman" w:hAnsi="Times New Roman" w:eastAsia="仿宋" w:cs="Times New Roman"/>
          <w:color w:val="auto"/>
          <w:sz w:val="52"/>
          <w:szCs w:val="52"/>
          <w:highlight w:val="none"/>
        </w:rPr>
      </w:pPr>
    </w:p>
    <w:p w14:paraId="6D7728F6">
      <w:pPr>
        <w:ind w:firstLine="1040"/>
        <w:rPr>
          <w:rFonts w:hint="default" w:ascii="Times New Roman" w:hAnsi="Times New Roman" w:eastAsia="仿宋" w:cs="Times New Roman"/>
          <w:color w:val="auto"/>
          <w:sz w:val="44"/>
          <w:szCs w:val="44"/>
          <w:highlight w:val="none"/>
        </w:rPr>
      </w:pPr>
    </w:p>
    <w:p w14:paraId="32825941">
      <w:pPr>
        <w:ind w:firstLine="1040"/>
        <w:rPr>
          <w:rFonts w:hint="default" w:ascii="Times New Roman" w:hAnsi="Times New Roman" w:eastAsia="仿宋" w:cs="Times New Roman"/>
          <w:color w:val="auto"/>
          <w:sz w:val="44"/>
          <w:szCs w:val="44"/>
          <w:highlight w:val="none"/>
        </w:rPr>
      </w:pPr>
    </w:p>
    <w:p w14:paraId="1A500674">
      <w:pPr>
        <w:ind w:firstLine="1040"/>
        <w:rPr>
          <w:rFonts w:hint="default" w:ascii="Times New Roman" w:hAnsi="Times New Roman" w:eastAsia="仿宋" w:cs="Times New Roman"/>
          <w:color w:val="auto"/>
          <w:sz w:val="44"/>
          <w:szCs w:val="44"/>
          <w:highlight w:val="none"/>
        </w:rPr>
      </w:pPr>
    </w:p>
    <w:p w14:paraId="7E9A0C94">
      <w:pPr>
        <w:ind w:firstLine="1040"/>
        <w:rPr>
          <w:rFonts w:hint="default" w:ascii="Times New Roman" w:hAnsi="Times New Roman" w:eastAsia="仿宋" w:cs="Times New Roman"/>
          <w:color w:val="auto"/>
          <w:sz w:val="44"/>
          <w:szCs w:val="44"/>
          <w:highlight w:val="none"/>
        </w:rPr>
      </w:pPr>
    </w:p>
    <w:p w14:paraId="4183F9D7">
      <w:pPr>
        <w:adjustRightInd w:val="0"/>
        <w:snapToGrid w:val="0"/>
        <w:spacing w:line="560" w:lineRule="exact"/>
        <w:ind w:left="2230" w:leftChars="300" w:hanging="1600" w:hangingChars="500"/>
        <w:rPr>
          <w:rFonts w:hint="default" w:ascii="Times New Roman" w:hAnsi="Times New Roman" w:cs="Times New Roman"/>
          <w:color w:val="auto"/>
          <w:sz w:val="32"/>
          <w:szCs w:val="32"/>
          <w:highlight w:val="none"/>
          <w:u w:val="single"/>
          <w:lang w:val="en-US"/>
        </w:rPr>
      </w:pPr>
      <w:r>
        <w:rPr>
          <w:rFonts w:hint="default" w:ascii="Times New Roman" w:hAnsi="Times New Roman" w:cs="Times New Roman"/>
          <w:color w:val="auto"/>
          <w:sz w:val="32"/>
          <w:szCs w:val="32"/>
          <w:highlight w:val="none"/>
        </w:rPr>
        <w:t>项目名称：</w:t>
      </w:r>
      <w:r>
        <w:rPr>
          <w:rFonts w:hint="default" w:ascii="Times New Roman" w:hAnsi="Times New Roman" w:cs="Times New Roman"/>
          <w:color w:val="auto"/>
          <w:sz w:val="32"/>
          <w:szCs w:val="32"/>
          <w:highlight w:val="none"/>
          <w:u w:val="single"/>
          <w:lang w:val="en-US" w:eastAsia="zh-CN"/>
        </w:rPr>
        <w:t xml:space="preserve">  </w:t>
      </w:r>
      <w:r>
        <w:rPr>
          <w:rFonts w:hint="default" w:ascii="Times New Roman" w:hAnsi="Times New Roman" w:cs="Times New Roman"/>
          <w:color w:val="auto"/>
          <w:sz w:val="32"/>
          <w:szCs w:val="32"/>
          <w:highlight w:val="none"/>
          <w:u w:val="single"/>
          <w:lang w:eastAsia="zh-CN"/>
        </w:rPr>
        <w:t>鸡西市启鹏煤炭销售有限公司建设项目</w:t>
      </w:r>
      <w:r>
        <w:rPr>
          <w:rFonts w:hint="default" w:ascii="Times New Roman" w:hAnsi="Times New Roman" w:cs="Times New Roman"/>
          <w:color w:val="auto"/>
          <w:sz w:val="32"/>
          <w:szCs w:val="32"/>
          <w:highlight w:val="none"/>
          <w:u w:val="single"/>
          <w:lang w:val="en-US" w:eastAsia="zh-CN"/>
        </w:rPr>
        <w:t xml:space="preserve">   </w:t>
      </w:r>
    </w:p>
    <w:p w14:paraId="0F091698">
      <w:pPr>
        <w:adjustRightInd w:val="0"/>
        <w:snapToGrid w:val="0"/>
        <w:spacing w:line="560" w:lineRule="exact"/>
        <w:ind w:left="3510" w:leftChars="300" w:hanging="2880" w:hangingChars="900"/>
        <w:rPr>
          <w:rFonts w:hint="default" w:ascii="Times New Roman" w:hAnsi="Times New Roman" w:eastAsia="宋体" w:cs="Times New Roman"/>
          <w:color w:val="auto"/>
          <w:sz w:val="32"/>
          <w:szCs w:val="32"/>
          <w:highlight w:val="none"/>
          <w:lang w:val="en-US" w:eastAsia="zh-CN"/>
        </w:rPr>
      </w:pPr>
      <w:r>
        <w:rPr>
          <w:rFonts w:hint="default" w:ascii="Times New Roman" w:hAnsi="Times New Roman" w:cs="Times New Roman"/>
          <w:color w:val="auto"/>
          <w:sz w:val="32"/>
          <w:szCs w:val="32"/>
          <w:highlight w:val="none"/>
        </w:rPr>
        <w:t>建设单位：</w:t>
      </w:r>
      <w:r>
        <w:rPr>
          <w:rFonts w:hint="default" w:ascii="Times New Roman" w:hAnsi="Times New Roman" w:cs="Times New Roman"/>
          <w:color w:val="auto"/>
          <w:sz w:val="32"/>
          <w:szCs w:val="32"/>
          <w:highlight w:val="none"/>
          <w:u w:val="single"/>
          <w:lang w:val="en-US" w:eastAsia="zh-CN"/>
        </w:rPr>
        <w:t xml:space="preserve">     </w:t>
      </w:r>
      <w:r>
        <w:rPr>
          <w:rFonts w:hint="default" w:ascii="Times New Roman" w:hAnsi="Times New Roman" w:cs="Times New Roman"/>
          <w:color w:val="auto"/>
          <w:sz w:val="32"/>
          <w:szCs w:val="32"/>
          <w:highlight w:val="none"/>
          <w:u w:val="single"/>
          <w:lang w:eastAsia="zh-CN"/>
        </w:rPr>
        <w:t>鸡西市启鹏煤炭销售有限公司</w:t>
      </w:r>
      <w:r>
        <w:rPr>
          <w:rFonts w:hint="default" w:ascii="Times New Roman" w:hAnsi="Times New Roman" w:cs="Times New Roman"/>
          <w:color w:val="auto"/>
          <w:sz w:val="32"/>
          <w:szCs w:val="32"/>
          <w:highlight w:val="none"/>
          <w:u w:val="single"/>
          <w:lang w:val="en-US" w:eastAsia="zh-CN"/>
        </w:rPr>
        <w:t xml:space="preserve">        </w:t>
      </w:r>
    </w:p>
    <w:p w14:paraId="3D727C2A">
      <w:pPr>
        <w:adjustRightInd w:val="0"/>
        <w:snapToGrid w:val="0"/>
        <w:spacing w:line="560" w:lineRule="exact"/>
        <w:ind w:left="630" w:leftChars="300"/>
        <w:rPr>
          <w:rFonts w:hint="default" w:ascii="Times New Roman" w:hAnsi="Times New Roman" w:eastAsia="宋体" w:cs="Times New Roman"/>
          <w:color w:val="auto"/>
          <w:sz w:val="32"/>
          <w:szCs w:val="32"/>
          <w:highlight w:val="none"/>
          <w:u w:val="single"/>
          <w:lang w:val="en-US" w:eastAsia="zh-CN"/>
        </w:rPr>
      </w:pPr>
      <w:r>
        <w:rPr>
          <w:rFonts w:hint="default" w:ascii="Times New Roman" w:hAnsi="Times New Roman" w:cs="Times New Roman"/>
          <w:color w:val="auto"/>
          <w:sz w:val="32"/>
          <w:szCs w:val="32"/>
          <w:highlight w:val="none"/>
        </w:rPr>
        <w:t>编制日期：</w:t>
      </w:r>
      <w:r>
        <w:rPr>
          <w:rFonts w:hint="default" w:ascii="Times New Roman" w:hAnsi="Times New Roman" w:cs="Times New Roman"/>
          <w:color w:val="auto"/>
          <w:sz w:val="32"/>
          <w:szCs w:val="32"/>
          <w:highlight w:val="none"/>
          <w:u w:val="single"/>
        </w:rPr>
        <w:t xml:space="preserve">        </w:t>
      </w:r>
      <w:r>
        <w:rPr>
          <w:rFonts w:hint="default" w:ascii="Times New Roman" w:hAnsi="Times New Roman" w:cs="Times New Roman"/>
          <w:color w:val="auto"/>
          <w:sz w:val="32"/>
          <w:szCs w:val="32"/>
          <w:highlight w:val="none"/>
          <w:u w:val="single"/>
          <w:lang w:val="en-US" w:eastAsia="zh-CN"/>
        </w:rPr>
        <w:t xml:space="preserve">    </w:t>
      </w:r>
      <w:r>
        <w:rPr>
          <w:rFonts w:hint="default" w:ascii="Times New Roman" w:hAnsi="Times New Roman" w:cs="Times New Roman"/>
          <w:color w:val="auto"/>
          <w:sz w:val="32"/>
          <w:szCs w:val="32"/>
          <w:highlight w:val="none"/>
          <w:u w:val="single"/>
        </w:rPr>
        <w:t>202</w:t>
      </w:r>
      <w:r>
        <w:rPr>
          <w:rFonts w:hint="default" w:ascii="Times New Roman" w:hAnsi="Times New Roman" w:cs="Times New Roman"/>
          <w:color w:val="auto"/>
          <w:sz w:val="32"/>
          <w:szCs w:val="32"/>
          <w:highlight w:val="none"/>
          <w:u w:val="single"/>
          <w:lang w:val="en-US" w:eastAsia="zh-CN"/>
        </w:rPr>
        <w:t>5</w:t>
      </w:r>
      <w:r>
        <w:rPr>
          <w:rFonts w:hint="default" w:ascii="Times New Roman" w:hAnsi="Times New Roman" w:cs="Times New Roman"/>
          <w:color w:val="auto"/>
          <w:sz w:val="32"/>
          <w:szCs w:val="32"/>
          <w:highlight w:val="none"/>
          <w:u w:val="single"/>
        </w:rPr>
        <w:t>年</w:t>
      </w:r>
      <w:r>
        <w:rPr>
          <w:rFonts w:hint="default" w:ascii="Times New Roman" w:hAnsi="Times New Roman" w:cs="Times New Roman"/>
          <w:color w:val="auto"/>
          <w:sz w:val="32"/>
          <w:szCs w:val="32"/>
          <w:highlight w:val="none"/>
          <w:u w:val="single"/>
          <w:lang w:val="en-US" w:eastAsia="zh-CN"/>
        </w:rPr>
        <w:t>2</w:t>
      </w:r>
      <w:r>
        <w:rPr>
          <w:rFonts w:hint="default" w:ascii="Times New Roman" w:hAnsi="Times New Roman" w:cs="Times New Roman"/>
          <w:color w:val="auto"/>
          <w:sz w:val="32"/>
          <w:szCs w:val="32"/>
          <w:highlight w:val="none"/>
          <w:u w:val="single"/>
        </w:rPr>
        <w:t xml:space="preserve">月               </w:t>
      </w:r>
      <w:r>
        <w:rPr>
          <w:rFonts w:hint="default" w:ascii="Times New Roman" w:hAnsi="Times New Roman" w:cs="Times New Roman"/>
          <w:color w:val="auto"/>
          <w:sz w:val="32"/>
          <w:szCs w:val="32"/>
          <w:highlight w:val="none"/>
          <w:u w:val="single"/>
          <w:lang w:val="en-US" w:eastAsia="zh-CN"/>
        </w:rPr>
        <w:t xml:space="preserve"> </w:t>
      </w:r>
    </w:p>
    <w:p w14:paraId="258DE4C3">
      <w:pPr>
        <w:adjustRightInd w:val="0"/>
        <w:snapToGrid w:val="0"/>
        <w:spacing w:line="560" w:lineRule="exact"/>
        <w:ind w:firstLine="1040"/>
        <w:rPr>
          <w:rFonts w:hint="default" w:ascii="Times New Roman" w:hAnsi="Times New Roman" w:eastAsia="仿宋_GB2312" w:cs="Times New Roman"/>
          <w:color w:val="auto"/>
          <w:sz w:val="36"/>
          <w:szCs w:val="36"/>
          <w:highlight w:val="none"/>
          <w:u w:val="single"/>
        </w:rPr>
      </w:pPr>
      <w:bookmarkStart w:id="10" w:name="_Hlk57884087"/>
    </w:p>
    <w:p w14:paraId="1AFD87A0">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bookmarkEnd w:id="10"/>
    <w:p w14:paraId="3D0F4365">
      <w:pPr>
        <w:adjustRightInd w:val="0"/>
        <w:snapToGrid w:val="0"/>
        <w:spacing w:line="288" w:lineRule="auto"/>
        <w:jc w:val="center"/>
        <w:outlineLvl w:val="0"/>
        <w:rPr>
          <w:rFonts w:hint="eastAsia" w:ascii="宋体" w:hAnsi="宋体" w:eastAsia="宋体" w:cs="宋体"/>
          <w:color w:val="auto"/>
          <w:sz w:val="36"/>
          <w:szCs w:val="36"/>
          <w:highlight w:val="none"/>
        </w:rPr>
      </w:pPr>
      <w:bookmarkStart w:id="11" w:name="_Toc19825"/>
      <w:bookmarkStart w:id="12" w:name="_Toc6931"/>
      <w:bookmarkStart w:id="13" w:name="_Toc12071"/>
      <w:r>
        <w:rPr>
          <w:rFonts w:hint="eastAsia" w:ascii="宋体" w:hAnsi="宋体" w:eastAsia="宋体" w:cs="宋体"/>
          <w:color w:val="auto"/>
          <w:sz w:val="36"/>
          <w:szCs w:val="36"/>
          <w:highlight w:val="none"/>
        </w:rPr>
        <w:t>中华人民共和国生态环境部制</w:t>
      </w:r>
      <w:bookmarkEnd w:id="11"/>
      <w:bookmarkEnd w:id="12"/>
      <w:bookmarkEnd w:id="13"/>
    </w:p>
    <w:p w14:paraId="203F6C24">
      <w:pPr>
        <w:adjustRightInd w:val="0"/>
        <w:snapToGrid w:val="0"/>
        <w:spacing w:line="288" w:lineRule="auto"/>
        <w:jc w:val="center"/>
        <w:rPr>
          <w:rFonts w:hint="default" w:ascii="Times New Roman" w:hAnsi="Times New Roman" w:eastAsia="楷体_GB2312" w:cs="Times New Roman"/>
          <w:color w:val="auto"/>
          <w:sz w:val="36"/>
          <w:szCs w:val="36"/>
          <w:highlight w:val="none"/>
        </w:rPr>
      </w:pPr>
    </w:p>
    <w:p w14:paraId="5582159A">
      <w:pPr>
        <w:rPr>
          <w:rFonts w:hint="default" w:ascii="Times New Roman" w:hAnsi="Times New Roman" w:cs="Times New Roman"/>
          <w:color w:val="auto"/>
          <w:kern w:val="0"/>
          <w:sz w:val="48"/>
          <w:szCs w:val="48"/>
          <w:highlight w:val="none"/>
          <w:lang w:bidi="ar"/>
        </w:rPr>
      </w:pPr>
      <w:r>
        <w:rPr>
          <w:rFonts w:hint="default" w:ascii="Times New Roman" w:hAnsi="Times New Roman" w:cs="Times New Roman"/>
          <w:color w:val="auto"/>
          <w:highlight w:val="none"/>
        </w:rPr>
        <w:br w:type="page"/>
      </w:r>
      <w:r>
        <w:rPr>
          <w:rFonts w:hint="default" w:ascii="Times New Roman" w:hAnsi="Times New Roman" w:cs="Times New Roman"/>
        </w:rPr>
        <w:drawing>
          <wp:inline distT="0" distB="0" distL="114300" distR="114300">
            <wp:extent cx="5600065" cy="7348220"/>
            <wp:effectExtent l="0" t="0" r="635" b="5080"/>
            <wp:docPr id="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pic:cNvPicPr>
                      <a:picLocks noChangeAspect="1"/>
                    </pic:cNvPicPr>
                  </pic:nvPicPr>
                  <pic:blipFill>
                    <a:blip r:embed="rId12"/>
                    <a:stretch>
                      <a:fillRect/>
                    </a:stretch>
                  </pic:blipFill>
                  <pic:spPr>
                    <a:xfrm>
                      <a:off x="0" y="0"/>
                      <a:ext cx="5600065" cy="7348220"/>
                    </a:xfrm>
                    <a:prstGeom prst="rect">
                      <a:avLst/>
                    </a:prstGeom>
                    <a:noFill/>
                    <a:ln>
                      <a:noFill/>
                    </a:ln>
                  </pic:spPr>
                </pic:pic>
              </a:graphicData>
            </a:graphic>
          </wp:inline>
        </w:drawing>
      </w:r>
    </w:p>
    <w:p w14:paraId="2A87F3A6">
      <w:pPr>
        <w:widowControl/>
        <w:spacing w:line="360" w:lineRule="auto"/>
        <w:jc w:val="center"/>
        <w:rPr>
          <w:rFonts w:hint="default" w:ascii="Times New Roman" w:hAnsi="Times New Roman" w:cs="Times New Roman"/>
          <w:color w:val="auto"/>
          <w:kern w:val="0"/>
          <w:sz w:val="48"/>
          <w:szCs w:val="48"/>
          <w:highlight w:val="none"/>
          <w:lang w:bidi="ar"/>
        </w:rPr>
      </w:pPr>
    </w:p>
    <w:p w14:paraId="000B5B15">
      <w:pPr>
        <w:widowControl/>
        <w:spacing w:line="360" w:lineRule="auto"/>
        <w:jc w:val="both"/>
        <w:rPr>
          <w:rFonts w:hint="default" w:ascii="Times New Roman" w:hAnsi="Times New Roman" w:eastAsia="仿宋_GB2312" w:cs="Times New Roman"/>
          <w:color w:val="auto"/>
          <w:highlight w:val="none"/>
        </w:rPr>
      </w:pPr>
    </w:p>
    <w:p w14:paraId="23E75CD0">
      <w:pPr>
        <w:pStyle w:val="2"/>
        <w:rPr>
          <w:rFonts w:hint="default" w:ascii="Times New Roman" w:hAnsi="Times New Roman" w:cs="Times New Roman"/>
        </w:rPr>
      </w:pPr>
    </w:p>
    <w:p w14:paraId="68C0B6AD">
      <w:pPr>
        <w:pStyle w:val="3"/>
        <w:rPr>
          <w:rFonts w:hint="default" w:ascii="Times New Roman" w:hAnsi="Times New Roman" w:cs="Times New Roman"/>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sdt>
      <w:sdtPr>
        <w:rPr>
          <w:rFonts w:hint="default" w:ascii="Times New Roman" w:hAnsi="Times New Roman" w:eastAsia="宋体" w:cs="Times New Roman"/>
          <w:kern w:val="2"/>
          <w:sz w:val="21"/>
          <w:szCs w:val="24"/>
          <w:lang w:val="en-US" w:eastAsia="zh-CN" w:bidi="ar-SA"/>
        </w:rPr>
        <w:id w:val="147451985"/>
        <w15:color w:val="DBDBDB"/>
        <w:docPartObj>
          <w:docPartGallery w:val="Table of Contents"/>
          <w:docPartUnique/>
        </w:docPartObj>
      </w:sdtPr>
      <w:sdtEndPr>
        <w:rPr>
          <w:rFonts w:hint="default" w:ascii="Times New Roman" w:hAnsi="Times New Roman" w:eastAsia="黑体" w:cs="Times New Roman"/>
          <w:snapToGrid w:val="0"/>
          <w:color w:val="auto"/>
          <w:kern w:val="0"/>
          <w:sz w:val="24"/>
          <w:szCs w:val="30"/>
          <w:highlight w:val="none"/>
          <w:lang w:val="en-US" w:eastAsia="zh-CN" w:bidi="ar-SA"/>
        </w:rPr>
      </w:sdtEndPr>
      <w:sdtContent>
        <w:p w14:paraId="0A1644AB">
          <w:pPr>
            <w:spacing w:before="0" w:beforeLines="0" w:after="0" w:afterLines="0" w:line="240" w:lineRule="auto"/>
            <w:ind w:left="0" w:leftChars="0" w:right="0" w:rightChars="0" w:firstLine="0" w:firstLineChars="0"/>
            <w:jc w:val="center"/>
            <w:rPr>
              <w:rFonts w:hint="eastAsia" w:ascii="宋体" w:hAnsi="宋体" w:eastAsia="宋体" w:cs="宋体"/>
              <w:sz w:val="44"/>
              <w:szCs w:val="44"/>
            </w:rPr>
          </w:pPr>
          <w:bookmarkStart w:id="14" w:name="_Toc12634"/>
          <w:bookmarkStart w:id="15" w:name="_Toc30708"/>
          <w:r>
            <w:rPr>
              <w:rFonts w:hint="eastAsia" w:ascii="宋体" w:hAnsi="宋体" w:eastAsia="宋体" w:cs="宋体"/>
              <w:sz w:val="44"/>
              <w:szCs w:val="44"/>
            </w:rPr>
            <w:t>目录</w:t>
          </w:r>
        </w:p>
        <w:p w14:paraId="641F6E62">
          <w:pPr>
            <w:pStyle w:val="15"/>
            <w:tabs>
              <w:tab w:val="right" w:leader="dot" w:pos="8844"/>
            </w:tabs>
            <w:rPr>
              <w:rFonts w:hint="eastAsia" w:ascii="宋体" w:hAnsi="宋体" w:eastAsia="宋体" w:cs="宋体"/>
              <w:sz w:val="28"/>
              <w:szCs w:val="28"/>
            </w:rPr>
          </w:pPr>
          <w:r>
            <w:rPr>
              <w:rFonts w:hint="eastAsia" w:ascii="宋体" w:hAnsi="宋体" w:eastAsia="宋体" w:cs="宋体"/>
              <w:snapToGrid w:val="0"/>
              <w:color w:val="auto"/>
              <w:kern w:val="0"/>
              <w:sz w:val="28"/>
              <w:szCs w:val="28"/>
              <w:highlight w:val="none"/>
              <w:lang w:val="en-US" w:eastAsia="zh-CN" w:bidi="ar-SA"/>
            </w:rPr>
            <w:fldChar w:fldCharType="begin"/>
          </w:r>
          <w:r>
            <w:rPr>
              <w:rFonts w:hint="eastAsia" w:ascii="宋体" w:hAnsi="宋体" w:eastAsia="宋体" w:cs="宋体"/>
              <w:sz w:val="28"/>
              <w:szCs w:val="28"/>
            </w:rPr>
            <w:instrText xml:space="preserve">TOC \o "1-2" \h \u </w:instrText>
          </w:r>
          <w:r>
            <w:rPr>
              <w:rFonts w:hint="eastAsia" w:ascii="宋体" w:hAnsi="宋体" w:eastAsia="宋体" w:cs="宋体"/>
              <w:snapToGrid w:val="0"/>
              <w:color w:val="auto"/>
              <w:kern w:val="0"/>
              <w:sz w:val="28"/>
              <w:szCs w:val="28"/>
              <w:highlight w:val="none"/>
              <w:lang w:val="en-US" w:eastAsia="zh-CN" w:bidi="ar-SA"/>
            </w:rPr>
            <w:fldChar w:fldCharType="separate"/>
          </w:r>
          <w:r>
            <w:rPr>
              <w:rFonts w:hint="eastAsia" w:ascii="宋体" w:hAnsi="宋体" w:eastAsia="宋体" w:cs="宋体"/>
              <w:snapToGrid w:val="0"/>
              <w:color w:val="auto"/>
              <w:kern w:val="0"/>
              <w:sz w:val="28"/>
              <w:szCs w:val="28"/>
              <w:highlight w:val="none"/>
              <w:lang w:val="en-US" w:eastAsia="zh-CN" w:bidi="ar-SA"/>
            </w:rPr>
            <w:fldChar w:fldCharType="begin"/>
          </w:r>
          <w:r>
            <w:rPr>
              <w:rFonts w:hint="eastAsia" w:ascii="宋体" w:hAnsi="宋体" w:eastAsia="宋体" w:cs="宋体"/>
              <w:snapToGrid w:val="0"/>
              <w:kern w:val="0"/>
              <w:sz w:val="28"/>
              <w:szCs w:val="28"/>
              <w:highlight w:val="none"/>
              <w:lang w:val="en-US" w:eastAsia="zh-CN" w:bidi="ar-SA"/>
            </w:rPr>
            <w:instrText xml:space="preserve"> HYPERLINK \l _Toc11319 </w:instrText>
          </w:r>
          <w:r>
            <w:rPr>
              <w:rFonts w:hint="eastAsia" w:ascii="宋体" w:hAnsi="宋体" w:eastAsia="宋体" w:cs="宋体"/>
              <w:snapToGrid w:val="0"/>
              <w:kern w:val="0"/>
              <w:sz w:val="28"/>
              <w:szCs w:val="28"/>
              <w:highlight w:val="none"/>
              <w:lang w:val="en-US" w:eastAsia="zh-CN" w:bidi="ar-SA"/>
            </w:rPr>
            <w:fldChar w:fldCharType="separate"/>
          </w:r>
          <w:r>
            <w:rPr>
              <w:rFonts w:hint="eastAsia" w:ascii="宋体" w:hAnsi="宋体" w:eastAsia="宋体" w:cs="宋体"/>
              <w:snapToGrid w:val="0"/>
              <w:sz w:val="28"/>
              <w:szCs w:val="28"/>
              <w:highlight w:val="none"/>
            </w:rPr>
            <w:t>一、建设项目基本情况</w:t>
          </w:r>
          <w:r>
            <w:rPr>
              <w:rFonts w:hint="eastAsia" w:ascii="宋体" w:hAnsi="宋体" w:eastAsia="宋体" w:cs="宋体"/>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_Toc11319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w:t>
          </w:r>
          <w:r>
            <w:rPr>
              <w:rFonts w:hint="default" w:ascii="Times New Roman" w:hAnsi="Times New Roman" w:eastAsia="宋体" w:cs="Times New Roman"/>
              <w:sz w:val="28"/>
              <w:szCs w:val="28"/>
            </w:rPr>
            <w:fldChar w:fldCharType="end"/>
          </w:r>
          <w:r>
            <w:rPr>
              <w:rFonts w:hint="eastAsia" w:ascii="宋体" w:hAnsi="宋体" w:eastAsia="宋体" w:cs="宋体"/>
              <w:snapToGrid w:val="0"/>
              <w:color w:val="auto"/>
              <w:kern w:val="0"/>
              <w:sz w:val="28"/>
              <w:szCs w:val="28"/>
              <w:highlight w:val="none"/>
              <w:lang w:val="en-US" w:eastAsia="zh-CN" w:bidi="ar-SA"/>
            </w:rPr>
            <w:fldChar w:fldCharType="end"/>
          </w:r>
        </w:p>
        <w:p w14:paraId="5D5E30CB">
          <w:pPr>
            <w:pStyle w:val="15"/>
            <w:tabs>
              <w:tab w:val="right" w:leader="dot" w:pos="8844"/>
            </w:tabs>
            <w:rPr>
              <w:rFonts w:hint="eastAsia" w:ascii="宋体" w:hAnsi="宋体" w:eastAsia="宋体" w:cs="宋体"/>
              <w:sz w:val="28"/>
              <w:szCs w:val="28"/>
            </w:rPr>
          </w:pPr>
          <w:r>
            <w:rPr>
              <w:rFonts w:hint="eastAsia" w:ascii="宋体" w:hAnsi="宋体" w:eastAsia="宋体" w:cs="宋体"/>
              <w:snapToGrid w:val="0"/>
              <w:color w:val="auto"/>
              <w:kern w:val="0"/>
              <w:sz w:val="28"/>
              <w:szCs w:val="28"/>
              <w:highlight w:val="none"/>
              <w:lang w:val="en-US" w:eastAsia="zh-CN" w:bidi="ar-SA"/>
            </w:rPr>
            <w:fldChar w:fldCharType="begin"/>
          </w:r>
          <w:r>
            <w:rPr>
              <w:rFonts w:hint="eastAsia" w:ascii="宋体" w:hAnsi="宋体" w:eastAsia="宋体" w:cs="宋体"/>
              <w:snapToGrid w:val="0"/>
              <w:kern w:val="0"/>
              <w:sz w:val="28"/>
              <w:szCs w:val="28"/>
              <w:highlight w:val="none"/>
              <w:lang w:val="en-US" w:eastAsia="zh-CN" w:bidi="ar-SA"/>
            </w:rPr>
            <w:instrText xml:space="preserve"> HYPERLINK \l _Toc26157 </w:instrText>
          </w:r>
          <w:r>
            <w:rPr>
              <w:rFonts w:hint="eastAsia" w:ascii="宋体" w:hAnsi="宋体" w:eastAsia="宋体" w:cs="宋体"/>
              <w:snapToGrid w:val="0"/>
              <w:kern w:val="0"/>
              <w:sz w:val="28"/>
              <w:szCs w:val="28"/>
              <w:highlight w:val="none"/>
              <w:lang w:val="en-US" w:eastAsia="zh-CN" w:bidi="ar-SA"/>
            </w:rPr>
            <w:fldChar w:fldCharType="separate"/>
          </w:r>
          <w:r>
            <w:rPr>
              <w:rFonts w:hint="eastAsia" w:ascii="宋体" w:hAnsi="宋体" w:eastAsia="宋体" w:cs="宋体"/>
              <w:snapToGrid w:val="0"/>
              <w:sz w:val="28"/>
              <w:szCs w:val="28"/>
              <w:highlight w:val="none"/>
            </w:rPr>
            <w:t>二、建设项目工程分析</w:t>
          </w:r>
          <w:r>
            <w:rPr>
              <w:rFonts w:hint="eastAsia" w:ascii="宋体" w:hAnsi="宋体" w:eastAsia="宋体" w:cs="宋体"/>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_Toc26157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w:t>
          </w:r>
          <w:r>
            <w:rPr>
              <w:rFonts w:hint="default" w:ascii="Times New Roman" w:hAnsi="Times New Roman" w:eastAsia="宋体" w:cs="Times New Roman"/>
              <w:sz w:val="28"/>
              <w:szCs w:val="28"/>
            </w:rPr>
            <w:fldChar w:fldCharType="end"/>
          </w:r>
          <w:r>
            <w:rPr>
              <w:rFonts w:hint="eastAsia" w:ascii="宋体" w:hAnsi="宋体" w:eastAsia="宋体" w:cs="宋体"/>
              <w:snapToGrid w:val="0"/>
              <w:color w:val="auto"/>
              <w:kern w:val="0"/>
              <w:sz w:val="28"/>
              <w:szCs w:val="28"/>
              <w:highlight w:val="none"/>
              <w:lang w:val="en-US" w:eastAsia="zh-CN" w:bidi="ar-SA"/>
            </w:rPr>
            <w:fldChar w:fldCharType="end"/>
          </w:r>
        </w:p>
        <w:p w14:paraId="7AC601E3">
          <w:pPr>
            <w:pStyle w:val="15"/>
            <w:tabs>
              <w:tab w:val="right" w:leader="dot" w:pos="8844"/>
            </w:tabs>
            <w:rPr>
              <w:rFonts w:hint="eastAsia" w:ascii="宋体" w:hAnsi="宋体" w:eastAsia="宋体" w:cs="宋体"/>
              <w:snapToGrid w:val="0"/>
              <w:sz w:val="28"/>
              <w:szCs w:val="28"/>
              <w:highlight w:val="none"/>
            </w:rPr>
          </w:pPr>
          <w:r>
            <w:rPr>
              <w:rFonts w:hint="eastAsia" w:ascii="宋体" w:hAnsi="宋体" w:eastAsia="宋体" w:cs="宋体"/>
              <w:snapToGrid w:val="0"/>
              <w:sz w:val="28"/>
              <w:szCs w:val="28"/>
              <w:highlight w:val="none"/>
              <w:lang w:val="en-US" w:eastAsia="zh-CN"/>
            </w:rPr>
            <w:fldChar w:fldCharType="begin"/>
          </w:r>
          <w:r>
            <w:rPr>
              <w:rFonts w:hint="eastAsia" w:ascii="宋体" w:hAnsi="宋体" w:eastAsia="宋体" w:cs="宋体"/>
              <w:snapToGrid w:val="0"/>
              <w:sz w:val="28"/>
              <w:szCs w:val="28"/>
              <w:highlight w:val="none"/>
              <w:lang w:val="en-US" w:eastAsia="zh-CN"/>
            </w:rPr>
            <w:instrText xml:space="preserve"> HYPERLINK \l _Toc27596 </w:instrText>
          </w:r>
          <w:r>
            <w:rPr>
              <w:rFonts w:hint="eastAsia" w:ascii="宋体" w:hAnsi="宋体" w:eastAsia="宋体" w:cs="宋体"/>
              <w:snapToGrid w:val="0"/>
              <w:sz w:val="28"/>
              <w:szCs w:val="28"/>
              <w:highlight w:val="none"/>
              <w:lang w:val="en-US" w:eastAsia="zh-CN"/>
            </w:rPr>
            <w:fldChar w:fldCharType="separate"/>
          </w:r>
          <w:r>
            <w:rPr>
              <w:rFonts w:hint="eastAsia" w:ascii="宋体" w:hAnsi="宋体" w:eastAsia="宋体" w:cs="宋体"/>
              <w:snapToGrid w:val="0"/>
              <w:sz w:val="28"/>
              <w:szCs w:val="28"/>
              <w:highlight w:val="none"/>
            </w:rPr>
            <w:t>三、区域环境质量现状、环境保护目标及评价标准</w:t>
          </w:r>
          <w:r>
            <w:rPr>
              <w:rFonts w:hint="eastAsia" w:ascii="宋体" w:hAnsi="宋体" w:eastAsia="宋体" w:cs="宋体"/>
              <w:snapToGrid w:val="0"/>
              <w:sz w:val="28"/>
              <w:szCs w:val="28"/>
              <w:highlight w:val="none"/>
            </w:rPr>
            <w:tab/>
          </w:r>
          <w:r>
            <w:rPr>
              <w:rFonts w:hint="default" w:ascii="Times New Roman" w:hAnsi="Times New Roman" w:eastAsia="宋体" w:cs="Times New Roman"/>
              <w:snapToGrid w:val="0"/>
              <w:sz w:val="28"/>
              <w:szCs w:val="28"/>
              <w:highlight w:val="none"/>
            </w:rPr>
            <w:fldChar w:fldCharType="begin"/>
          </w:r>
          <w:r>
            <w:rPr>
              <w:rFonts w:hint="default" w:ascii="Times New Roman" w:hAnsi="Times New Roman" w:eastAsia="宋体" w:cs="Times New Roman"/>
              <w:snapToGrid w:val="0"/>
              <w:sz w:val="28"/>
              <w:szCs w:val="28"/>
              <w:highlight w:val="none"/>
            </w:rPr>
            <w:instrText xml:space="preserve"> PAGEREF _Toc27596 \h </w:instrText>
          </w:r>
          <w:r>
            <w:rPr>
              <w:rFonts w:hint="default" w:ascii="Times New Roman" w:hAnsi="Times New Roman" w:eastAsia="宋体" w:cs="Times New Roman"/>
              <w:snapToGrid w:val="0"/>
              <w:sz w:val="28"/>
              <w:szCs w:val="28"/>
              <w:highlight w:val="none"/>
            </w:rPr>
            <w:fldChar w:fldCharType="separate"/>
          </w:r>
          <w:r>
            <w:rPr>
              <w:rFonts w:hint="default" w:ascii="Times New Roman" w:hAnsi="Times New Roman" w:eastAsia="宋体" w:cs="Times New Roman"/>
              <w:snapToGrid w:val="0"/>
              <w:sz w:val="28"/>
              <w:szCs w:val="28"/>
              <w:highlight w:val="none"/>
            </w:rPr>
            <w:t>20</w:t>
          </w:r>
          <w:r>
            <w:rPr>
              <w:rFonts w:hint="default" w:ascii="Times New Roman" w:hAnsi="Times New Roman" w:eastAsia="宋体" w:cs="Times New Roman"/>
              <w:snapToGrid w:val="0"/>
              <w:sz w:val="28"/>
              <w:szCs w:val="28"/>
              <w:highlight w:val="none"/>
            </w:rPr>
            <w:fldChar w:fldCharType="end"/>
          </w:r>
          <w:r>
            <w:rPr>
              <w:rFonts w:hint="eastAsia" w:ascii="宋体" w:hAnsi="宋体" w:eastAsia="宋体" w:cs="宋体"/>
              <w:snapToGrid w:val="0"/>
              <w:sz w:val="28"/>
              <w:szCs w:val="28"/>
              <w:highlight w:val="none"/>
              <w:lang w:val="en-US" w:eastAsia="zh-CN"/>
            </w:rPr>
            <w:fldChar w:fldCharType="end"/>
          </w:r>
        </w:p>
        <w:p w14:paraId="6FF4DD9F">
          <w:pPr>
            <w:pStyle w:val="15"/>
            <w:tabs>
              <w:tab w:val="right" w:leader="dot" w:pos="8844"/>
            </w:tabs>
            <w:rPr>
              <w:rFonts w:hint="eastAsia" w:ascii="宋体" w:hAnsi="宋体" w:eastAsia="宋体" w:cs="宋体"/>
              <w:snapToGrid w:val="0"/>
              <w:sz w:val="28"/>
              <w:szCs w:val="28"/>
              <w:highlight w:val="none"/>
            </w:rPr>
          </w:pPr>
          <w:r>
            <w:rPr>
              <w:rFonts w:hint="eastAsia" w:ascii="宋体" w:hAnsi="宋体" w:eastAsia="宋体" w:cs="宋体"/>
              <w:snapToGrid w:val="0"/>
              <w:sz w:val="28"/>
              <w:szCs w:val="28"/>
              <w:highlight w:val="none"/>
              <w:lang w:val="en-US" w:eastAsia="zh-CN"/>
            </w:rPr>
            <w:fldChar w:fldCharType="begin"/>
          </w:r>
          <w:r>
            <w:rPr>
              <w:rFonts w:hint="eastAsia" w:ascii="宋体" w:hAnsi="宋体" w:eastAsia="宋体" w:cs="宋体"/>
              <w:snapToGrid w:val="0"/>
              <w:sz w:val="28"/>
              <w:szCs w:val="28"/>
              <w:highlight w:val="none"/>
              <w:lang w:val="en-US" w:eastAsia="zh-CN"/>
            </w:rPr>
            <w:instrText xml:space="preserve"> HYPERLINK \l _Toc11163 </w:instrText>
          </w:r>
          <w:r>
            <w:rPr>
              <w:rFonts w:hint="eastAsia" w:ascii="宋体" w:hAnsi="宋体" w:eastAsia="宋体" w:cs="宋体"/>
              <w:snapToGrid w:val="0"/>
              <w:sz w:val="28"/>
              <w:szCs w:val="28"/>
              <w:highlight w:val="none"/>
              <w:lang w:val="en-US" w:eastAsia="zh-CN"/>
            </w:rPr>
            <w:fldChar w:fldCharType="separate"/>
          </w:r>
          <w:r>
            <w:rPr>
              <w:rFonts w:hint="eastAsia" w:ascii="宋体" w:hAnsi="宋体" w:eastAsia="宋体" w:cs="宋体"/>
              <w:snapToGrid w:val="0"/>
              <w:sz w:val="28"/>
              <w:szCs w:val="28"/>
              <w:highlight w:val="none"/>
            </w:rPr>
            <w:t>四、主要环境影响和保护措施</w:t>
          </w:r>
          <w:r>
            <w:rPr>
              <w:rFonts w:hint="eastAsia" w:ascii="宋体" w:hAnsi="宋体" w:eastAsia="宋体" w:cs="宋体"/>
              <w:snapToGrid w:val="0"/>
              <w:sz w:val="28"/>
              <w:szCs w:val="28"/>
              <w:highlight w:val="none"/>
            </w:rPr>
            <w:tab/>
          </w:r>
          <w:r>
            <w:rPr>
              <w:rFonts w:hint="default" w:ascii="Times New Roman" w:hAnsi="Times New Roman" w:eastAsia="宋体" w:cs="Times New Roman"/>
              <w:snapToGrid w:val="0"/>
              <w:sz w:val="28"/>
              <w:szCs w:val="28"/>
              <w:highlight w:val="none"/>
            </w:rPr>
            <w:fldChar w:fldCharType="begin"/>
          </w:r>
          <w:r>
            <w:rPr>
              <w:rFonts w:hint="default" w:ascii="Times New Roman" w:hAnsi="Times New Roman" w:eastAsia="宋体" w:cs="Times New Roman"/>
              <w:snapToGrid w:val="0"/>
              <w:sz w:val="28"/>
              <w:szCs w:val="28"/>
              <w:highlight w:val="none"/>
            </w:rPr>
            <w:instrText xml:space="preserve"> PAGEREF _Toc11163 \h </w:instrText>
          </w:r>
          <w:r>
            <w:rPr>
              <w:rFonts w:hint="default" w:ascii="Times New Roman" w:hAnsi="Times New Roman" w:eastAsia="宋体" w:cs="Times New Roman"/>
              <w:snapToGrid w:val="0"/>
              <w:sz w:val="28"/>
              <w:szCs w:val="28"/>
              <w:highlight w:val="none"/>
            </w:rPr>
            <w:fldChar w:fldCharType="separate"/>
          </w:r>
          <w:r>
            <w:rPr>
              <w:rFonts w:hint="default" w:ascii="Times New Roman" w:hAnsi="Times New Roman" w:eastAsia="宋体" w:cs="Times New Roman"/>
              <w:snapToGrid w:val="0"/>
              <w:sz w:val="28"/>
              <w:szCs w:val="28"/>
              <w:highlight w:val="none"/>
            </w:rPr>
            <w:t>24</w:t>
          </w:r>
          <w:r>
            <w:rPr>
              <w:rFonts w:hint="default" w:ascii="Times New Roman" w:hAnsi="Times New Roman" w:eastAsia="宋体" w:cs="Times New Roman"/>
              <w:snapToGrid w:val="0"/>
              <w:sz w:val="28"/>
              <w:szCs w:val="28"/>
              <w:highlight w:val="none"/>
            </w:rPr>
            <w:fldChar w:fldCharType="end"/>
          </w:r>
          <w:r>
            <w:rPr>
              <w:rFonts w:hint="eastAsia" w:ascii="宋体" w:hAnsi="宋体" w:eastAsia="宋体" w:cs="宋体"/>
              <w:snapToGrid w:val="0"/>
              <w:sz w:val="28"/>
              <w:szCs w:val="28"/>
              <w:highlight w:val="none"/>
              <w:lang w:val="en-US" w:eastAsia="zh-CN"/>
            </w:rPr>
            <w:fldChar w:fldCharType="end"/>
          </w:r>
        </w:p>
        <w:p w14:paraId="6448941F">
          <w:pPr>
            <w:pStyle w:val="15"/>
            <w:tabs>
              <w:tab w:val="right" w:leader="dot" w:pos="8844"/>
            </w:tabs>
            <w:rPr>
              <w:rFonts w:hint="eastAsia" w:ascii="宋体" w:hAnsi="宋体" w:eastAsia="宋体" w:cs="宋体"/>
              <w:snapToGrid w:val="0"/>
              <w:sz w:val="28"/>
              <w:szCs w:val="28"/>
              <w:highlight w:val="none"/>
            </w:rPr>
          </w:pPr>
          <w:r>
            <w:rPr>
              <w:rFonts w:hint="eastAsia" w:ascii="宋体" w:hAnsi="宋体" w:eastAsia="宋体" w:cs="宋体"/>
              <w:snapToGrid w:val="0"/>
              <w:sz w:val="28"/>
              <w:szCs w:val="28"/>
              <w:highlight w:val="none"/>
              <w:lang w:val="en-US" w:eastAsia="zh-CN"/>
            </w:rPr>
            <w:fldChar w:fldCharType="begin"/>
          </w:r>
          <w:r>
            <w:rPr>
              <w:rFonts w:hint="eastAsia" w:ascii="宋体" w:hAnsi="宋体" w:eastAsia="宋体" w:cs="宋体"/>
              <w:snapToGrid w:val="0"/>
              <w:sz w:val="28"/>
              <w:szCs w:val="28"/>
              <w:highlight w:val="none"/>
              <w:lang w:val="en-US" w:eastAsia="zh-CN"/>
            </w:rPr>
            <w:instrText xml:space="preserve"> HYPERLINK \l _Toc30871 </w:instrText>
          </w:r>
          <w:r>
            <w:rPr>
              <w:rFonts w:hint="eastAsia" w:ascii="宋体" w:hAnsi="宋体" w:eastAsia="宋体" w:cs="宋体"/>
              <w:snapToGrid w:val="0"/>
              <w:sz w:val="28"/>
              <w:szCs w:val="28"/>
              <w:highlight w:val="none"/>
              <w:lang w:val="en-US" w:eastAsia="zh-CN"/>
            </w:rPr>
            <w:fldChar w:fldCharType="separate"/>
          </w:r>
          <w:r>
            <w:rPr>
              <w:rFonts w:hint="eastAsia" w:ascii="宋体" w:hAnsi="宋体" w:eastAsia="宋体" w:cs="宋体"/>
              <w:snapToGrid w:val="0"/>
              <w:sz w:val="28"/>
              <w:szCs w:val="28"/>
              <w:highlight w:val="none"/>
            </w:rPr>
            <w:t>五、环境保护措施监督检查清单</w:t>
          </w:r>
          <w:r>
            <w:rPr>
              <w:rFonts w:hint="eastAsia" w:ascii="宋体" w:hAnsi="宋体" w:eastAsia="宋体" w:cs="宋体"/>
              <w:snapToGrid w:val="0"/>
              <w:sz w:val="28"/>
              <w:szCs w:val="28"/>
              <w:highlight w:val="none"/>
            </w:rPr>
            <w:tab/>
          </w:r>
          <w:r>
            <w:rPr>
              <w:rFonts w:hint="default" w:ascii="Times New Roman" w:hAnsi="Times New Roman" w:eastAsia="宋体" w:cs="Times New Roman"/>
              <w:snapToGrid w:val="0"/>
              <w:sz w:val="28"/>
              <w:szCs w:val="28"/>
              <w:highlight w:val="none"/>
            </w:rPr>
            <w:fldChar w:fldCharType="begin"/>
          </w:r>
          <w:r>
            <w:rPr>
              <w:rFonts w:hint="default" w:ascii="Times New Roman" w:hAnsi="Times New Roman" w:eastAsia="宋体" w:cs="Times New Roman"/>
              <w:snapToGrid w:val="0"/>
              <w:sz w:val="28"/>
              <w:szCs w:val="28"/>
              <w:highlight w:val="none"/>
            </w:rPr>
            <w:instrText xml:space="preserve"> PAGEREF _Toc30871 \h </w:instrText>
          </w:r>
          <w:r>
            <w:rPr>
              <w:rFonts w:hint="default" w:ascii="Times New Roman" w:hAnsi="Times New Roman" w:eastAsia="宋体" w:cs="Times New Roman"/>
              <w:snapToGrid w:val="0"/>
              <w:sz w:val="28"/>
              <w:szCs w:val="28"/>
              <w:highlight w:val="none"/>
            </w:rPr>
            <w:fldChar w:fldCharType="separate"/>
          </w:r>
          <w:r>
            <w:rPr>
              <w:rFonts w:hint="default" w:ascii="Times New Roman" w:hAnsi="Times New Roman" w:eastAsia="宋体" w:cs="Times New Roman"/>
              <w:snapToGrid w:val="0"/>
              <w:sz w:val="28"/>
              <w:szCs w:val="28"/>
              <w:highlight w:val="none"/>
            </w:rPr>
            <w:t>39</w:t>
          </w:r>
          <w:r>
            <w:rPr>
              <w:rFonts w:hint="default" w:ascii="Times New Roman" w:hAnsi="Times New Roman" w:eastAsia="宋体" w:cs="Times New Roman"/>
              <w:snapToGrid w:val="0"/>
              <w:sz w:val="28"/>
              <w:szCs w:val="28"/>
              <w:highlight w:val="none"/>
            </w:rPr>
            <w:fldChar w:fldCharType="end"/>
          </w:r>
          <w:r>
            <w:rPr>
              <w:rFonts w:hint="eastAsia" w:ascii="宋体" w:hAnsi="宋体" w:eastAsia="宋体" w:cs="宋体"/>
              <w:snapToGrid w:val="0"/>
              <w:sz w:val="28"/>
              <w:szCs w:val="28"/>
              <w:highlight w:val="none"/>
              <w:lang w:val="en-US" w:eastAsia="zh-CN"/>
            </w:rPr>
            <w:fldChar w:fldCharType="end"/>
          </w:r>
        </w:p>
        <w:p w14:paraId="6EDD2100">
          <w:pPr>
            <w:pStyle w:val="15"/>
            <w:tabs>
              <w:tab w:val="right" w:leader="dot" w:pos="8844"/>
            </w:tabs>
            <w:rPr>
              <w:rFonts w:hint="default" w:ascii="Times New Roman" w:hAnsi="Times New Roman" w:eastAsia="宋体" w:cs="Times New Roman"/>
              <w:snapToGrid w:val="0"/>
              <w:sz w:val="28"/>
              <w:szCs w:val="28"/>
              <w:highlight w:val="none"/>
            </w:rPr>
          </w:pPr>
          <w:r>
            <w:rPr>
              <w:rFonts w:hint="eastAsia" w:ascii="宋体" w:hAnsi="宋体" w:eastAsia="宋体" w:cs="宋体"/>
              <w:snapToGrid w:val="0"/>
              <w:sz w:val="28"/>
              <w:szCs w:val="28"/>
              <w:highlight w:val="none"/>
              <w:lang w:val="en-US" w:eastAsia="zh-CN"/>
            </w:rPr>
            <w:fldChar w:fldCharType="begin"/>
          </w:r>
          <w:r>
            <w:rPr>
              <w:rFonts w:hint="eastAsia" w:ascii="宋体" w:hAnsi="宋体" w:eastAsia="宋体" w:cs="宋体"/>
              <w:snapToGrid w:val="0"/>
              <w:sz w:val="28"/>
              <w:szCs w:val="28"/>
              <w:highlight w:val="none"/>
              <w:lang w:val="en-US" w:eastAsia="zh-CN"/>
            </w:rPr>
            <w:instrText xml:space="preserve"> HYPERLINK \l _Toc12568 </w:instrText>
          </w:r>
          <w:r>
            <w:rPr>
              <w:rFonts w:hint="eastAsia" w:ascii="宋体" w:hAnsi="宋体" w:eastAsia="宋体" w:cs="宋体"/>
              <w:snapToGrid w:val="0"/>
              <w:sz w:val="28"/>
              <w:szCs w:val="28"/>
              <w:highlight w:val="none"/>
              <w:lang w:val="en-US" w:eastAsia="zh-CN"/>
            </w:rPr>
            <w:fldChar w:fldCharType="separate"/>
          </w:r>
          <w:r>
            <w:rPr>
              <w:rFonts w:hint="eastAsia" w:ascii="宋体" w:hAnsi="宋体" w:eastAsia="宋体" w:cs="宋体"/>
              <w:snapToGrid w:val="0"/>
              <w:sz w:val="28"/>
              <w:szCs w:val="28"/>
              <w:highlight w:val="none"/>
            </w:rPr>
            <w:t>六、结论</w:t>
          </w:r>
          <w:r>
            <w:rPr>
              <w:rFonts w:hint="eastAsia" w:ascii="宋体" w:hAnsi="宋体" w:eastAsia="宋体" w:cs="宋体"/>
              <w:snapToGrid w:val="0"/>
              <w:sz w:val="28"/>
              <w:szCs w:val="28"/>
              <w:highlight w:val="none"/>
            </w:rPr>
            <w:tab/>
          </w:r>
          <w:r>
            <w:rPr>
              <w:rFonts w:hint="default" w:ascii="Times New Roman" w:hAnsi="Times New Roman" w:eastAsia="宋体" w:cs="Times New Roman"/>
              <w:snapToGrid w:val="0"/>
              <w:sz w:val="28"/>
              <w:szCs w:val="28"/>
              <w:highlight w:val="none"/>
            </w:rPr>
            <w:fldChar w:fldCharType="begin"/>
          </w:r>
          <w:r>
            <w:rPr>
              <w:rFonts w:hint="default" w:ascii="Times New Roman" w:hAnsi="Times New Roman" w:eastAsia="宋体" w:cs="Times New Roman"/>
              <w:snapToGrid w:val="0"/>
              <w:sz w:val="28"/>
              <w:szCs w:val="28"/>
              <w:highlight w:val="none"/>
            </w:rPr>
            <w:instrText xml:space="preserve"> PAGEREF _Toc12568 \h </w:instrText>
          </w:r>
          <w:r>
            <w:rPr>
              <w:rFonts w:hint="default" w:ascii="Times New Roman" w:hAnsi="Times New Roman" w:eastAsia="宋体" w:cs="Times New Roman"/>
              <w:snapToGrid w:val="0"/>
              <w:sz w:val="28"/>
              <w:szCs w:val="28"/>
              <w:highlight w:val="none"/>
            </w:rPr>
            <w:fldChar w:fldCharType="separate"/>
          </w:r>
          <w:r>
            <w:rPr>
              <w:rFonts w:hint="default" w:ascii="Times New Roman" w:hAnsi="Times New Roman" w:eastAsia="宋体" w:cs="Times New Roman"/>
              <w:snapToGrid w:val="0"/>
              <w:sz w:val="28"/>
              <w:szCs w:val="28"/>
              <w:highlight w:val="none"/>
            </w:rPr>
            <w:t>41</w:t>
          </w:r>
          <w:r>
            <w:rPr>
              <w:rFonts w:hint="default" w:ascii="Times New Roman" w:hAnsi="Times New Roman" w:eastAsia="宋体" w:cs="Times New Roman"/>
              <w:snapToGrid w:val="0"/>
              <w:sz w:val="28"/>
              <w:szCs w:val="28"/>
              <w:highlight w:val="none"/>
            </w:rPr>
            <w:fldChar w:fldCharType="end"/>
          </w:r>
          <w:r>
            <w:rPr>
              <w:rFonts w:hint="eastAsia" w:ascii="宋体" w:hAnsi="宋体" w:eastAsia="宋体" w:cs="宋体"/>
              <w:snapToGrid w:val="0"/>
              <w:sz w:val="28"/>
              <w:szCs w:val="28"/>
              <w:highlight w:val="none"/>
              <w:lang w:val="en-US" w:eastAsia="zh-CN"/>
            </w:rPr>
            <w:fldChar w:fldCharType="end"/>
          </w:r>
        </w:p>
        <w:p w14:paraId="6087EF4D">
          <w:pPr>
            <w:pStyle w:val="15"/>
            <w:tabs>
              <w:tab w:val="right" w:leader="dot" w:pos="8844"/>
            </w:tabs>
            <w:rPr>
              <w:rFonts w:hint="default" w:ascii="Times New Roman" w:hAnsi="Times New Roman" w:eastAsia="宋体" w:cs="Times New Roman"/>
              <w:snapToGrid w:val="0"/>
              <w:sz w:val="28"/>
              <w:szCs w:val="28"/>
              <w:highlight w:val="none"/>
            </w:rPr>
          </w:pPr>
          <w:r>
            <w:rPr>
              <w:rFonts w:hint="eastAsia" w:ascii="宋体" w:hAnsi="宋体" w:eastAsia="宋体" w:cs="宋体"/>
              <w:snapToGrid w:val="0"/>
              <w:sz w:val="28"/>
              <w:szCs w:val="28"/>
              <w:highlight w:val="none"/>
              <w:lang w:val="en-US" w:eastAsia="zh-CN"/>
            </w:rPr>
            <w:fldChar w:fldCharType="begin"/>
          </w:r>
          <w:r>
            <w:rPr>
              <w:rFonts w:hint="eastAsia" w:ascii="宋体" w:hAnsi="宋体" w:eastAsia="宋体" w:cs="宋体"/>
              <w:snapToGrid w:val="0"/>
              <w:sz w:val="28"/>
              <w:szCs w:val="28"/>
              <w:highlight w:val="none"/>
              <w:lang w:val="en-US" w:eastAsia="zh-CN"/>
            </w:rPr>
            <w:instrText xml:space="preserve"> HYPERLINK \l _Toc6953 </w:instrText>
          </w:r>
          <w:r>
            <w:rPr>
              <w:rFonts w:hint="eastAsia" w:ascii="宋体" w:hAnsi="宋体" w:eastAsia="宋体" w:cs="宋体"/>
              <w:snapToGrid w:val="0"/>
              <w:sz w:val="28"/>
              <w:szCs w:val="28"/>
              <w:highlight w:val="none"/>
              <w:lang w:val="en-US" w:eastAsia="zh-CN"/>
            </w:rPr>
            <w:fldChar w:fldCharType="separate"/>
          </w:r>
          <w:r>
            <w:rPr>
              <w:rFonts w:hint="eastAsia" w:ascii="宋体" w:hAnsi="宋体" w:eastAsia="宋体" w:cs="宋体"/>
              <w:snapToGrid w:val="0"/>
              <w:sz w:val="28"/>
              <w:szCs w:val="28"/>
              <w:highlight w:val="none"/>
            </w:rPr>
            <w:t>附表</w:t>
          </w:r>
          <w:r>
            <w:rPr>
              <w:rFonts w:hint="eastAsia" w:ascii="宋体" w:hAnsi="宋体" w:eastAsia="宋体" w:cs="宋体"/>
              <w:snapToGrid w:val="0"/>
              <w:sz w:val="28"/>
              <w:szCs w:val="28"/>
              <w:highlight w:val="none"/>
            </w:rPr>
            <w:tab/>
          </w:r>
          <w:r>
            <w:rPr>
              <w:rFonts w:hint="default" w:ascii="Times New Roman" w:hAnsi="Times New Roman" w:eastAsia="宋体" w:cs="Times New Roman"/>
              <w:snapToGrid w:val="0"/>
              <w:sz w:val="28"/>
              <w:szCs w:val="28"/>
              <w:highlight w:val="none"/>
            </w:rPr>
            <w:fldChar w:fldCharType="begin"/>
          </w:r>
          <w:r>
            <w:rPr>
              <w:rFonts w:hint="default" w:ascii="Times New Roman" w:hAnsi="Times New Roman" w:eastAsia="宋体" w:cs="Times New Roman"/>
              <w:snapToGrid w:val="0"/>
              <w:sz w:val="28"/>
              <w:szCs w:val="28"/>
              <w:highlight w:val="none"/>
            </w:rPr>
            <w:instrText xml:space="preserve"> PAGEREF _Toc6953 \h </w:instrText>
          </w:r>
          <w:r>
            <w:rPr>
              <w:rFonts w:hint="default" w:ascii="Times New Roman" w:hAnsi="Times New Roman" w:eastAsia="宋体" w:cs="Times New Roman"/>
              <w:snapToGrid w:val="0"/>
              <w:sz w:val="28"/>
              <w:szCs w:val="28"/>
              <w:highlight w:val="none"/>
            </w:rPr>
            <w:fldChar w:fldCharType="separate"/>
          </w:r>
          <w:r>
            <w:rPr>
              <w:rFonts w:hint="default" w:ascii="Times New Roman" w:hAnsi="Times New Roman" w:eastAsia="宋体" w:cs="Times New Roman"/>
              <w:snapToGrid w:val="0"/>
              <w:sz w:val="28"/>
              <w:szCs w:val="28"/>
              <w:highlight w:val="none"/>
            </w:rPr>
            <w:t>42</w:t>
          </w:r>
          <w:r>
            <w:rPr>
              <w:rFonts w:hint="default" w:ascii="Times New Roman" w:hAnsi="Times New Roman" w:eastAsia="宋体" w:cs="Times New Roman"/>
              <w:snapToGrid w:val="0"/>
              <w:sz w:val="28"/>
              <w:szCs w:val="28"/>
              <w:highlight w:val="none"/>
            </w:rPr>
            <w:fldChar w:fldCharType="end"/>
          </w:r>
          <w:r>
            <w:rPr>
              <w:rFonts w:hint="eastAsia" w:ascii="宋体" w:hAnsi="宋体" w:eastAsia="宋体" w:cs="宋体"/>
              <w:snapToGrid w:val="0"/>
              <w:sz w:val="28"/>
              <w:szCs w:val="28"/>
              <w:highlight w:val="none"/>
              <w:lang w:val="en-US" w:eastAsia="zh-CN"/>
            </w:rPr>
            <w:fldChar w:fldCharType="end"/>
          </w:r>
        </w:p>
        <w:p w14:paraId="4C9AC887">
          <w:pPr>
            <w:pStyle w:val="15"/>
            <w:tabs>
              <w:tab w:val="right" w:leader="dot" w:pos="8844"/>
            </w:tabs>
            <w:rPr>
              <w:rFonts w:hint="eastAsia" w:ascii="宋体" w:hAnsi="宋体" w:eastAsia="宋体" w:cs="宋体"/>
              <w:snapToGrid w:val="0"/>
              <w:sz w:val="28"/>
              <w:szCs w:val="28"/>
              <w:highlight w:val="none"/>
            </w:rPr>
          </w:pPr>
          <w:r>
            <w:rPr>
              <w:rFonts w:hint="eastAsia" w:ascii="宋体" w:hAnsi="宋体" w:eastAsia="宋体" w:cs="宋体"/>
              <w:snapToGrid w:val="0"/>
              <w:sz w:val="28"/>
              <w:szCs w:val="28"/>
              <w:highlight w:val="none"/>
              <w:lang w:val="en-US" w:eastAsia="zh-CN"/>
            </w:rPr>
            <w:fldChar w:fldCharType="begin"/>
          </w:r>
          <w:r>
            <w:rPr>
              <w:rFonts w:hint="eastAsia" w:ascii="宋体" w:hAnsi="宋体" w:eastAsia="宋体" w:cs="宋体"/>
              <w:snapToGrid w:val="0"/>
              <w:sz w:val="28"/>
              <w:szCs w:val="28"/>
              <w:highlight w:val="none"/>
              <w:lang w:val="en-US" w:eastAsia="zh-CN"/>
            </w:rPr>
            <w:instrText xml:space="preserve"> HYPERLINK \l _Toc3177 </w:instrText>
          </w:r>
          <w:r>
            <w:rPr>
              <w:rFonts w:hint="eastAsia" w:ascii="宋体" w:hAnsi="宋体" w:eastAsia="宋体" w:cs="宋体"/>
              <w:snapToGrid w:val="0"/>
              <w:sz w:val="28"/>
              <w:szCs w:val="28"/>
              <w:highlight w:val="none"/>
              <w:lang w:val="en-US" w:eastAsia="zh-CN"/>
            </w:rPr>
            <w:fldChar w:fldCharType="separate"/>
          </w:r>
          <w:r>
            <w:rPr>
              <w:rFonts w:hint="eastAsia" w:ascii="宋体" w:hAnsi="宋体" w:eastAsia="宋体" w:cs="宋体"/>
              <w:snapToGrid w:val="0"/>
              <w:sz w:val="28"/>
              <w:szCs w:val="28"/>
              <w:highlight w:val="none"/>
            </w:rPr>
            <w:t>建设项目污染物排放量汇总表</w:t>
          </w:r>
          <w:r>
            <w:rPr>
              <w:rFonts w:hint="eastAsia" w:ascii="宋体" w:hAnsi="宋体" w:eastAsia="宋体" w:cs="宋体"/>
              <w:snapToGrid w:val="0"/>
              <w:sz w:val="28"/>
              <w:szCs w:val="28"/>
              <w:highlight w:val="none"/>
            </w:rPr>
            <w:tab/>
          </w:r>
          <w:r>
            <w:rPr>
              <w:rFonts w:hint="default" w:ascii="Times New Roman" w:hAnsi="Times New Roman" w:eastAsia="宋体" w:cs="Times New Roman"/>
              <w:snapToGrid w:val="0"/>
              <w:sz w:val="28"/>
              <w:szCs w:val="28"/>
              <w:highlight w:val="none"/>
            </w:rPr>
            <w:fldChar w:fldCharType="begin"/>
          </w:r>
          <w:r>
            <w:rPr>
              <w:rFonts w:hint="default" w:ascii="Times New Roman" w:hAnsi="Times New Roman" w:eastAsia="宋体" w:cs="Times New Roman"/>
              <w:snapToGrid w:val="0"/>
              <w:sz w:val="28"/>
              <w:szCs w:val="28"/>
              <w:highlight w:val="none"/>
            </w:rPr>
            <w:instrText xml:space="preserve"> PAGEREF _Toc3177 \h </w:instrText>
          </w:r>
          <w:r>
            <w:rPr>
              <w:rFonts w:hint="default" w:ascii="Times New Roman" w:hAnsi="Times New Roman" w:eastAsia="宋体" w:cs="Times New Roman"/>
              <w:snapToGrid w:val="0"/>
              <w:sz w:val="28"/>
              <w:szCs w:val="28"/>
              <w:highlight w:val="none"/>
            </w:rPr>
            <w:fldChar w:fldCharType="separate"/>
          </w:r>
          <w:r>
            <w:rPr>
              <w:rFonts w:hint="default" w:ascii="Times New Roman" w:hAnsi="Times New Roman" w:eastAsia="宋体" w:cs="Times New Roman"/>
              <w:snapToGrid w:val="0"/>
              <w:sz w:val="28"/>
              <w:szCs w:val="28"/>
              <w:highlight w:val="none"/>
            </w:rPr>
            <w:t>42</w:t>
          </w:r>
          <w:r>
            <w:rPr>
              <w:rFonts w:hint="default" w:ascii="Times New Roman" w:hAnsi="Times New Roman" w:eastAsia="宋体" w:cs="Times New Roman"/>
              <w:snapToGrid w:val="0"/>
              <w:sz w:val="28"/>
              <w:szCs w:val="28"/>
              <w:highlight w:val="none"/>
            </w:rPr>
            <w:fldChar w:fldCharType="end"/>
          </w:r>
          <w:r>
            <w:rPr>
              <w:rFonts w:hint="eastAsia" w:ascii="宋体" w:hAnsi="宋体" w:eastAsia="宋体" w:cs="宋体"/>
              <w:snapToGrid w:val="0"/>
              <w:sz w:val="28"/>
              <w:szCs w:val="28"/>
              <w:highlight w:val="none"/>
              <w:lang w:val="en-US" w:eastAsia="zh-CN"/>
            </w:rPr>
            <w:fldChar w:fldCharType="end"/>
          </w:r>
        </w:p>
        <w:p w14:paraId="0A857DE3">
          <w:pPr>
            <w:pStyle w:val="15"/>
            <w:tabs>
              <w:tab w:val="right" w:leader="dot" w:pos="8844"/>
            </w:tabs>
            <w:rPr>
              <w:rFonts w:hint="default" w:ascii="Times New Roman" w:hAnsi="Times New Roman" w:eastAsia="宋体" w:cs="Times New Roman"/>
              <w:snapToGrid w:val="0"/>
              <w:sz w:val="28"/>
              <w:szCs w:val="28"/>
              <w:highlight w:val="none"/>
            </w:rPr>
          </w:pPr>
          <w:r>
            <w:rPr>
              <w:rFonts w:hint="eastAsia" w:ascii="宋体" w:hAnsi="宋体" w:eastAsia="宋体" w:cs="宋体"/>
              <w:snapToGrid w:val="0"/>
              <w:sz w:val="28"/>
              <w:szCs w:val="28"/>
              <w:highlight w:val="none"/>
              <w:lang w:val="en-US" w:eastAsia="zh-CN"/>
            </w:rPr>
            <w:fldChar w:fldCharType="begin"/>
          </w:r>
          <w:r>
            <w:rPr>
              <w:rFonts w:hint="eastAsia" w:ascii="宋体" w:hAnsi="宋体" w:eastAsia="宋体" w:cs="宋体"/>
              <w:snapToGrid w:val="0"/>
              <w:sz w:val="28"/>
              <w:szCs w:val="28"/>
              <w:highlight w:val="none"/>
              <w:lang w:val="en-US" w:eastAsia="zh-CN"/>
            </w:rPr>
            <w:instrText xml:space="preserve"> HYPERLINK \l _Toc11204 </w:instrText>
          </w:r>
          <w:r>
            <w:rPr>
              <w:rFonts w:hint="eastAsia" w:ascii="宋体" w:hAnsi="宋体" w:eastAsia="宋体" w:cs="宋体"/>
              <w:snapToGrid w:val="0"/>
              <w:sz w:val="28"/>
              <w:szCs w:val="28"/>
              <w:highlight w:val="none"/>
              <w:lang w:val="en-US" w:eastAsia="zh-CN"/>
            </w:rPr>
            <w:fldChar w:fldCharType="separate"/>
          </w:r>
          <w:r>
            <w:rPr>
              <w:rFonts w:hint="eastAsia" w:ascii="宋体" w:hAnsi="宋体" w:eastAsia="宋体" w:cs="宋体"/>
              <w:snapToGrid w:val="0"/>
              <w:sz w:val="28"/>
              <w:szCs w:val="28"/>
              <w:highlight w:val="none"/>
            </w:rPr>
            <w:t>附图</w:t>
          </w:r>
          <w:r>
            <w:rPr>
              <w:rFonts w:hint="default" w:ascii="Times New Roman" w:hAnsi="Times New Roman" w:eastAsia="宋体" w:cs="Times New Roman"/>
              <w:snapToGrid w:val="0"/>
              <w:sz w:val="28"/>
              <w:szCs w:val="28"/>
              <w:highlight w:val="none"/>
            </w:rPr>
            <w:t>1</w:t>
          </w:r>
          <w:r>
            <w:rPr>
              <w:rFonts w:hint="eastAsia" w:ascii="宋体" w:hAnsi="宋体" w:eastAsia="宋体" w:cs="宋体"/>
              <w:snapToGrid w:val="0"/>
              <w:sz w:val="28"/>
              <w:szCs w:val="28"/>
              <w:highlight w:val="none"/>
            </w:rPr>
            <w:t xml:space="preserve"> 项目地理位置图</w:t>
          </w:r>
          <w:r>
            <w:rPr>
              <w:rFonts w:hint="eastAsia" w:ascii="宋体" w:hAnsi="宋体" w:eastAsia="宋体" w:cs="宋体"/>
              <w:snapToGrid w:val="0"/>
              <w:sz w:val="28"/>
              <w:szCs w:val="28"/>
              <w:highlight w:val="none"/>
            </w:rPr>
            <w:tab/>
          </w:r>
          <w:r>
            <w:rPr>
              <w:rFonts w:hint="default" w:ascii="Times New Roman" w:hAnsi="Times New Roman" w:eastAsia="宋体" w:cs="Times New Roman"/>
              <w:snapToGrid w:val="0"/>
              <w:sz w:val="28"/>
              <w:szCs w:val="28"/>
              <w:highlight w:val="none"/>
            </w:rPr>
            <w:fldChar w:fldCharType="begin"/>
          </w:r>
          <w:r>
            <w:rPr>
              <w:rFonts w:hint="default" w:ascii="Times New Roman" w:hAnsi="Times New Roman" w:eastAsia="宋体" w:cs="Times New Roman"/>
              <w:snapToGrid w:val="0"/>
              <w:sz w:val="28"/>
              <w:szCs w:val="28"/>
              <w:highlight w:val="none"/>
            </w:rPr>
            <w:instrText xml:space="preserve"> PAGEREF _Toc11204 \h </w:instrText>
          </w:r>
          <w:r>
            <w:rPr>
              <w:rFonts w:hint="default" w:ascii="Times New Roman" w:hAnsi="Times New Roman" w:eastAsia="宋体" w:cs="Times New Roman"/>
              <w:snapToGrid w:val="0"/>
              <w:sz w:val="28"/>
              <w:szCs w:val="28"/>
              <w:highlight w:val="none"/>
            </w:rPr>
            <w:fldChar w:fldCharType="separate"/>
          </w:r>
          <w:r>
            <w:rPr>
              <w:rFonts w:hint="default" w:ascii="Times New Roman" w:hAnsi="Times New Roman" w:eastAsia="宋体" w:cs="Times New Roman"/>
              <w:snapToGrid w:val="0"/>
              <w:sz w:val="28"/>
              <w:szCs w:val="28"/>
              <w:highlight w:val="none"/>
            </w:rPr>
            <w:t>43</w:t>
          </w:r>
          <w:r>
            <w:rPr>
              <w:rFonts w:hint="default" w:ascii="Times New Roman" w:hAnsi="Times New Roman" w:eastAsia="宋体" w:cs="Times New Roman"/>
              <w:snapToGrid w:val="0"/>
              <w:sz w:val="28"/>
              <w:szCs w:val="28"/>
              <w:highlight w:val="none"/>
            </w:rPr>
            <w:fldChar w:fldCharType="end"/>
          </w:r>
          <w:r>
            <w:rPr>
              <w:rFonts w:hint="eastAsia" w:ascii="宋体" w:hAnsi="宋体" w:eastAsia="宋体" w:cs="宋体"/>
              <w:snapToGrid w:val="0"/>
              <w:sz w:val="28"/>
              <w:szCs w:val="28"/>
              <w:highlight w:val="none"/>
              <w:lang w:val="en-US" w:eastAsia="zh-CN"/>
            </w:rPr>
            <w:fldChar w:fldCharType="end"/>
          </w:r>
        </w:p>
        <w:p w14:paraId="19E486CB">
          <w:pPr>
            <w:pStyle w:val="15"/>
            <w:tabs>
              <w:tab w:val="right" w:leader="dot" w:pos="8844"/>
            </w:tabs>
            <w:rPr>
              <w:rFonts w:hint="default" w:ascii="Times New Roman" w:hAnsi="Times New Roman" w:eastAsia="宋体" w:cs="Times New Roman"/>
              <w:snapToGrid w:val="0"/>
              <w:sz w:val="28"/>
              <w:szCs w:val="28"/>
              <w:highlight w:val="none"/>
            </w:rPr>
          </w:pPr>
          <w:r>
            <w:rPr>
              <w:rFonts w:hint="eastAsia" w:ascii="宋体" w:hAnsi="宋体" w:eastAsia="宋体" w:cs="宋体"/>
              <w:snapToGrid w:val="0"/>
              <w:sz w:val="28"/>
              <w:szCs w:val="28"/>
              <w:highlight w:val="none"/>
              <w:lang w:val="en-US" w:eastAsia="zh-CN"/>
            </w:rPr>
            <w:fldChar w:fldCharType="begin"/>
          </w:r>
          <w:r>
            <w:rPr>
              <w:rFonts w:hint="eastAsia" w:ascii="宋体" w:hAnsi="宋体" w:eastAsia="宋体" w:cs="宋体"/>
              <w:snapToGrid w:val="0"/>
              <w:sz w:val="28"/>
              <w:szCs w:val="28"/>
              <w:highlight w:val="none"/>
              <w:lang w:val="en-US" w:eastAsia="zh-CN"/>
            </w:rPr>
            <w:instrText xml:space="preserve"> HYPERLINK \l _Toc12304 </w:instrText>
          </w:r>
          <w:r>
            <w:rPr>
              <w:rFonts w:hint="eastAsia" w:ascii="宋体" w:hAnsi="宋体" w:eastAsia="宋体" w:cs="宋体"/>
              <w:snapToGrid w:val="0"/>
              <w:sz w:val="28"/>
              <w:szCs w:val="28"/>
              <w:highlight w:val="none"/>
              <w:lang w:val="en-US" w:eastAsia="zh-CN"/>
            </w:rPr>
            <w:fldChar w:fldCharType="separate"/>
          </w:r>
          <w:r>
            <w:rPr>
              <w:rFonts w:hint="eastAsia" w:ascii="宋体" w:hAnsi="宋体" w:eastAsia="宋体" w:cs="宋体"/>
              <w:snapToGrid w:val="0"/>
              <w:sz w:val="28"/>
              <w:szCs w:val="28"/>
              <w:highlight w:val="none"/>
              <w:lang w:val="en-US" w:eastAsia="zh-CN"/>
            </w:rPr>
            <w:t>附图</w:t>
          </w:r>
          <w:r>
            <w:rPr>
              <w:rFonts w:hint="default" w:ascii="Times New Roman" w:hAnsi="Times New Roman" w:eastAsia="宋体" w:cs="Times New Roman"/>
              <w:snapToGrid w:val="0"/>
              <w:sz w:val="28"/>
              <w:szCs w:val="28"/>
              <w:highlight w:val="none"/>
              <w:lang w:val="en-US" w:eastAsia="zh-CN"/>
            </w:rPr>
            <w:t>2</w:t>
          </w:r>
          <w:r>
            <w:rPr>
              <w:rFonts w:hint="eastAsia" w:ascii="宋体" w:hAnsi="宋体" w:eastAsia="宋体" w:cs="宋体"/>
              <w:snapToGrid w:val="0"/>
              <w:sz w:val="28"/>
              <w:szCs w:val="28"/>
              <w:highlight w:val="none"/>
              <w:lang w:val="en-US" w:eastAsia="zh-CN"/>
            </w:rPr>
            <w:t xml:space="preserve"> 项目总平面布置图</w:t>
          </w:r>
          <w:r>
            <w:rPr>
              <w:rFonts w:hint="eastAsia" w:ascii="宋体" w:hAnsi="宋体" w:eastAsia="宋体" w:cs="宋体"/>
              <w:snapToGrid w:val="0"/>
              <w:sz w:val="28"/>
              <w:szCs w:val="28"/>
              <w:highlight w:val="none"/>
            </w:rPr>
            <w:tab/>
          </w:r>
          <w:r>
            <w:rPr>
              <w:rFonts w:hint="default" w:ascii="Times New Roman" w:hAnsi="Times New Roman" w:eastAsia="宋体" w:cs="Times New Roman"/>
              <w:snapToGrid w:val="0"/>
              <w:sz w:val="28"/>
              <w:szCs w:val="28"/>
              <w:highlight w:val="none"/>
            </w:rPr>
            <w:fldChar w:fldCharType="begin"/>
          </w:r>
          <w:r>
            <w:rPr>
              <w:rFonts w:hint="default" w:ascii="Times New Roman" w:hAnsi="Times New Roman" w:eastAsia="宋体" w:cs="Times New Roman"/>
              <w:snapToGrid w:val="0"/>
              <w:sz w:val="28"/>
              <w:szCs w:val="28"/>
              <w:highlight w:val="none"/>
            </w:rPr>
            <w:instrText xml:space="preserve"> PAGEREF _Toc12304 \h </w:instrText>
          </w:r>
          <w:r>
            <w:rPr>
              <w:rFonts w:hint="default" w:ascii="Times New Roman" w:hAnsi="Times New Roman" w:eastAsia="宋体" w:cs="Times New Roman"/>
              <w:snapToGrid w:val="0"/>
              <w:sz w:val="28"/>
              <w:szCs w:val="28"/>
              <w:highlight w:val="none"/>
            </w:rPr>
            <w:fldChar w:fldCharType="separate"/>
          </w:r>
          <w:r>
            <w:rPr>
              <w:rFonts w:hint="default" w:ascii="Times New Roman" w:hAnsi="Times New Roman" w:eastAsia="宋体" w:cs="Times New Roman"/>
              <w:snapToGrid w:val="0"/>
              <w:sz w:val="28"/>
              <w:szCs w:val="28"/>
              <w:highlight w:val="none"/>
            </w:rPr>
            <w:t>44</w:t>
          </w:r>
          <w:r>
            <w:rPr>
              <w:rFonts w:hint="default" w:ascii="Times New Roman" w:hAnsi="Times New Roman" w:eastAsia="宋体" w:cs="Times New Roman"/>
              <w:snapToGrid w:val="0"/>
              <w:sz w:val="28"/>
              <w:szCs w:val="28"/>
              <w:highlight w:val="none"/>
            </w:rPr>
            <w:fldChar w:fldCharType="end"/>
          </w:r>
          <w:r>
            <w:rPr>
              <w:rFonts w:hint="eastAsia" w:ascii="宋体" w:hAnsi="宋体" w:eastAsia="宋体" w:cs="宋体"/>
              <w:snapToGrid w:val="0"/>
              <w:sz w:val="28"/>
              <w:szCs w:val="28"/>
              <w:highlight w:val="none"/>
              <w:lang w:val="en-US" w:eastAsia="zh-CN"/>
            </w:rPr>
            <w:fldChar w:fldCharType="end"/>
          </w:r>
        </w:p>
        <w:p w14:paraId="4921AC26">
          <w:pPr>
            <w:pStyle w:val="15"/>
            <w:tabs>
              <w:tab w:val="right" w:leader="dot" w:pos="8844"/>
            </w:tabs>
            <w:rPr>
              <w:rFonts w:hint="default" w:ascii="Times New Roman" w:hAnsi="Times New Roman" w:eastAsia="宋体" w:cs="Times New Roman"/>
              <w:snapToGrid w:val="0"/>
              <w:sz w:val="28"/>
              <w:szCs w:val="28"/>
              <w:highlight w:val="none"/>
            </w:rPr>
          </w:pPr>
          <w:r>
            <w:rPr>
              <w:rFonts w:hint="eastAsia" w:ascii="宋体" w:hAnsi="宋体" w:eastAsia="宋体" w:cs="宋体"/>
              <w:snapToGrid w:val="0"/>
              <w:sz w:val="28"/>
              <w:szCs w:val="28"/>
              <w:highlight w:val="none"/>
              <w:lang w:val="en-US" w:eastAsia="zh-CN"/>
            </w:rPr>
            <w:fldChar w:fldCharType="begin"/>
          </w:r>
          <w:r>
            <w:rPr>
              <w:rFonts w:hint="eastAsia" w:ascii="宋体" w:hAnsi="宋体" w:eastAsia="宋体" w:cs="宋体"/>
              <w:snapToGrid w:val="0"/>
              <w:sz w:val="28"/>
              <w:szCs w:val="28"/>
              <w:highlight w:val="none"/>
              <w:lang w:val="en-US" w:eastAsia="zh-CN"/>
            </w:rPr>
            <w:instrText xml:space="preserve"> HYPERLINK \l _Toc2306 </w:instrText>
          </w:r>
          <w:r>
            <w:rPr>
              <w:rFonts w:hint="eastAsia" w:ascii="宋体" w:hAnsi="宋体" w:eastAsia="宋体" w:cs="宋体"/>
              <w:snapToGrid w:val="0"/>
              <w:sz w:val="28"/>
              <w:szCs w:val="28"/>
              <w:highlight w:val="none"/>
              <w:lang w:val="en-US" w:eastAsia="zh-CN"/>
            </w:rPr>
            <w:fldChar w:fldCharType="separate"/>
          </w:r>
          <w:r>
            <w:rPr>
              <w:rFonts w:hint="eastAsia" w:ascii="宋体" w:hAnsi="宋体" w:eastAsia="宋体" w:cs="宋体"/>
              <w:snapToGrid w:val="0"/>
              <w:sz w:val="28"/>
              <w:szCs w:val="28"/>
              <w:highlight w:val="none"/>
              <w:lang w:val="en-US" w:eastAsia="zh-CN"/>
            </w:rPr>
            <w:t>附图</w:t>
          </w:r>
          <w:r>
            <w:rPr>
              <w:rFonts w:hint="default" w:ascii="Times New Roman" w:hAnsi="Times New Roman" w:eastAsia="宋体" w:cs="Times New Roman"/>
              <w:snapToGrid w:val="0"/>
              <w:sz w:val="28"/>
              <w:szCs w:val="28"/>
              <w:highlight w:val="none"/>
              <w:lang w:val="en-US" w:eastAsia="zh-CN"/>
            </w:rPr>
            <w:t>3</w:t>
          </w:r>
          <w:r>
            <w:rPr>
              <w:rFonts w:hint="eastAsia" w:ascii="宋体" w:hAnsi="宋体" w:eastAsia="宋体" w:cs="宋体"/>
              <w:snapToGrid w:val="0"/>
              <w:sz w:val="28"/>
              <w:szCs w:val="28"/>
              <w:highlight w:val="none"/>
              <w:lang w:val="en-US" w:eastAsia="zh-CN"/>
            </w:rPr>
            <w:t xml:space="preserve"> 项目分区防渗图</w:t>
          </w:r>
          <w:r>
            <w:rPr>
              <w:rFonts w:hint="eastAsia" w:ascii="宋体" w:hAnsi="宋体" w:eastAsia="宋体" w:cs="宋体"/>
              <w:snapToGrid w:val="0"/>
              <w:sz w:val="28"/>
              <w:szCs w:val="28"/>
              <w:highlight w:val="none"/>
            </w:rPr>
            <w:tab/>
          </w:r>
          <w:r>
            <w:rPr>
              <w:rFonts w:hint="default" w:ascii="Times New Roman" w:hAnsi="Times New Roman" w:eastAsia="宋体" w:cs="Times New Roman"/>
              <w:snapToGrid w:val="0"/>
              <w:sz w:val="28"/>
              <w:szCs w:val="28"/>
              <w:highlight w:val="none"/>
            </w:rPr>
            <w:fldChar w:fldCharType="begin"/>
          </w:r>
          <w:r>
            <w:rPr>
              <w:rFonts w:hint="default" w:ascii="Times New Roman" w:hAnsi="Times New Roman" w:eastAsia="宋体" w:cs="Times New Roman"/>
              <w:snapToGrid w:val="0"/>
              <w:sz w:val="28"/>
              <w:szCs w:val="28"/>
              <w:highlight w:val="none"/>
            </w:rPr>
            <w:instrText xml:space="preserve"> PAGEREF _Toc2306 \h </w:instrText>
          </w:r>
          <w:r>
            <w:rPr>
              <w:rFonts w:hint="default" w:ascii="Times New Roman" w:hAnsi="Times New Roman" w:eastAsia="宋体" w:cs="Times New Roman"/>
              <w:snapToGrid w:val="0"/>
              <w:sz w:val="28"/>
              <w:szCs w:val="28"/>
              <w:highlight w:val="none"/>
            </w:rPr>
            <w:fldChar w:fldCharType="separate"/>
          </w:r>
          <w:r>
            <w:rPr>
              <w:rFonts w:hint="default" w:ascii="Times New Roman" w:hAnsi="Times New Roman" w:eastAsia="宋体" w:cs="Times New Roman"/>
              <w:snapToGrid w:val="0"/>
              <w:sz w:val="28"/>
              <w:szCs w:val="28"/>
              <w:highlight w:val="none"/>
            </w:rPr>
            <w:t>45</w:t>
          </w:r>
          <w:r>
            <w:rPr>
              <w:rFonts w:hint="default" w:ascii="Times New Roman" w:hAnsi="Times New Roman" w:eastAsia="宋体" w:cs="Times New Roman"/>
              <w:snapToGrid w:val="0"/>
              <w:sz w:val="28"/>
              <w:szCs w:val="28"/>
              <w:highlight w:val="none"/>
            </w:rPr>
            <w:fldChar w:fldCharType="end"/>
          </w:r>
          <w:r>
            <w:rPr>
              <w:rFonts w:hint="eastAsia" w:ascii="宋体" w:hAnsi="宋体" w:eastAsia="宋体" w:cs="宋体"/>
              <w:snapToGrid w:val="0"/>
              <w:sz w:val="28"/>
              <w:szCs w:val="28"/>
              <w:highlight w:val="none"/>
              <w:lang w:val="en-US" w:eastAsia="zh-CN"/>
            </w:rPr>
            <w:fldChar w:fldCharType="end"/>
          </w:r>
        </w:p>
        <w:p w14:paraId="63AD0E9E">
          <w:pPr>
            <w:pStyle w:val="15"/>
            <w:tabs>
              <w:tab w:val="right" w:leader="dot" w:pos="8844"/>
            </w:tabs>
            <w:rPr>
              <w:rFonts w:hint="default" w:ascii="Times New Roman" w:hAnsi="Times New Roman" w:eastAsia="宋体" w:cs="Times New Roman"/>
              <w:snapToGrid w:val="0"/>
              <w:sz w:val="28"/>
              <w:szCs w:val="28"/>
              <w:highlight w:val="none"/>
            </w:rPr>
          </w:pPr>
          <w:r>
            <w:rPr>
              <w:rFonts w:hint="eastAsia" w:ascii="宋体" w:hAnsi="宋体" w:eastAsia="宋体" w:cs="宋体"/>
              <w:snapToGrid w:val="0"/>
              <w:sz w:val="28"/>
              <w:szCs w:val="28"/>
              <w:highlight w:val="none"/>
              <w:lang w:val="en-US" w:eastAsia="zh-CN"/>
            </w:rPr>
            <w:fldChar w:fldCharType="begin"/>
          </w:r>
          <w:r>
            <w:rPr>
              <w:rFonts w:hint="eastAsia" w:ascii="宋体" w:hAnsi="宋体" w:eastAsia="宋体" w:cs="宋体"/>
              <w:snapToGrid w:val="0"/>
              <w:sz w:val="28"/>
              <w:szCs w:val="28"/>
              <w:highlight w:val="none"/>
              <w:lang w:val="en-US" w:eastAsia="zh-CN"/>
            </w:rPr>
            <w:instrText xml:space="preserve"> HYPERLINK \l _Toc26078 </w:instrText>
          </w:r>
          <w:r>
            <w:rPr>
              <w:rFonts w:hint="eastAsia" w:ascii="宋体" w:hAnsi="宋体" w:eastAsia="宋体" w:cs="宋体"/>
              <w:snapToGrid w:val="0"/>
              <w:sz w:val="28"/>
              <w:szCs w:val="28"/>
              <w:highlight w:val="none"/>
              <w:lang w:val="en-US" w:eastAsia="zh-CN"/>
            </w:rPr>
            <w:fldChar w:fldCharType="separate"/>
          </w:r>
          <w:r>
            <w:rPr>
              <w:rFonts w:hint="eastAsia" w:ascii="宋体" w:hAnsi="宋体" w:eastAsia="宋体" w:cs="宋体"/>
              <w:snapToGrid w:val="0"/>
              <w:sz w:val="28"/>
              <w:szCs w:val="28"/>
              <w:highlight w:val="none"/>
            </w:rPr>
            <w:t>附图</w:t>
          </w:r>
          <w:r>
            <w:rPr>
              <w:rFonts w:hint="default" w:ascii="Times New Roman" w:hAnsi="Times New Roman" w:eastAsia="宋体" w:cs="Times New Roman"/>
              <w:snapToGrid w:val="0"/>
              <w:sz w:val="28"/>
              <w:szCs w:val="28"/>
              <w:highlight w:val="none"/>
              <w:lang w:val="en-US" w:eastAsia="zh-CN"/>
            </w:rPr>
            <w:t>4</w:t>
          </w:r>
          <w:r>
            <w:rPr>
              <w:rFonts w:hint="default" w:ascii="Times New Roman" w:hAnsi="Times New Roman" w:eastAsia="宋体" w:cs="Times New Roman"/>
              <w:snapToGrid w:val="0"/>
              <w:sz w:val="28"/>
              <w:szCs w:val="28"/>
              <w:highlight w:val="none"/>
            </w:rPr>
            <w:t xml:space="preserve"> </w:t>
          </w:r>
          <w:r>
            <w:rPr>
              <w:rFonts w:hint="eastAsia" w:ascii="宋体" w:hAnsi="宋体" w:eastAsia="宋体" w:cs="宋体"/>
              <w:snapToGrid w:val="0"/>
              <w:sz w:val="28"/>
              <w:szCs w:val="28"/>
              <w:highlight w:val="none"/>
            </w:rPr>
            <w:t>鸡西市环境单元管控图</w:t>
          </w:r>
          <w:r>
            <w:rPr>
              <w:rFonts w:hint="eastAsia" w:ascii="宋体" w:hAnsi="宋体" w:eastAsia="宋体" w:cs="宋体"/>
              <w:snapToGrid w:val="0"/>
              <w:sz w:val="28"/>
              <w:szCs w:val="28"/>
              <w:highlight w:val="none"/>
            </w:rPr>
            <w:tab/>
          </w:r>
          <w:r>
            <w:rPr>
              <w:rFonts w:hint="default" w:ascii="Times New Roman" w:hAnsi="Times New Roman" w:eastAsia="宋体" w:cs="Times New Roman"/>
              <w:snapToGrid w:val="0"/>
              <w:sz w:val="28"/>
              <w:szCs w:val="28"/>
              <w:highlight w:val="none"/>
            </w:rPr>
            <w:fldChar w:fldCharType="begin"/>
          </w:r>
          <w:r>
            <w:rPr>
              <w:rFonts w:hint="default" w:ascii="Times New Roman" w:hAnsi="Times New Roman" w:eastAsia="宋体" w:cs="Times New Roman"/>
              <w:snapToGrid w:val="0"/>
              <w:sz w:val="28"/>
              <w:szCs w:val="28"/>
              <w:highlight w:val="none"/>
            </w:rPr>
            <w:instrText xml:space="preserve"> PAGEREF _Toc26078 \h </w:instrText>
          </w:r>
          <w:r>
            <w:rPr>
              <w:rFonts w:hint="default" w:ascii="Times New Roman" w:hAnsi="Times New Roman" w:eastAsia="宋体" w:cs="Times New Roman"/>
              <w:snapToGrid w:val="0"/>
              <w:sz w:val="28"/>
              <w:szCs w:val="28"/>
              <w:highlight w:val="none"/>
            </w:rPr>
            <w:fldChar w:fldCharType="separate"/>
          </w:r>
          <w:r>
            <w:rPr>
              <w:rFonts w:hint="default" w:ascii="Times New Roman" w:hAnsi="Times New Roman" w:eastAsia="宋体" w:cs="Times New Roman"/>
              <w:snapToGrid w:val="0"/>
              <w:sz w:val="28"/>
              <w:szCs w:val="28"/>
              <w:highlight w:val="none"/>
            </w:rPr>
            <w:t>46</w:t>
          </w:r>
          <w:r>
            <w:rPr>
              <w:rFonts w:hint="default" w:ascii="Times New Roman" w:hAnsi="Times New Roman" w:eastAsia="宋体" w:cs="Times New Roman"/>
              <w:snapToGrid w:val="0"/>
              <w:sz w:val="28"/>
              <w:szCs w:val="28"/>
              <w:highlight w:val="none"/>
            </w:rPr>
            <w:fldChar w:fldCharType="end"/>
          </w:r>
          <w:r>
            <w:rPr>
              <w:rFonts w:hint="eastAsia" w:ascii="宋体" w:hAnsi="宋体" w:eastAsia="宋体" w:cs="宋体"/>
              <w:snapToGrid w:val="0"/>
              <w:sz w:val="28"/>
              <w:szCs w:val="28"/>
              <w:highlight w:val="none"/>
              <w:lang w:val="en-US" w:eastAsia="zh-CN"/>
            </w:rPr>
            <w:fldChar w:fldCharType="end"/>
          </w:r>
        </w:p>
        <w:p w14:paraId="1E4031F9">
          <w:pPr>
            <w:pStyle w:val="15"/>
            <w:tabs>
              <w:tab w:val="right" w:leader="dot" w:pos="8844"/>
            </w:tabs>
            <w:rPr>
              <w:rFonts w:hint="default" w:ascii="Times New Roman" w:hAnsi="Times New Roman" w:eastAsia="宋体" w:cs="Times New Roman"/>
              <w:snapToGrid w:val="0"/>
              <w:sz w:val="28"/>
              <w:szCs w:val="28"/>
              <w:highlight w:val="none"/>
            </w:rPr>
          </w:pPr>
          <w:r>
            <w:rPr>
              <w:rFonts w:hint="eastAsia" w:ascii="宋体" w:hAnsi="宋体" w:eastAsia="宋体" w:cs="宋体"/>
              <w:snapToGrid w:val="0"/>
              <w:sz w:val="28"/>
              <w:szCs w:val="28"/>
              <w:highlight w:val="none"/>
              <w:lang w:val="en-US" w:eastAsia="zh-CN"/>
            </w:rPr>
            <w:fldChar w:fldCharType="begin"/>
          </w:r>
          <w:r>
            <w:rPr>
              <w:rFonts w:hint="eastAsia" w:ascii="宋体" w:hAnsi="宋体" w:eastAsia="宋体" w:cs="宋体"/>
              <w:snapToGrid w:val="0"/>
              <w:sz w:val="28"/>
              <w:szCs w:val="28"/>
              <w:highlight w:val="none"/>
              <w:lang w:val="en-US" w:eastAsia="zh-CN"/>
            </w:rPr>
            <w:instrText xml:space="preserve"> HYPERLINK \l _Toc3235 </w:instrText>
          </w:r>
          <w:r>
            <w:rPr>
              <w:rFonts w:hint="eastAsia" w:ascii="宋体" w:hAnsi="宋体" w:eastAsia="宋体" w:cs="宋体"/>
              <w:snapToGrid w:val="0"/>
              <w:sz w:val="28"/>
              <w:szCs w:val="28"/>
              <w:highlight w:val="none"/>
              <w:lang w:val="en-US" w:eastAsia="zh-CN"/>
            </w:rPr>
            <w:fldChar w:fldCharType="separate"/>
          </w:r>
          <w:r>
            <w:rPr>
              <w:rFonts w:hint="eastAsia" w:ascii="宋体" w:hAnsi="宋体" w:eastAsia="宋体" w:cs="宋体"/>
              <w:snapToGrid w:val="0"/>
              <w:sz w:val="28"/>
              <w:szCs w:val="28"/>
              <w:highlight w:val="none"/>
              <w:lang w:val="en-US" w:eastAsia="zh-CN"/>
            </w:rPr>
            <w:t>附图</w:t>
          </w:r>
          <w:r>
            <w:rPr>
              <w:rFonts w:hint="default" w:ascii="Times New Roman" w:hAnsi="Times New Roman" w:eastAsia="宋体" w:cs="Times New Roman"/>
              <w:snapToGrid w:val="0"/>
              <w:sz w:val="28"/>
              <w:szCs w:val="28"/>
              <w:highlight w:val="none"/>
              <w:lang w:val="en-US" w:eastAsia="zh-CN"/>
            </w:rPr>
            <w:t>5</w:t>
          </w:r>
          <w:r>
            <w:rPr>
              <w:rFonts w:hint="eastAsia" w:ascii="宋体" w:hAnsi="宋体" w:eastAsia="宋体" w:cs="宋体"/>
              <w:snapToGrid w:val="0"/>
              <w:sz w:val="28"/>
              <w:szCs w:val="28"/>
              <w:highlight w:val="none"/>
              <w:lang w:val="en-US" w:eastAsia="zh-CN"/>
            </w:rPr>
            <w:t xml:space="preserve"> 环境保护目标图</w:t>
          </w:r>
          <w:r>
            <w:rPr>
              <w:rFonts w:hint="eastAsia" w:ascii="宋体" w:hAnsi="宋体" w:eastAsia="宋体" w:cs="宋体"/>
              <w:snapToGrid w:val="0"/>
              <w:sz w:val="28"/>
              <w:szCs w:val="28"/>
              <w:highlight w:val="none"/>
            </w:rPr>
            <w:tab/>
          </w:r>
          <w:r>
            <w:rPr>
              <w:rFonts w:hint="default" w:ascii="Times New Roman" w:hAnsi="Times New Roman" w:eastAsia="宋体" w:cs="Times New Roman"/>
              <w:snapToGrid w:val="0"/>
              <w:sz w:val="28"/>
              <w:szCs w:val="28"/>
              <w:highlight w:val="none"/>
            </w:rPr>
            <w:fldChar w:fldCharType="begin"/>
          </w:r>
          <w:r>
            <w:rPr>
              <w:rFonts w:hint="default" w:ascii="Times New Roman" w:hAnsi="Times New Roman" w:eastAsia="宋体" w:cs="Times New Roman"/>
              <w:snapToGrid w:val="0"/>
              <w:sz w:val="28"/>
              <w:szCs w:val="28"/>
              <w:highlight w:val="none"/>
            </w:rPr>
            <w:instrText xml:space="preserve"> PAGEREF _Toc3235 \h </w:instrText>
          </w:r>
          <w:r>
            <w:rPr>
              <w:rFonts w:hint="default" w:ascii="Times New Roman" w:hAnsi="Times New Roman" w:eastAsia="宋体" w:cs="Times New Roman"/>
              <w:snapToGrid w:val="0"/>
              <w:sz w:val="28"/>
              <w:szCs w:val="28"/>
              <w:highlight w:val="none"/>
            </w:rPr>
            <w:fldChar w:fldCharType="separate"/>
          </w:r>
          <w:r>
            <w:rPr>
              <w:rFonts w:hint="default" w:ascii="Times New Roman" w:hAnsi="Times New Roman" w:eastAsia="宋体" w:cs="Times New Roman"/>
              <w:snapToGrid w:val="0"/>
              <w:sz w:val="28"/>
              <w:szCs w:val="28"/>
              <w:highlight w:val="none"/>
            </w:rPr>
            <w:t>47</w:t>
          </w:r>
          <w:r>
            <w:rPr>
              <w:rFonts w:hint="default" w:ascii="Times New Roman" w:hAnsi="Times New Roman" w:eastAsia="宋体" w:cs="Times New Roman"/>
              <w:snapToGrid w:val="0"/>
              <w:sz w:val="28"/>
              <w:szCs w:val="28"/>
              <w:highlight w:val="none"/>
            </w:rPr>
            <w:fldChar w:fldCharType="end"/>
          </w:r>
          <w:r>
            <w:rPr>
              <w:rFonts w:hint="eastAsia" w:ascii="宋体" w:hAnsi="宋体" w:eastAsia="宋体" w:cs="宋体"/>
              <w:snapToGrid w:val="0"/>
              <w:sz w:val="28"/>
              <w:szCs w:val="28"/>
              <w:highlight w:val="none"/>
              <w:lang w:val="en-US" w:eastAsia="zh-CN"/>
            </w:rPr>
            <w:fldChar w:fldCharType="end"/>
          </w:r>
        </w:p>
        <w:p w14:paraId="24FCCF08">
          <w:pPr>
            <w:pStyle w:val="15"/>
            <w:tabs>
              <w:tab w:val="right" w:leader="dot" w:pos="8844"/>
            </w:tabs>
            <w:rPr>
              <w:rFonts w:hint="default" w:ascii="Times New Roman" w:hAnsi="Times New Roman" w:eastAsia="宋体" w:cs="Times New Roman"/>
              <w:snapToGrid w:val="0"/>
              <w:sz w:val="28"/>
              <w:szCs w:val="28"/>
              <w:highlight w:val="none"/>
            </w:rPr>
          </w:pPr>
          <w:r>
            <w:rPr>
              <w:rFonts w:hint="eastAsia" w:ascii="宋体" w:hAnsi="宋体" w:eastAsia="宋体" w:cs="宋体"/>
              <w:snapToGrid w:val="0"/>
              <w:sz w:val="28"/>
              <w:szCs w:val="28"/>
              <w:highlight w:val="none"/>
              <w:lang w:val="en-US" w:eastAsia="zh-CN"/>
            </w:rPr>
            <w:fldChar w:fldCharType="begin"/>
          </w:r>
          <w:r>
            <w:rPr>
              <w:rFonts w:hint="eastAsia" w:ascii="宋体" w:hAnsi="宋体" w:eastAsia="宋体" w:cs="宋体"/>
              <w:snapToGrid w:val="0"/>
              <w:sz w:val="28"/>
              <w:szCs w:val="28"/>
              <w:highlight w:val="none"/>
              <w:lang w:val="en-US" w:eastAsia="zh-CN"/>
            </w:rPr>
            <w:instrText xml:space="preserve"> HYPERLINK \l _Toc17144 </w:instrText>
          </w:r>
          <w:r>
            <w:rPr>
              <w:rFonts w:hint="eastAsia" w:ascii="宋体" w:hAnsi="宋体" w:eastAsia="宋体" w:cs="宋体"/>
              <w:snapToGrid w:val="0"/>
              <w:sz w:val="28"/>
              <w:szCs w:val="28"/>
              <w:highlight w:val="none"/>
              <w:lang w:val="en-US" w:eastAsia="zh-CN"/>
            </w:rPr>
            <w:fldChar w:fldCharType="separate"/>
          </w:r>
          <w:r>
            <w:rPr>
              <w:rFonts w:hint="eastAsia" w:ascii="宋体" w:hAnsi="宋体" w:eastAsia="宋体" w:cs="宋体"/>
              <w:snapToGrid w:val="0"/>
              <w:sz w:val="28"/>
              <w:szCs w:val="28"/>
              <w:highlight w:val="none"/>
              <w:lang w:val="en-US" w:eastAsia="zh-CN"/>
            </w:rPr>
            <w:t>附图</w:t>
          </w:r>
          <w:r>
            <w:rPr>
              <w:rFonts w:hint="default" w:ascii="Times New Roman" w:hAnsi="Times New Roman" w:eastAsia="宋体" w:cs="Times New Roman"/>
              <w:snapToGrid w:val="0"/>
              <w:sz w:val="28"/>
              <w:szCs w:val="28"/>
              <w:highlight w:val="none"/>
              <w:lang w:val="en-US" w:eastAsia="zh-CN"/>
            </w:rPr>
            <w:t>6</w:t>
          </w:r>
          <w:r>
            <w:rPr>
              <w:rFonts w:hint="eastAsia" w:ascii="宋体" w:hAnsi="宋体" w:eastAsia="宋体" w:cs="宋体"/>
              <w:snapToGrid w:val="0"/>
              <w:sz w:val="28"/>
              <w:szCs w:val="28"/>
              <w:highlight w:val="none"/>
              <w:lang w:val="en-US" w:eastAsia="zh-CN"/>
            </w:rPr>
            <w:t xml:space="preserve"> 监测点位示意图</w:t>
          </w:r>
          <w:r>
            <w:rPr>
              <w:rFonts w:hint="eastAsia" w:ascii="宋体" w:hAnsi="宋体" w:eastAsia="宋体" w:cs="宋体"/>
              <w:snapToGrid w:val="0"/>
              <w:sz w:val="28"/>
              <w:szCs w:val="28"/>
              <w:highlight w:val="none"/>
            </w:rPr>
            <w:tab/>
          </w:r>
          <w:r>
            <w:rPr>
              <w:rFonts w:hint="default" w:ascii="Times New Roman" w:hAnsi="Times New Roman" w:eastAsia="宋体" w:cs="Times New Roman"/>
              <w:snapToGrid w:val="0"/>
              <w:sz w:val="28"/>
              <w:szCs w:val="28"/>
              <w:highlight w:val="none"/>
            </w:rPr>
            <w:fldChar w:fldCharType="begin"/>
          </w:r>
          <w:r>
            <w:rPr>
              <w:rFonts w:hint="default" w:ascii="Times New Roman" w:hAnsi="Times New Roman" w:eastAsia="宋体" w:cs="Times New Roman"/>
              <w:snapToGrid w:val="0"/>
              <w:sz w:val="28"/>
              <w:szCs w:val="28"/>
              <w:highlight w:val="none"/>
            </w:rPr>
            <w:instrText xml:space="preserve"> PAGEREF _Toc17144 \h </w:instrText>
          </w:r>
          <w:r>
            <w:rPr>
              <w:rFonts w:hint="default" w:ascii="Times New Roman" w:hAnsi="Times New Roman" w:eastAsia="宋体" w:cs="Times New Roman"/>
              <w:snapToGrid w:val="0"/>
              <w:sz w:val="28"/>
              <w:szCs w:val="28"/>
              <w:highlight w:val="none"/>
            </w:rPr>
            <w:fldChar w:fldCharType="separate"/>
          </w:r>
          <w:r>
            <w:rPr>
              <w:rFonts w:hint="default" w:ascii="Times New Roman" w:hAnsi="Times New Roman" w:eastAsia="宋体" w:cs="Times New Roman"/>
              <w:snapToGrid w:val="0"/>
              <w:sz w:val="28"/>
              <w:szCs w:val="28"/>
              <w:highlight w:val="none"/>
            </w:rPr>
            <w:t>48</w:t>
          </w:r>
          <w:r>
            <w:rPr>
              <w:rFonts w:hint="default" w:ascii="Times New Roman" w:hAnsi="Times New Roman" w:eastAsia="宋体" w:cs="Times New Roman"/>
              <w:snapToGrid w:val="0"/>
              <w:sz w:val="28"/>
              <w:szCs w:val="28"/>
              <w:highlight w:val="none"/>
            </w:rPr>
            <w:fldChar w:fldCharType="end"/>
          </w:r>
          <w:r>
            <w:rPr>
              <w:rFonts w:hint="eastAsia" w:ascii="宋体" w:hAnsi="宋体" w:eastAsia="宋体" w:cs="宋体"/>
              <w:snapToGrid w:val="0"/>
              <w:sz w:val="28"/>
              <w:szCs w:val="28"/>
              <w:highlight w:val="none"/>
              <w:lang w:val="en-US" w:eastAsia="zh-CN"/>
            </w:rPr>
            <w:fldChar w:fldCharType="end"/>
          </w:r>
        </w:p>
        <w:p w14:paraId="2CCCCC8D">
          <w:pPr>
            <w:pStyle w:val="15"/>
            <w:tabs>
              <w:tab w:val="right" w:leader="dot" w:pos="8844"/>
            </w:tabs>
            <w:rPr>
              <w:rFonts w:hint="default" w:ascii="Times New Roman" w:hAnsi="Times New Roman" w:eastAsia="宋体" w:cs="Times New Roman"/>
              <w:snapToGrid w:val="0"/>
              <w:sz w:val="28"/>
              <w:szCs w:val="28"/>
              <w:highlight w:val="none"/>
            </w:rPr>
          </w:pPr>
          <w:r>
            <w:rPr>
              <w:rFonts w:hint="eastAsia" w:ascii="宋体" w:hAnsi="宋体" w:eastAsia="宋体" w:cs="宋体"/>
              <w:snapToGrid w:val="0"/>
              <w:sz w:val="28"/>
              <w:szCs w:val="28"/>
              <w:highlight w:val="none"/>
              <w:lang w:val="en-US" w:eastAsia="zh-CN"/>
            </w:rPr>
            <w:fldChar w:fldCharType="begin"/>
          </w:r>
          <w:r>
            <w:rPr>
              <w:rFonts w:hint="eastAsia" w:ascii="宋体" w:hAnsi="宋体" w:eastAsia="宋体" w:cs="宋体"/>
              <w:snapToGrid w:val="0"/>
              <w:sz w:val="28"/>
              <w:szCs w:val="28"/>
              <w:highlight w:val="none"/>
              <w:lang w:val="en-US" w:eastAsia="zh-CN"/>
            </w:rPr>
            <w:instrText xml:space="preserve"> HYPERLINK \l _Toc14331 </w:instrText>
          </w:r>
          <w:r>
            <w:rPr>
              <w:rFonts w:hint="eastAsia" w:ascii="宋体" w:hAnsi="宋体" w:eastAsia="宋体" w:cs="宋体"/>
              <w:snapToGrid w:val="0"/>
              <w:sz w:val="28"/>
              <w:szCs w:val="28"/>
              <w:highlight w:val="none"/>
              <w:lang w:val="en-US" w:eastAsia="zh-CN"/>
            </w:rPr>
            <w:fldChar w:fldCharType="separate"/>
          </w:r>
          <w:r>
            <w:rPr>
              <w:rFonts w:hint="eastAsia" w:ascii="宋体" w:hAnsi="宋体" w:eastAsia="宋体" w:cs="宋体"/>
              <w:snapToGrid w:val="0"/>
              <w:sz w:val="28"/>
              <w:szCs w:val="28"/>
              <w:highlight w:val="none"/>
            </w:rPr>
            <w:t>附图</w:t>
          </w:r>
          <w:r>
            <w:rPr>
              <w:rFonts w:hint="default" w:ascii="Times New Roman" w:hAnsi="Times New Roman" w:eastAsia="宋体" w:cs="Times New Roman"/>
              <w:snapToGrid w:val="0"/>
              <w:sz w:val="28"/>
              <w:szCs w:val="28"/>
              <w:highlight w:val="none"/>
              <w:lang w:val="en-US" w:eastAsia="zh-CN"/>
            </w:rPr>
            <w:t>7</w:t>
          </w:r>
          <w:r>
            <w:rPr>
              <w:rFonts w:hint="eastAsia" w:ascii="宋体" w:hAnsi="宋体" w:eastAsia="宋体" w:cs="宋体"/>
              <w:snapToGrid w:val="0"/>
              <w:sz w:val="28"/>
              <w:szCs w:val="28"/>
              <w:highlight w:val="none"/>
            </w:rPr>
            <w:t xml:space="preserve"> </w:t>
          </w:r>
          <w:r>
            <w:rPr>
              <w:rFonts w:hint="eastAsia" w:ascii="宋体" w:hAnsi="宋体" w:eastAsia="宋体" w:cs="宋体"/>
              <w:snapToGrid w:val="0"/>
              <w:sz w:val="28"/>
              <w:szCs w:val="28"/>
              <w:highlight w:val="none"/>
              <w:lang w:val="en-US" w:eastAsia="zh-CN"/>
            </w:rPr>
            <w:t>现场照片</w:t>
          </w:r>
          <w:r>
            <w:rPr>
              <w:rFonts w:hint="eastAsia" w:ascii="宋体" w:hAnsi="宋体" w:eastAsia="宋体" w:cs="宋体"/>
              <w:snapToGrid w:val="0"/>
              <w:sz w:val="28"/>
              <w:szCs w:val="28"/>
              <w:highlight w:val="none"/>
            </w:rPr>
            <w:tab/>
          </w:r>
          <w:r>
            <w:rPr>
              <w:rFonts w:hint="default" w:ascii="Times New Roman" w:hAnsi="Times New Roman" w:eastAsia="宋体" w:cs="Times New Roman"/>
              <w:snapToGrid w:val="0"/>
              <w:sz w:val="28"/>
              <w:szCs w:val="28"/>
              <w:highlight w:val="none"/>
            </w:rPr>
            <w:fldChar w:fldCharType="begin"/>
          </w:r>
          <w:r>
            <w:rPr>
              <w:rFonts w:hint="default" w:ascii="Times New Roman" w:hAnsi="Times New Roman" w:eastAsia="宋体" w:cs="Times New Roman"/>
              <w:snapToGrid w:val="0"/>
              <w:sz w:val="28"/>
              <w:szCs w:val="28"/>
              <w:highlight w:val="none"/>
            </w:rPr>
            <w:instrText xml:space="preserve"> PAGEREF _Toc14331 \h </w:instrText>
          </w:r>
          <w:r>
            <w:rPr>
              <w:rFonts w:hint="default" w:ascii="Times New Roman" w:hAnsi="Times New Roman" w:eastAsia="宋体" w:cs="Times New Roman"/>
              <w:snapToGrid w:val="0"/>
              <w:sz w:val="28"/>
              <w:szCs w:val="28"/>
              <w:highlight w:val="none"/>
            </w:rPr>
            <w:fldChar w:fldCharType="separate"/>
          </w:r>
          <w:r>
            <w:rPr>
              <w:rFonts w:hint="default" w:ascii="Times New Roman" w:hAnsi="Times New Roman" w:eastAsia="宋体" w:cs="Times New Roman"/>
              <w:snapToGrid w:val="0"/>
              <w:sz w:val="28"/>
              <w:szCs w:val="28"/>
              <w:highlight w:val="none"/>
            </w:rPr>
            <w:t>49</w:t>
          </w:r>
          <w:r>
            <w:rPr>
              <w:rFonts w:hint="default" w:ascii="Times New Roman" w:hAnsi="Times New Roman" w:eastAsia="宋体" w:cs="Times New Roman"/>
              <w:snapToGrid w:val="0"/>
              <w:sz w:val="28"/>
              <w:szCs w:val="28"/>
              <w:highlight w:val="none"/>
            </w:rPr>
            <w:fldChar w:fldCharType="end"/>
          </w:r>
          <w:r>
            <w:rPr>
              <w:rFonts w:hint="eastAsia" w:ascii="宋体" w:hAnsi="宋体" w:eastAsia="宋体" w:cs="宋体"/>
              <w:snapToGrid w:val="0"/>
              <w:sz w:val="28"/>
              <w:szCs w:val="28"/>
              <w:highlight w:val="none"/>
              <w:lang w:val="en-US" w:eastAsia="zh-CN"/>
            </w:rPr>
            <w:fldChar w:fldCharType="end"/>
          </w:r>
        </w:p>
        <w:p w14:paraId="01D0C7D5">
          <w:pPr>
            <w:pStyle w:val="15"/>
            <w:tabs>
              <w:tab w:val="right" w:leader="dot" w:pos="8844"/>
            </w:tabs>
            <w:rPr>
              <w:rFonts w:hint="default" w:ascii="Times New Roman" w:hAnsi="Times New Roman" w:eastAsia="宋体" w:cs="Times New Roman"/>
              <w:snapToGrid w:val="0"/>
              <w:sz w:val="28"/>
              <w:szCs w:val="28"/>
              <w:highlight w:val="none"/>
            </w:rPr>
          </w:pPr>
          <w:r>
            <w:rPr>
              <w:rFonts w:hint="eastAsia" w:ascii="宋体" w:hAnsi="宋体" w:eastAsia="宋体" w:cs="宋体"/>
              <w:snapToGrid w:val="0"/>
              <w:sz w:val="28"/>
              <w:szCs w:val="28"/>
              <w:highlight w:val="none"/>
              <w:lang w:val="en-US" w:eastAsia="zh-CN"/>
            </w:rPr>
            <w:fldChar w:fldCharType="begin"/>
          </w:r>
          <w:r>
            <w:rPr>
              <w:rFonts w:hint="eastAsia" w:ascii="宋体" w:hAnsi="宋体" w:eastAsia="宋体" w:cs="宋体"/>
              <w:snapToGrid w:val="0"/>
              <w:sz w:val="28"/>
              <w:szCs w:val="28"/>
              <w:highlight w:val="none"/>
              <w:lang w:val="en-US" w:eastAsia="zh-CN"/>
            </w:rPr>
            <w:instrText xml:space="preserve"> HYPERLINK \l _Toc2338 </w:instrText>
          </w:r>
          <w:r>
            <w:rPr>
              <w:rFonts w:hint="eastAsia" w:ascii="宋体" w:hAnsi="宋体" w:eastAsia="宋体" w:cs="宋体"/>
              <w:snapToGrid w:val="0"/>
              <w:sz w:val="28"/>
              <w:szCs w:val="28"/>
              <w:highlight w:val="none"/>
              <w:lang w:val="en-US" w:eastAsia="zh-CN"/>
            </w:rPr>
            <w:fldChar w:fldCharType="separate"/>
          </w:r>
          <w:r>
            <w:rPr>
              <w:rFonts w:hint="eastAsia" w:ascii="宋体" w:hAnsi="宋体" w:eastAsia="宋体" w:cs="宋体"/>
              <w:snapToGrid w:val="0"/>
              <w:sz w:val="28"/>
              <w:szCs w:val="28"/>
              <w:highlight w:val="none"/>
            </w:rPr>
            <w:t>附件</w:t>
          </w:r>
          <w:r>
            <w:rPr>
              <w:rFonts w:hint="default" w:ascii="Times New Roman" w:hAnsi="Times New Roman" w:eastAsia="宋体" w:cs="Times New Roman"/>
              <w:snapToGrid w:val="0"/>
              <w:sz w:val="28"/>
              <w:szCs w:val="28"/>
              <w:highlight w:val="none"/>
            </w:rPr>
            <w:t>1</w:t>
          </w:r>
          <w:r>
            <w:rPr>
              <w:rFonts w:hint="eastAsia" w:ascii="宋体" w:hAnsi="宋体" w:eastAsia="宋体" w:cs="宋体"/>
              <w:snapToGrid w:val="0"/>
              <w:sz w:val="28"/>
              <w:szCs w:val="28"/>
              <w:highlight w:val="none"/>
            </w:rPr>
            <w:t>营业执照</w:t>
          </w:r>
          <w:r>
            <w:rPr>
              <w:rFonts w:hint="eastAsia" w:ascii="宋体" w:hAnsi="宋体" w:eastAsia="宋体" w:cs="宋体"/>
              <w:snapToGrid w:val="0"/>
              <w:sz w:val="28"/>
              <w:szCs w:val="28"/>
              <w:highlight w:val="none"/>
            </w:rPr>
            <w:tab/>
          </w:r>
          <w:r>
            <w:rPr>
              <w:rFonts w:hint="default" w:ascii="Times New Roman" w:hAnsi="Times New Roman" w:eastAsia="宋体" w:cs="Times New Roman"/>
              <w:snapToGrid w:val="0"/>
              <w:sz w:val="28"/>
              <w:szCs w:val="28"/>
              <w:highlight w:val="none"/>
            </w:rPr>
            <w:fldChar w:fldCharType="begin"/>
          </w:r>
          <w:r>
            <w:rPr>
              <w:rFonts w:hint="default" w:ascii="Times New Roman" w:hAnsi="Times New Roman" w:eastAsia="宋体" w:cs="Times New Roman"/>
              <w:snapToGrid w:val="0"/>
              <w:sz w:val="28"/>
              <w:szCs w:val="28"/>
              <w:highlight w:val="none"/>
            </w:rPr>
            <w:instrText xml:space="preserve"> PAGEREF _Toc2338 \h </w:instrText>
          </w:r>
          <w:r>
            <w:rPr>
              <w:rFonts w:hint="default" w:ascii="Times New Roman" w:hAnsi="Times New Roman" w:eastAsia="宋体" w:cs="Times New Roman"/>
              <w:snapToGrid w:val="0"/>
              <w:sz w:val="28"/>
              <w:szCs w:val="28"/>
              <w:highlight w:val="none"/>
            </w:rPr>
            <w:fldChar w:fldCharType="separate"/>
          </w:r>
          <w:r>
            <w:rPr>
              <w:rFonts w:hint="default" w:ascii="Times New Roman" w:hAnsi="Times New Roman" w:eastAsia="宋体" w:cs="Times New Roman"/>
              <w:snapToGrid w:val="0"/>
              <w:sz w:val="28"/>
              <w:szCs w:val="28"/>
              <w:highlight w:val="none"/>
            </w:rPr>
            <w:t>50</w:t>
          </w:r>
          <w:r>
            <w:rPr>
              <w:rFonts w:hint="default" w:ascii="Times New Roman" w:hAnsi="Times New Roman" w:eastAsia="宋体" w:cs="Times New Roman"/>
              <w:snapToGrid w:val="0"/>
              <w:sz w:val="28"/>
              <w:szCs w:val="28"/>
              <w:highlight w:val="none"/>
            </w:rPr>
            <w:fldChar w:fldCharType="end"/>
          </w:r>
          <w:r>
            <w:rPr>
              <w:rFonts w:hint="eastAsia" w:ascii="宋体" w:hAnsi="宋体" w:eastAsia="宋体" w:cs="宋体"/>
              <w:snapToGrid w:val="0"/>
              <w:sz w:val="28"/>
              <w:szCs w:val="28"/>
              <w:highlight w:val="none"/>
              <w:lang w:val="en-US" w:eastAsia="zh-CN"/>
            </w:rPr>
            <w:fldChar w:fldCharType="end"/>
          </w:r>
        </w:p>
        <w:p w14:paraId="5594CF35">
          <w:pPr>
            <w:pStyle w:val="15"/>
            <w:tabs>
              <w:tab w:val="right" w:leader="dot" w:pos="8844"/>
            </w:tabs>
            <w:rPr>
              <w:rFonts w:hint="default" w:ascii="Times New Roman" w:hAnsi="Times New Roman" w:eastAsia="宋体" w:cs="Times New Roman"/>
              <w:snapToGrid w:val="0"/>
              <w:sz w:val="28"/>
              <w:szCs w:val="28"/>
              <w:highlight w:val="none"/>
            </w:rPr>
          </w:pPr>
          <w:r>
            <w:rPr>
              <w:rFonts w:hint="eastAsia" w:ascii="宋体" w:hAnsi="宋体" w:eastAsia="宋体" w:cs="宋体"/>
              <w:snapToGrid w:val="0"/>
              <w:sz w:val="28"/>
              <w:szCs w:val="28"/>
              <w:highlight w:val="none"/>
              <w:lang w:val="en-US" w:eastAsia="zh-CN"/>
            </w:rPr>
            <w:fldChar w:fldCharType="begin"/>
          </w:r>
          <w:r>
            <w:rPr>
              <w:rFonts w:hint="eastAsia" w:ascii="宋体" w:hAnsi="宋体" w:eastAsia="宋体" w:cs="宋体"/>
              <w:snapToGrid w:val="0"/>
              <w:sz w:val="28"/>
              <w:szCs w:val="28"/>
              <w:highlight w:val="none"/>
              <w:lang w:val="en-US" w:eastAsia="zh-CN"/>
            </w:rPr>
            <w:instrText xml:space="preserve"> HYPERLINK \l _Toc23695 </w:instrText>
          </w:r>
          <w:r>
            <w:rPr>
              <w:rFonts w:hint="eastAsia" w:ascii="宋体" w:hAnsi="宋体" w:eastAsia="宋体" w:cs="宋体"/>
              <w:snapToGrid w:val="0"/>
              <w:sz w:val="28"/>
              <w:szCs w:val="28"/>
              <w:highlight w:val="none"/>
              <w:lang w:val="en-US" w:eastAsia="zh-CN"/>
            </w:rPr>
            <w:fldChar w:fldCharType="separate"/>
          </w:r>
          <w:r>
            <w:rPr>
              <w:rFonts w:hint="eastAsia" w:ascii="宋体" w:hAnsi="宋体" w:eastAsia="宋体" w:cs="宋体"/>
              <w:snapToGrid w:val="0"/>
              <w:sz w:val="28"/>
              <w:szCs w:val="28"/>
              <w:highlight w:val="none"/>
              <w:lang w:val="en-US" w:eastAsia="zh-CN"/>
            </w:rPr>
            <w:t>附件</w:t>
          </w:r>
          <w:r>
            <w:rPr>
              <w:rFonts w:hint="default" w:ascii="Times New Roman" w:hAnsi="Times New Roman" w:eastAsia="宋体" w:cs="Times New Roman"/>
              <w:snapToGrid w:val="0"/>
              <w:sz w:val="28"/>
              <w:szCs w:val="28"/>
              <w:highlight w:val="none"/>
              <w:lang w:val="en-US" w:eastAsia="zh-CN"/>
            </w:rPr>
            <w:t>2</w:t>
          </w:r>
          <w:r>
            <w:rPr>
              <w:rFonts w:hint="eastAsia" w:ascii="宋体" w:hAnsi="宋体" w:eastAsia="宋体" w:cs="宋体"/>
              <w:snapToGrid w:val="0"/>
              <w:sz w:val="28"/>
              <w:szCs w:val="28"/>
              <w:highlight w:val="none"/>
              <w:lang w:val="en-US" w:eastAsia="zh-CN"/>
            </w:rPr>
            <w:t>土地证</w:t>
          </w:r>
          <w:r>
            <w:rPr>
              <w:rFonts w:hint="eastAsia" w:ascii="宋体" w:hAnsi="宋体" w:eastAsia="宋体" w:cs="宋体"/>
              <w:snapToGrid w:val="0"/>
              <w:sz w:val="28"/>
              <w:szCs w:val="28"/>
              <w:highlight w:val="none"/>
            </w:rPr>
            <w:tab/>
          </w:r>
          <w:r>
            <w:rPr>
              <w:rFonts w:hint="default" w:ascii="Times New Roman" w:hAnsi="Times New Roman" w:eastAsia="宋体" w:cs="Times New Roman"/>
              <w:snapToGrid w:val="0"/>
              <w:sz w:val="28"/>
              <w:szCs w:val="28"/>
              <w:highlight w:val="none"/>
            </w:rPr>
            <w:fldChar w:fldCharType="begin"/>
          </w:r>
          <w:r>
            <w:rPr>
              <w:rFonts w:hint="default" w:ascii="Times New Roman" w:hAnsi="Times New Roman" w:eastAsia="宋体" w:cs="Times New Roman"/>
              <w:snapToGrid w:val="0"/>
              <w:sz w:val="28"/>
              <w:szCs w:val="28"/>
              <w:highlight w:val="none"/>
            </w:rPr>
            <w:instrText xml:space="preserve"> PAGEREF _Toc23695 \h </w:instrText>
          </w:r>
          <w:r>
            <w:rPr>
              <w:rFonts w:hint="default" w:ascii="Times New Roman" w:hAnsi="Times New Roman" w:eastAsia="宋体" w:cs="Times New Roman"/>
              <w:snapToGrid w:val="0"/>
              <w:sz w:val="28"/>
              <w:szCs w:val="28"/>
              <w:highlight w:val="none"/>
            </w:rPr>
            <w:fldChar w:fldCharType="separate"/>
          </w:r>
          <w:r>
            <w:rPr>
              <w:rFonts w:hint="default" w:ascii="Times New Roman" w:hAnsi="Times New Roman" w:eastAsia="宋体" w:cs="Times New Roman"/>
              <w:snapToGrid w:val="0"/>
              <w:sz w:val="28"/>
              <w:szCs w:val="28"/>
              <w:highlight w:val="none"/>
            </w:rPr>
            <w:t>51</w:t>
          </w:r>
          <w:r>
            <w:rPr>
              <w:rFonts w:hint="default" w:ascii="Times New Roman" w:hAnsi="Times New Roman" w:eastAsia="宋体" w:cs="Times New Roman"/>
              <w:snapToGrid w:val="0"/>
              <w:sz w:val="28"/>
              <w:szCs w:val="28"/>
              <w:highlight w:val="none"/>
            </w:rPr>
            <w:fldChar w:fldCharType="end"/>
          </w:r>
          <w:r>
            <w:rPr>
              <w:rFonts w:hint="eastAsia" w:ascii="宋体" w:hAnsi="宋体" w:eastAsia="宋体" w:cs="宋体"/>
              <w:snapToGrid w:val="0"/>
              <w:sz w:val="28"/>
              <w:szCs w:val="28"/>
              <w:highlight w:val="none"/>
              <w:lang w:val="en-US" w:eastAsia="zh-CN"/>
            </w:rPr>
            <w:fldChar w:fldCharType="end"/>
          </w:r>
        </w:p>
        <w:p w14:paraId="17467C22">
          <w:pPr>
            <w:pStyle w:val="15"/>
            <w:tabs>
              <w:tab w:val="right" w:leader="dot" w:pos="8844"/>
            </w:tabs>
            <w:rPr>
              <w:rFonts w:hint="eastAsia" w:ascii="宋体" w:hAnsi="宋体" w:eastAsia="宋体" w:cs="宋体"/>
              <w:snapToGrid w:val="0"/>
              <w:sz w:val="28"/>
              <w:szCs w:val="28"/>
              <w:highlight w:val="none"/>
            </w:rPr>
          </w:pPr>
          <w:r>
            <w:rPr>
              <w:rFonts w:hint="eastAsia" w:ascii="宋体" w:hAnsi="宋体" w:eastAsia="宋体" w:cs="宋体"/>
              <w:snapToGrid w:val="0"/>
              <w:sz w:val="28"/>
              <w:szCs w:val="28"/>
              <w:highlight w:val="none"/>
              <w:lang w:val="en-US" w:eastAsia="zh-CN"/>
            </w:rPr>
            <w:fldChar w:fldCharType="begin"/>
          </w:r>
          <w:r>
            <w:rPr>
              <w:rFonts w:hint="eastAsia" w:ascii="宋体" w:hAnsi="宋体" w:eastAsia="宋体" w:cs="宋体"/>
              <w:snapToGrid w:val="0"/>
              <w:sz w:val="28"/>
              <w:szCs w:val="28"/>
              <w:highlight w:val="none"/>
              <w:lang w:val="en-US" w:eastAsia="zh-CN"/>
            </w:rPr>
            <w:instrText xml:space="preserve"> HYPERLINK \l _Toc18255 </w:instrText>
          </w:r>
          <w:r>
            <w:rPr>
              <w:rFonts w:hint="eastAsia" w:ascii="宋体" w:hAnsi="宋体" w:eastAsia="宋体" w:cs="宋体"/>
              <w:snapToGrid w:val="0"/>
              <w:sz w:val="28"/>
              <w:szCs w:val="28"/>
              <w:highlight w:val="none"/>
              <w:lang w:val="en-US" w:eastAsia="zh-CN"/>
            </w:rPr>
            <w:fldChar w:fldCharType="separate"/>
          </w:r>
          <w:r>
            <w:rPr>
              <w:rFonts w:hint="eastAsia" w:ascii="宋体" w:hAnsi="宋体" w:eastAsia="宋体" w:cs="宋体"/>
              <w:snapToGrid w:val="0"/>
              <w:sz w:val="28"/>
              <w:szCs w:val="28"/>
              <w:highlight w:val="none"/>
              <w:lang w:val="en-US" w:eastAsia="zh-CN"/>
            </w:rPr>
            <w:t>附件</w:t>
          </w:r>
          <w:r>
            <w:rPr>
              <w:rFonts w:hint="default" w:ascii="Times New Roman" w:hAnsi="Times New Roman" w:eastAsia="宋体" w:cs="Times New Roman"/>
              <w:snapToGrid w:val="0"/>
              <w:sz w:val="28"/>
              <w:szCs w:val="28"/>
              <w:highlight w:val="none"/>
              <w:lang w:val="en-US" w:eastAsia="zh-CN"/>
            </w:rPr>
            <w:t>3</w:t>
          </w:r>
          <w:r>
            <w:rPr>
              <w:rFonts w:hint="eastAsia" w:ascii="宋体" w:hAnsi="宋体" w:eastAsia="宋体" w:cs="宋体"/>
              <w:snapToGrid w:val="0"/>
              <w:sz w:val="28"/>
              <w:szCs w:val="28"/>
              <w:highlight w:val="none"/>
              <w:lang w:val="en-US" w:eastAsia="zh-CN"/>
            </w:rPr>
            <w:t>租赁协议</w:t>
          </w:r>
          <w:r>
            <w:rPr>
              <w:rFonts w:hint="eastAsia" w:ascii="宋体" w:hAnsi="宋体" w:eastAsia="宋体" w:cs="宋体"/>
              <w:snapToGrid w:val="0"/>
              <w:sz w:val="28"/>
              <w:szCs w:val="28"/>
              <w:highlight w:val="none"/>
            </w:rPr>
            <w:tab/>
          </w:r>
          <w:r>
            <w:rPr>
              <w:rFonts w:hint="default" w:ascii="Times New Roman" w:hAnsi="Times New Roman" w:eastAsia="宋体" w:cs="Times New Roman"/>
              <w:snapToGrid w:val="0"/>
              <w:sz w:val="28"/>
              <w:szCs w:val="28"/>
              <w:highlight w:val="none"/>
            </w:rPr>
            <w:fldChar w:fldCharType="begin"/>
          </w:r>
          <w:r>
            <w:rPr>
              <w:rFonts w:hint="default" w:ascii="Times New Roman" w:hAnsi="Times New Roman" w:eastAsia="宋体" w:cs="Times New Roman"/>
              <w:snapToGrid w:val="0"/>
              <w:sz w:val="28"/>
              <w:szCs w:val="28"/>
              <w:highlight w:val="none"/>
            </w:rPr>
            <w:instrText xml:space="preserve"> PAGEREF _Toc18255 \h </w:instrText>
          </w:r>
          <w:r>
            <w:rPr>
              <w:rFonts w:hint="default" w:ascii="Times New Roman" w:hAnsi="Times New Roman" w:eastAsia="宋体" w:cs="Times New Roman"/>
              <w:snapToGrid w:val="0"/>
              <w:sz w:val="28"/>
              <w:szCs w:val="28"/>
              <w:highlight w:val="none"/>
            </w:rPr>
            <w:fldChar w:fldCharType="separate"/>
          </w:r>
          <w:r>
            <w:rPr>
              <w:rFonts w:hint="default" w:ascii="Times New Roman" w:hAnsi="Times New Roman" w:eastAsia="宋体" w:cs="Times New Roman"/>
              <w:snapToGrid w:val="0"/>
              <w:sz w:val="28"/>
              <w:szCs w:val="28"/>
              <w:highlight w:val="none"/>
            </w:rPr>
            <w:t>54</w:t>
          </w:r>
          <w:r>
            <w:rPr>
              <w:rFonts w:hint="default" w:ascii="Times New Roman" w:hAnsi="Times New Roman" w:eastAsia="宋体" w:cs="Times New Roman"/>
              <w:snapToGrid w:val="0"/>
              <w:sz w:val="28"/>
              <w:szCs w:val="28"/>
              <w:highlight w:val="none"/>
            </w:rPr>
            <w:fldChar w:fldCharType="end"/>
          </w:r>
          <w:r>
            <w:rPr>
              <w:rFonts w:hint="eastAsia" w:ascii="宋体" w:hAnsi="宋体" w:eastAsia="宋体" w:cs="宋体"/>
              <w:snapToGrid w:val="0"/>
              <w:sz w:val="28"/>
              <w:szCs w:val="28"/>
              <w:highlight w:val="none"/>
              <w:lang w:val="en-US" w:eastAsia="zh-CN"/>
            </w:rPr>
            <w:fldChar w:fldCharType="end"/>
          </w:r>
        </w:p>
        <w:p w14:paraId="02349E61">
          <w:pPr>
            <w:pStyle w:val="15"/>
            <w:tabs>
              <w:tab w:val="right" w:leader="dot" w:pos="8844"/>
            </w:tabs>
            <w:rPr>
              <w:rFonts w:hint="default" w:ascii="Times New Roman" w:hAnsi="Times New Roman" w:eastAsia="宋体" w:cs="Times New Roman"/>
              <w:snapToGrid w:val="0"/>
              <w:sz w:val="28"/>
              <w:szCs w:val="28"/>
              <w:highlight w:val="none"/>
            </w:rPr>
          </w:pPr>
          <w:r>
            <w:rPr>
              <w:rFonts w:hint="eastAsia" w:ascii="宋体" w:hAnsi="宋体" w:eastAsia="宋体" w:cs="宋体"/>
              <w:snapToGrid w:val="0"/>
              <w:sz w:val="28"/>
              <w:szCs w:val="28"/>
              <w:highlight w:val="none"/>
              <w:lang w:val="en-US" w:eastAsia="zh-CN"/>
            </w:rPr>
            <w:fldChar w:fldCharType="begin"/>
          </w:r>
          <w:r>
            <w:rPr>
              <w:rFonts w:hint="eastAsia" w:ascii="宋体" w:hAnsi="宋体" w:eastAsia="宋体" w:cs="宋体"/>
              <w:snapToGrid w:val="0"/>
              <w:sz w:val="28"/>
              <w:szCs w:val="28"/>
              <w:highlight w:val="none"/>
              <w:lang w:val="en-US" w:eastAsia="zh-CN"/>
            </w:rPr>
            <w:instrText xml:space="preserve"> HYPERLINK \l _Toc27367 </w:instrText>
          </w:r>
          <w:r>
            <w:rPr>
              <w:rFonts w:hint="eastAsia" w:ascii="宋体" w:hAnsi="宋体" w:eastAsia="宋体" w:cs="宋体"/>
              <w:snapToGrid w:val="0"/>
              <w:sz w:val="28"/>
              <w:szCs w:val="28"/>
              <w:highlight w:val="none"/>
              <w:lang w:val="en-US" w:eastAsia="zh-CN"/>
            </w:rPr>
            <w:fldChar w:fldCharType="separate"/>
          </w:r>
          <w:r>
            <w:rPr>
              <w:rFonts w:hint="eastAsia" w:ascii="宋体" w:hAnsi="宋体" w:eastAsia="宋体" w:cs="宋体"/>
              <w:snapToGrid w:val="0"/>
              <w:sz w:val="28"/>
              <w:szCs w:val="28"/>
              <w:highlight w:val="none"/>
              <w:lang w:val="en-US" w:eastAsia="zh-CN"/>
            </w:rPr>
            <w:t>附件</w:t>
          </w:r>
          <w:r>
            <w:rPr>
              <w:rFonts w:hint="default" w:ascii="Times New Roman" w:hAnsi="Times New Roman" w:eastAsia="宋体" w:cs="Times New Roman"/>
              <w:snapToGrid w:val="0"/>
              <w:sz w:val="28"/>
              <w:szCs w:val="28"/>
              <w:highlight w:val="none"/>
              <w:lang w:val="en-US" w:eastAsia="zh-CN"/>
            </w:rPr>
            <w:t>4</w:t>
          </w:r>
          <w:r>
            <w:rPr>
              <w:rFonts w:hint="eastAsia" w:ascii="宋体" w:hAnsi="宋体" w:eastAsia="宋体" w:cs="宋体"/>
              <w:snapToGrid w:val="0"/>
              <w:sz w:val="28"/>
              <w:szCs w:val="28"/>
              <w:highlight w:val="none"/>
              <w:lang w:val="en-US" w:eastAsia="zh-CN"/>
            </w:rPr>
            <w:t>检测报告</w:t>
          </w:r>
          <w:r>
            <w:rPr>
              <w:rFonts w:hint="eastAsia" w:ascii="宋体" w:hAnsi="宋体" w:eastAsia="宋体" w:cs="宋体"/>
              <w:snapToGrid w:val="0"/>
              <w:sz w:val="28"/>
              <w:szCs w:val="28"/>
              <w:highlight w:val="none"/>
            </w:rPr>
            <w:tab/>
          </w:r>
          <w:r>
            <w:rPr>
              <w:rFonts w:hint="default" w:ascii="Times New Roman" w:hAnsi="Times New Roman" w:eastAsia="宋体" w:cs="Times New Roman"/>
              <w:snapToGrid w:val="0"/>
              <w:sz w:val="28"/>
              <w:szCs w:val="28"/>
              <w:highlight w:val="none"/>
            </w:rPr>
            <w:fldChar w:fldCharType="begin"/>
          </w:r>
          <w:r>
            <w:rPr>
              <w:rFonts w:hint="default" w:ascii="Times New Roman" w:hAnsi="Times New Roman" w:eastAsia="宋体" w:cs="Times New Roman"/>
              <w:snapToGrid w:val="0"/>
              <w:sz w:val="28"/>
              <w:szCs w:val="28"/>
              <w:highlight w:val="none"/>
            </w:rPr>
            <w:instrText xml:space="preserve"> PAGEREF _Toc27367 \h </w:instrText>
          </w:r>
          <w:r>
            <w:rPr>
              <w:rFonts w:hint="default" w:ascii="Times New Roman" w:hAnsi="Times New Roman" w:eastAsia="宋体" w:cs="Times New Roman"/>
              <w:snapToGrid w:val="0"/>
              <w:sz w:val="28"/>
              <w:szCs w:val="28"/>
              <w:highlight w:val="none"/>
            </w:rPr>
            <w:fldChar w:fldCharType="separate"/>
          </w:r>
          <w:r>
            <w:rPr>
              <w:rFonts w:hint="default" w:ascii="Times New Roman" w:hAnsi="Times New Roman" w:eastAsia="宋体" w:cs="Times New Roman"/>
              <w:snapToGrid w:val="0"/>
              <w:sz w:val="28"/>
              <w:szCs w:val="28"/>
              <w:highlight w:val="none"/>
            </w:rPr>
            <w:t>59</w:t>
          </w:r>
          <w:r>
            <w:rPr>
              <w:rFonts w:hint="default" w:ascii="Times New Roman" w:hAnsi="Times New Roman" w:eastAsia="宋体" w:cs="Times New Roman"/>
              <w:snapToGrid w:val="0"/>
              <w:sz w:val="28"/>
              <w:szCs w:val="28"/>
              <w:highlight w:val="none"/>
            </w:rPr>
            <w:fldChar w:fldCharType="end"/>
          </w:r>
          <w:r>
            <w:rPr>
              <w:rFonts w:hint="eastAsia" w:ascii="宋体" w:hAnsi="宋体" w:eastAsia="宋体" w:cs="宋体"/>
              <w:snapToGrid w:val="0"/>
              <w:sz w:val="28"/>
              <w:szCs w:val="28"/>
              <w:highlight w:val="none"/>
              <w:lang w:val="en-US" w:eastAsia="zh-CN"/>
            </w:rPr>
            <w:fldChar w:fldCharType="end"/>
          </w:r>
        </w:p>
        <w:p w14:paraId="129AA035">
          <w:pPr>
            <w:pStyle w:val="15"/>
            <w:tabs>
              <w:tab w:val="right" w:leader="dot" w:pos="8844"/>
            </w:tabs>
            <w:rPr>
              <w:rFonts w:hint="default" w:ascii="Times New Roman" w:hAnsi="Times New Roman" w:eastAsia="宋体" w:cs="Times New Roman"/>
              <w:sz w:val="28"/>
              <w:szCs w:val="28"/>
            </w:rPr>
          </w:pPr>
          <w:r>
            <w:rPr>
              <w:rFonts w:hint="eastAsia" w:ascii="宋体" w:hAnsi="宋体" w:eastAsia="宋体" w:cs="宋体"/>
              <w:snapToGrid w:val="0"/>
              <w:sz w:val="28"/>
              <w:szCs w:val="28"/>
              <w:highlight w:val="none"/>
              <w:lang w:val="en-US" w:eastAsia="zh-CN"/>
            </w:rPr>
            <w:fldChar w:fldCharType="begin"/>
          </w:r>
          <w:r>
            <w:rPr>
              <w:rFonts w:hint="eastAsia" w:ascii="宋体" w:hAnsi="宋体" w:eastAsia="宋体" w:cs="宋体"/>
              <w:snapToGrid w:val="0"/>
              <w:sz w:val="28"/>
              <w:szCs w:val="28"/>
              <w:highlight w:val="none"/>
              <w:lang w:val="en-US" w:eastAsia="zh-CN"/>
            </w:rPr>
            <w:instrText xml:space="preserve"> HYPERLINK \l _Toc23496 </w:instrText>
          </w:r>
          <w:r>
            <w:rPr>
              <w:rFonts w:hint="eastAsia" w:ascii="宋体" w:hAnsi="宋体" w:eastAsia="宋体" w:cs="宋体"/>
              <w:snapToGrid w:val="0"/>
              <w:sz w:val="28"/>
              <w:szCs w:val="28"/>
              <w:highlight w:val="none"/>
              <w:lang w:val="en-US" w:eastAsia="zh-CN"/>
            </w:rPr>
            <w:fldChar w:fldCharType="separate"/>
          </w:r>
          <w:r>
            <w:rPr>
              <w:rFonts w:hint="eastAsia" w:ascii="宋体" w:hAnsi="宋体" w:eastAsia="宋体" w:cs="宋体"/>
              <w:snapToGrid w:val="0"/>
              <w:sz w:val="28"/>
              <w:szCs w:val="28"/>
              <w:highlight w:val="none"/>
              <w:lang w:val="en-US" w:eastAsia="zh-CN"/>
            </w:rPr>
            <w:t>附件</w:t>
          </w:r>
          <w:r>
            <w:rPr>
              <w:rFonts w:hint="default" w:ascii="Times New Roman" w:hAnsi="Times New Roman" w:eastAsia="宋体" w:cs="Times New Roman"/>
              <w:snapToGrid w:val="0"/>
              <w:sz w:val="28"/>
              <w:szCs w:val="28"/>
              <w:highlight w:val="none"/>
              <w:lang w:val="en-US" w:eastAsia="zh-CN"/>
            </w:rPr>
            <w:t>5</w:t>
          </w:r>
          <w:r>
            <w:rPr>
              <w:rFonts w:hint="eastAsia" w:ascii="宋体" w:hAnsi="宋体" w:eastAsia="宋体" w:cs="宋体"/>
              <w:snapToGrid w:val="0"/>
              <w:sz w:val="28"/>
              <w:szCs w:val="28"/>
              <w:highlight w:val="none"/>
              <w:lang w:val="en-US" w:eastAsia="zh-CN"/>
            </w:rPr>
            <w:t>鸡西市启鹏煤炭销售有限公司建设项目生态环境分区管控分析报告</w:t>
          </w:r>
          <w:r>
            <w:rPr>
              <w:rFonts w:hint="eastAsia" w:ascii="宋体" w:hAnsi="宋体" w:eastAsia="宋体" w:cs="宋体"/>
              <w:snapToGrid w:val="0"/>
              <w:sz w:val="28"/>
              <w:szCs w:val="28"/>
              <w:highlight w:val="none"/>
            </w:rPr>
            <w:tab/>
          </w:r>
          <w:r>
            <w:rPr>
              <w:rFonts w:hint="default" w:ascii="Times New Roman" w:hAnsi="Times New Roman" w:eastAsia="宋体" w:cs="Times New Roman"/>
              <w:snapToGrid w:val="0"/>
              <w:sz w:val="28"/>
              <w:szCs w:val="28"/>
              <w:highlight w:val="none"/>
            </w:rPr>
            <w:fldChar w:fldCharType="begin"/>
          </w:r>
          <w:r>
            <w:rPr>
              <w:rFonts w:hint="default" w:ascii="Times New Roman" w:hAnsi="Times New Roman" w:eastAsia="宋体" w:cs="Times New Roman"/>
              <w:snapToGrid w:val="0"/>
              <w:sz w:val="28"/>
              <w:szCs w:val="28"/>
              <w:highlight w:val="none"/>
            </w:rPr>
            <w:instrText xml:space="preserve"> PAGEREF _Toc23496 \h </w:instrText>
          </w:r>
          <w:r>
            <w:rPr>
              <w:rFonts w:hint="default" w:ascii="Times New Roman" w:hAnsi="Times New Roman" w:eastAsia="宋体" w:cs="Times New Roman"/>
              <w:snapToGrid w:val="0"/>
              <w:sz w:val="28"/>
              <w:szCs w:val="28"/>
              <w:highlight w:val="none"/>
            </w:rPr>
            <w:fldChar w:fldCharType="separate"/>
          </w:r>
          <w:r>
            <w:rPr>
              <w:rFonts w:hint="default" w:ascii="Times New Roman" w:hAnsi="Times New Roman" w:eastAsia="宋体" w:cs="Times New Roman"/>
              <w:snapToGrid w:val="0"/>
              <w:sz w:val="28"/>
              <w:szCs w:val="28"/>
              <w:highlight w:val="none"/>
            </w:rPr>
            <w:t>64</w:t>
          </w:r>
          <w:r>
            <w:rPr>
              <w:rFonts w:hint="default" w:ascii="Times New Roman" w:hAnsi="Times New Roman" w:eastAsia="宋体" w:cs="Times New Roman"/>
              <w:snapToGrid w:val="0"/>
              <w:sz w:val="28"/>
              <w:szCs w:val="28"/>
              <w:highlight w:val="none"/>
            </w:rPr>
            <w:fldChar w:fldCharType="end"/>
          </w:r>
          <w:r>
            <w:rPr>
              <w:rFonts w:hint="eastAsia" w:ascii="宋体" w:hAnsi="宋体" w:eastAsia="宋体" w:cs="宋体"/>
              <w:snapToGrid w:val="0"/>
              <w:sz w:val="28"/>
              <w:szCs w:val="28"/>
              <w:highlight w:val="none"/>
              <w:lang w:val="en-US" w:eastAsia="zh-CN"/>
            </w:rPr>
            <w:fldChar w:fldCharType="end"/>
          </w:r>
        </w:p>
        <w:p w14:paraId="4D96BD5E">
          <w:pPr>
            <w:pStyle w:val="18"/>
            <w:jc w:val="both"/>
            <w:outlineLvl w:val="9"/>
            <w:rPr>
              <w:rFonts w:hint="default" w:ascii="Times New Roman" w:hAnsi="Times New Roman" w:eastAsia="黑体" w:cs="Times New Roman"/>
              <w:snapToGrid w:val="0"/>
              <w:color w:val="auto"/>
              <w:kern w:val="0"/>
              <w:sz w:val="24"/>
              <w:szCs w:val="30"/>
              <w:highlight w:val="none"/>
              <w:lang w:val="en-US" w:eastAsia="zh-CN" w:bidi="ar-SA"/>
            </w:rPr>
          </w:pPr>
          <w:r>
            <w:rPr>
              <w:rFonts w:hint="eastAsia" w:ascii="宋体" w:hAnsi="宋体" w:eastAsia="宋体" w:cs="宋体"/>
              <w:snapToGrid w:val="0"/>
              <w:color w:val="auto"/>
              <w:kern w:val="0"/>
              <w:sz w:val="28"/>
              <w:szCs w:val="28"/>
              <w:highlight w:val="none"/>
              <w:lang w:val="en-US" w:eastAsia="zh-CN" w:bidi="ar-SA"/>
            </w:rPr>
            <w:fldChar w:fldCharType="end"/>
          </w:r>
        </w:p>
      </w:sdtContent>
    </w:sdt>
    <w:p w14:paraId="7CF803A5">
      <w:pPr>
        <w:pStyle w:val="18"/>
        <w:jc w:val="both"/>
        <w:outlineLvl w:val="9"/>
        <w:rPr>
          <w:rFonts w:hint="default" w:ascii="Times New Roman" w:hAnsi="Times New Roman" w:eastAsia="黑体" w:cs="Times New Roman"/>
          <w:snapToGrid w:val="0"/>
          <w:color w:val="auto"/>
          <w:kern w:val="0"/>
          <w:sz w:val="24"/>
          <w:szCs w:val="30"/>
          <w:highlight w:val="none"/>
          <w:lang w:val="en-US" w:eastAsia="zh-CN" w:bidi="ar-SA"/>
        </w:rPr>
      </w:pPr>
    </w:p>
    <w:p w14:paraId="373AD3DB">
      <w:pPr>
        <w:pStyle w:val="18"/>
        <w:jc w:val="center"/>
        <w:outlineLvl w:val="9"/>
        <w:rPr>
          <w:rFonts w:hint="default" w:ascii="Times New Roman" w:hAnsi="Times New Roman" w:eastAsia="黑体" w:cs="Times New Roman"/>
          <w:snapToGrid w:val="0"/>
          <w:color w:val="auto"/>
          <w:kern w:val="0"/>
          <w:sz w:val="24"/>
          <w:szCs w:val="30"/>
          <w:highlight w:val="none"/>
          <w:lang w:val="en-US" w:eastAsia="zh-CN" w:bidi="ar-SA"/>
        </w:rPr>
      </w:pPr>
    </w:p>
    <w:p w14:paraId="71EB958D">
      <w:pPr>
        <w:pStyle w:val="18"/>
        <w:jc w:val="center"/>
        <w:outlineLvl w:val="9"/>
        <w:rPr>
          <w:rFonts w:hint="default" w:ascii="Times New Roman" w:hAnsi="Times New Roman" w:eastAsia="黑体" w:cs="Times New Roman"/>
          <w:snapToGrid w:val="0"/>
          <w:color w:val="auto"/>
          <w:sz w:val="30"/>
          <w:szCs w:val="30"/>
          <w:highlight w:val="none"/>
        </w:rPr>
      </w:pPr>
      <w:bookmarkStart w:id="16" w:name="_Toc30745"/>
    </w:p>
    <w:p w14:paraId="7C1BD793">
      <w:pPr>
        <w:pStyle w:val="18"/>
        <w:jc w:val="center"/>
        <w:outlineLvl w:val="9"/>
        <w:rPr>
          <w:rFonts w:hint="default" w:ascii="Times New Roman" w:hAnsi="Times New Roman" w:eastAsia="黑体" w:cs="Times New Roman"/>
          <w:snapToGrid w:val="0"/>
          <w:color w:val="auto"/>
          <w:sz w:val="30"/>
          <w:szCs w:val="30"/>
          <w:highlight w:val="none"/>
        </w:rPr>
        <w:sectPr>
          <w:footerReference r:id="rId5" w:type="default"/>
          <w:pgSz w:w="11906" w:h="16838"/>
          <w:pgMar w:top="1701" w:right="1531" w:bottom="1701" w:left="1531" w:header="851" w:footer="851" w:gutter="0"/>
          <w:pgBorders>
            <w:top w:val="none" w:sz="0" w:space="0"/>
            <w:left w:val="none" w:sz="0" w:space="0"/>
            <w:bottom w:val="none" w:sz="0" w:space="0"/>
            <w:right w:val="none" w:sz="0" w:space="0"/>
          </w:pgBorders>
          <w:pgNumType w:start="1"/>
          <w:cols w:space="720" w:num="1"/>
          <w:docGrid w:linePitch="312" w:charSpace="0"/>
        </w:sectPr>
      </w:pPr>
    </w:p>
    <w:p w14:paraId="1A4A9EC7">
      <w:pPr>
        <w:pStyle w:val="18"/>
        <w:keepNext w:val="0"/>
        <w:keepLines w:val="0"/>
        <w:pageBreakBefore w:val="0"/>
        <w:widowControl/>
        <w:kinsoku/>
        <w:wordWrap/>
        <w:overflowPunct/>
        <w:topLinePunct w:val="0"/>
        <w:autoSpaceDE/>
        <w:autoSpaceDN/>
        <w:bidi w:val="0"/>
        <w:adjustRightInd/>
        <w:snapToGrid/>
        <w:spacing w:before="0" w:beforeAutospacing="0" w:after="313" w:afterLines="100" w:afterAutospacing="0"/>
        <w:jc w:val="center"/>
        <w:textAlignment w:val="auto"/>
        <w:outlineLvl w:val="0"/>
        <w:rPr>
          <w:rFonts w:hint="eastAsia" w:ascii="宋体" w:hAnsi="宋体" w:eastAsia="宋体" w:cs="宋体"/>
          <w:snapToGrid w:val="0"/>
          <w:color w:val="auto"/>
          <w:sz w:val="30"/>
          <w:szCs w:val="30"/>
          <w:highlight w:val="none"/>
        </w:rPr>
      </w:pPr>
      <w:bookmarkStart w:id="17" w:name="_Toc11319"/>
      <w:r>
        <w:rPr>
          <w:rFonts w:hint="eastAsia" w:ascii="宋体" w:hAnsi="宋体" w:eastAsia="宋体" w:cs="宋体"/>
          <w:snapToGrid w:val="0"/>
          <w:color w:val="auto"/>
          <w:sz w:val="30"/>
          <w:szCs w:val="30"/>
          <w:highlight w:val="none"/>
        </w:rPr>
        <w:t>一、建设项目基本情况</w:t>
      </w:r>
      <w:bookmarkEnd w:id="14"/>
      <w:bookmarkEnd w:id="15"/>
      <w:bookmarkEnd w:id="16"/>
      <w:bookmarkEnd w:id="17"/>
    </w:p>
    <w:tbl>
      <w:tblPr>
        <w:tblStyle w:val="20"/>
        <w:tblW w:w="963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423"/>
        <w:gridCol w:w="1944"/>
        <w:gridCol w:w="2110"/>
        <w:gridCol w:w="3161"/>
      </w:tblGrid>
      <w:tr w14:paraId="5E53E7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97" w:hRule="atLeast"/>
          <w:jc w:val="center"/>
        </w:trPr>
        <w:tc>
          <w:tcPr>
            <w:tcW w:w="2423" w:type="dxa"/>
            <w:tcMar>
              <w:top w:w="16" w:type="dxa"/>
              <w:left w:w="16" w:type="dxa"/>
              <w:right w:w="16" w:type="dxa"/>
            </w:tcMar>
            <w:vAlign w:val="center"/>
          </w:tcPr>
          <w:p w14:paraId="69910D02">
            <w:pPr>
              <w:adjustRightInd w:val="0"/>
              <w:snapToGrid w:val="0"/>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建设项目名称</w:t>
            </w:r>
          </w:p>
        </w:tc>
        <w:tc>
          <w:tcPr>
            <w:tcW w:w="7215" w:type="dxa"/>
            <w:gridSpan w:val="3"/>
            <w:vAlign w:val="center"/>
          </w:tcPr>
          <w:p w14:paraId="630C9FEE">
            <w:pPr>
              <w:adjustRightInd w:val="0"/>
              <w:snapToGrid w:val="0"/>
              <w:spacing w:line="340" w:lineRule="exact"/>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eastAsia="zh-CN"/>
              </w:rPr>
              <w:t>鸡西市启鹏煤炭销售有限公司建设项目</w:t>
            </w:r>
          </w:p>
        </w:tc>
      </w:tr>
      <w:tr w14:paraId="46F361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423" w:type="dxa"/>
            <w:tcMar>
              <w:top w:w="16" w:type="dxa"/>
              <w:left w:w="16" w:type="dxa"/>
              <w:right w:w="16" w:type="dxa"/>
            </w:tcMar>
            <w:vAlign w:val="center"/>
          </w:tcPr>
          <w:p w14:paraId="00F04A70">
            <w:pPr>
              <w:adjustRightInd w:val="0"/>
              <w:snapToGrid w:val="0"/>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项目代码</w:t>
            </w:r>
          </w:p>
        </w:tc>
        <w:tc>
          <w:tcPr>
            <w:tcW w:w="7215" w:type="dxa"/>
            <w:gridSpan w:val="3"/>
            <w:vAlign w:val="center"/>
          </w:tcPr>
          <w:p w14:paraId="116B2AB1">
            <w:pPr>
              <w:pStyle w:val="10"/>
              <w:jc w:val="center"/>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无</w:t>
            </w:r>
          </w:p>
        </w:tc>
      </w:tr>
      <w:tr w14:paraId="52A7CB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423" w:type="dxa"/>
            <w:tcMar>
              <w:top w:w="16" w:type="dxa"/>
              <w:left w:w="16" w:type="dxa"/>
              <w:right w:w="16" w:type="dxa"/>
            </w:tcMar>
            <w:vAlign w:val="center"/>
          </w:tcPr>
          <w:p w14:paraId="189EF194">
            <w:pPr>
              <w:adjustRightInd w:val="0"/>
              <w:snapToGrid w:val="0"/>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建设单位联系人</w:t>
            </w:r>
          </w:p>
        </w:tc>
        <w:tc>
          <w:tcPr>
            <w:tcW w:w="1944" w:type="dxa"/>
            <w:vAlign w:val="center"/>
          </w:tcPr>
          <w:p w14:paraId="0C7138EB">
            <w:pPr>
              <w:adjustRightInd w:val="0"/>
              <w:snapToGrid w:val="0"/>
              <w:spacing w:line="340" w:lineRule="exact"/>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任海东</w:t>
            </w:r>
          </w:p>
        </w:tc>
        <w:tc>
          <w:tcPr>
            <w:tcW w:w="2110" w:type="dxa"/>
            <w:vAlign w:val="center"/>
          </w:tcPr>
          <w:p w14:paraId="2C570CEA">
            <w:pPr>
              <w:adjustRightInd w:val="0"/>
              <w:snapToGrid w:val="0"/>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联系方式</w:t>
            </w:r>
          </w:p>
        </w:tc>
        <w:tc>
          <w:tcPr>
            <w:tcW w:w="3161" w:type="dxa"/>
            <w:vAlign w:val="center"/>
          </w:tcPr>
          <w:p w14:paraId="7DF25B9B">
            <w:pPr>
              <w:adjustRightInd w:val="0"/>
              <w:snapToGrid w:val="0"/>
              <w:spacing w:line="340" w:lineRule="exact"/>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15636884433</w:t>
            </w:r>
          </w:p>
        </w:tc>
      </w:tr>
      <w:tr w14:paraId="0841B7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423" w:type="dxa"/>
            <w:tcMar>
              <w:top w:w="16" w:type="dxa"/>
              <w:left w:w="16" w:type="dxa"/>
              <w:right w:w="16" w:type="dxa"/>
            </w:tcMar>
            <w:vAlign w:val="center"/>
          </w:tcPr>
          <w:p w14:paraId="7A37ECAF">
            <w:pPr>
              <w:adjustRightInd w:val="0"/>
              <w:snapToGrid w:val="0"/>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建设地点</w:t>
            </w:r>
          </w:p>
        </w:tc>
        <w:tc>
          <w:tcPr>
            <w:tcW w:w="7215" w:type="dxa"/>
            <w:gridSpan w:val="3"/>
            <w:vAlign w:val="center"/>
          </w:tcPr>
          <w:p w14:paraId="05EEB686">
            <w:pPr>
              <w:adjustRightInd w:val="0"/>
              <w:snapToGrid w:val="0"/>
              <w:spacing w:line="340" w:lineRule="exact"/>
              <w:jc w:val="center"/>
              <w:rPr>
                <w:rFonts w:hint="default" w:ascii="Times New Roman" w:hAnsi="Times New Roman" w:cs="Times New Roman"/>
                <w:color w:val="auto"/>
                <w:sz w:val="24"/>
                <w:szCs w:val="24"/>
                <w:highlight w:val="none"/>
                <w:lang w:val="en-US"/>
              </w:rPr>
            </w:pPr>
            <w:r>
              <w:rPr>
                <w:rFonts w:hint="default" w:ascii="Times New Roman" w:hAnsi="Times New Roman" w:cs="Times New Roman"/>
                <w:color w:val="auto"/>
                <w:sz w:val="24"/>
                <w:szCs w:val="24"/>
                <w:highlight w:val="none"/>
                <w:lang w:val="en-US" w:eastAsia="zh-CN"/>
              </w:rPr>
              <w:t>黑龙江省鸡西市鸡冠区西郊乡团结村</w:t>
            </w:r>
          </w:p>
        </w:tc>
      </w:tr>
      <w:tr w14:paraId="49034C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423" w:type="dxa"/>
            <w:tcMar>
              <w:top w:w="16" w:type="dxa"/>
              <w:left w:w="16" w:type="dxa"/>
              <w:right w:w="16" w:type="dxa"/>
            </w:tcMar>
            <w:vAlign w:val="center"/>
          </w:tcPr>
          <w:p w14:paraId="5C0C8B6B">
            <w:pPr>
              <w:adjustRightInd w:val="0"/>
              <w:snapToGrid w:val="0"/>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地理坐标</w:t>
            </w:r>
          </w:p>
        </w:tc>
        <w:tc>
          <w:tcPr>
            <w:tcW w:w="7215" w:type="dxa"/>
            <w:gridSpan w:val="3"/>
            <w:vAlign w:val="center"/>
          </w:tcPr>
          <w:p w14:paraId="16B22D70">
            <w:pPr>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u w:val="single"/>
              </w:rPr>
              <w:t>1</w:t>
            </w:r>
            <w:r>
              <w:rPr>
                <w:rFonts w:hint="default" w:ascii="Times New Roman" w:hAnsi="Times New Roman" w:cs="Times New Roman"/>
                <w:color w:val="auto"/>
                <w:sz w:val="24"/>
                <w:szCs w:val="24"/>
                <w:highlight w:val="none"/>
                <w:u w:val="single"/>
                <w:lang w:val="en-US" w:eastAsia="zh-CN"/>
              </w:rPr>
              <w:t>30</w:t>
            </w:r>
            <w:r>
              <w:rPr>
                <w:rFonts w:hint="default" w:ascii="Times New Roman" w:hAnsi="Times New Roman" w:cs="Times New Roman"/>
                <w:color w:val="auto"/>
                <w:sz w:val="24"/>
                <w:szCs w:val="24"/>
                <w:highlight w:val="none"/>
              </w:rPr>
              <w:t>度</w:t>
            </w:r>
            <w:r>
              <w:rPr>
                <w:rFonts w:hint="default" w:ascii="Times New Roman" w:hAnsi="Times New Roman" w:cs="Times New Roman"/>
                <w:color w:val="auto"/>
                <w:sz w:val="24"/>
                <w:szCs w:val="24"/>
                <w:highlight w:val="none"/>
                <w:u w:val="single"/>
                <w:lang w:val="en-US" w:eastAsia="zh-CN"/>
              </w:rPr>
              <w:t>51</w:t>
            </w:r>
            <w:r>
              <w:rPr>
                <w:rFonts w:hint="default" w:ascii="Times New Roman" w:hAnsi="Times New Roman" w:cs="Times New Roman"/>
                <w:color w:val="auto"/>
                <w:sz w:val="24"/>
                <w:szCs w:val="24"/>
                <w:highlight w:val="none"/>
              </w:rPr>
              <w:t>分</w:t>
            </w:r>
            <w:r>
              <w:rPr>
                <w:rFonts w:hint="default" w:ascii="Times New Roman" w:hAnsi="Times New Roman" w:cs="Times New Roman"/>
                <w:color w:val="auto"/>
                <w:sz w:val="24"/>
                <w:szCs w:val="24"/>
                <w:highlight w:val="none"/>
                <w:u w:val="single"/>
                <w:lang w:val="en-US" w:eastAsia="zh-CN"/>
              </w:rPr>
              <w:t>30.740</w:t>
            </w:r>
            <w:r>
              <w:rPr>
                <w:rFonts w:hint="default" w:ascii="Times New Roman" w:hAnsi="Times New Roman" w:cs="Times New Roman"/>
                <w:color w:val="auto"/>
                <w:sz w:val="24"/>
                <w:szCs w:val="24"/>
                <w:highlight w:val="none"/>
              </w:rPr>
              <w:t>秒，</w:t>
            </w:r>
            <w:r>
              <w:rPr>
                <w:rFonts w:hint="default" w:ascii="Times New Roman" w:hAnsi="Times New Roman" w:cs="Times New Roman"/>
                <w:color w:val="auto"/>
                <w:sz w:val="24"/>
                <w:szCs w:val="24"/>
                <w:highlight w:val="none"/>
                <w:u w:val="single"/>
              </w:rPr>
              <w:t>4</w:t>
            </w:r>
            <w:r>
              <w:rPr>
                <w:rFonts w:hint="default" w:ascii="Times New Roman" w:hAnsi="Times New Roman" w:cs="Times New Roman"/>
                <w:color w:val="auto"/>
                <w:sz w:val="24"/>
                <w:szCs w:val="24"/>
                <w:highlight w:val="none"/>
                <w:u w:val="single"/>
                <w:lang w:val="en-US" w:eastAsia="zh-CN"/>
              </w:rPr>
              <w:t>5</w:t>
            </w:r>
            <w:r>
              <w:rPr>
                <w:rFonts w:hint="default" w:ascii="Times New Roman" w:hAnsi="Times New Roman" w:cs="Times New Roman"/>
                <w:color w:val="auto"/>
                <w:sz w:val="24"/>
                <w:szCs w:val="24"/>
                <w:highlight w:val="none"/>
              </w:rPr>
              <w:t>度</w:t>
            </w:r>
            <w:r>
              <w:rPr>
                <w:rFonts w:hint="default" w:ascii="Times New Roman" w:hAnsi="Times New Roman" w:cs="Times New Roman"/>
                <w:color w:val="auto"/>
                <w:sz w:val="24"/>
                <w:szCs w:val="24"/>
                <w:highlight w:val="none"/>
                <w:u w:val="single"/>
                <w:lang w:val="en-US" w:eastAsia="zh-CN"/>
              </w:rPr>
              <w:t>19</w:t>
            </w:r>
            <w:r>
              <w:rPr>
                <w:rFonts w:hint="default" w:ascii="Times New Roman" w:hAnsi="Times New Roman" w:cs="Times New Roman"/>
                <w:color w:val="auto"/>
                <w:sz w:val="24"/>
                <w:szCs w:val="24"/>
                <w:highlight w:val="none"/>
              </w:rPr>
              <w:t>分</w:t>
            </w:r>
            <w:r>
              <w:rPr>
                <w:rFonts w:hint="default" w:ascii="Times New Roman" w:hAnsi="Times New Roman" w:cs="Times New Roman"/>
                <w:color w:val="auto"/>
                <w:sz w:val="24"/>
                <w:szCs w:val="24"/>
                <w:highlight w:val="none"/>
                <w:u w:val="single"/>
                <w:lang w:val="en-US" w:eastAsia="zh-CN"/>
              </w:rPr>
              <w:t>17.380</w:t>
            </w:r>
            <w:r>
              <w:rPr>
                <w:rFonts w:hint="default" w:ascii="Times New Roman" w:hAnsi="Times New Roman" w:cs="Times New Roman"/>
                <w:color w:val="auto"/>
                <w:sz w:val="24"/>
                <w:szCs w:val="24"/>
                <w:highlight w:val="none"/>
              </w:rPr>
              <w:t>秒）</w:t>
            </w:r>
          </w:p>
        </w:tc>
      </w:tr>
      <w:tr w14:paraId="3C8915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423" w:type="dxa"/>
            <w:tcMar>
              <w:top w:w="16" w:type="dxa"/>
              <w:left w:w="16" w:type="dxa"/>
              <w:right w:w="16" w:type="dxa"/>
            </w:tcMar>
            <w:vAlign w:val="center"/>
          </w:tcPr>
          <w:p w14:paraId="04F92055">
            <w:pPr>
              <w:adjustRightInd w:val="0"/>
              <w:snapToGrid w:val="0"/>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国民经济</w:t>
            </w:r>
          </w:p>
          <w:p w14:paraId="39929DFD">
            <w:pPr>
              <w:adjustRightInd w:val="0"/>
              <w:snapToGrid w:val="0"/>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行业类别</w:t>
            </w:r>
          </w:p>
        </w:tc>
        <w:tc>
          <w:tcPr>
            <w:tcW w:w="1944" w:type="dxa"/>
            <w:vAlign w:val="center"/>
          </w:tcPr>
          <w:p w14:paraId="36659686">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 xml:space="preserve">B0610 </w:t>
            </w:r>
            <w:r>
              <w:rPr>
                <w:rFonts w:hint="default" w:ascii="Times New Roman" w:hAnsi="Times New Roman" w:cs="Times New Roman"/>
                <w:b w:val="0"/>
                <w:bCs w:val="0"/>
                <w:color w:val="auto"/>
                <w:kern w:val="2"/>
                <w:sz w:val="24"/>
                <w:szCs w:val="24"/>
                <w:highlight w:val="none"/>
                <w:lang w:val="en-US" w:eastAsia="zh-CN" w:bidi="ar-SA"/>
              </w:rPr>
              <w:t>烟煤和无烟煤开采洗选</w:t>
            </w:r>
          </w:p>
        </w:tc>
        <w:tc>
          <w:tcPr>
            <w:tcW w:w="2110" w:type="dxa"/>
            <w:vAlign w:val="center"/>
          </w:tcPr>
          <w:p w14:paraId="23F3A57D">
            <w:pPr>
              <w:adjustRightInd w:val="0"/>
              <w:snapToGrid w:val="0"/>
              <w:spacing w:line="340" w:lineRule="exact"/>
              <w:jc w:val="center"/>
              <w:rPr>
                <w:rFonts w:hint="default" w:ascii="Times New Roman" w:hAnsi="Times New Roman" w:cs="Times New Roman"/>
                <w:color w:val="auto"/>
                <w:sz w:val="24"/>
                <w:szCs w:val="24"/>
                <w:highlight w:val="none"/>
              </w:rPr>
            </w:pPr>
            <w:bookmarkStart w:id="18" w:name="_Hlk49843745"/>
            <w:r>
              <w:rPr>
                <w:rFonts w:hint="default" w:ascii="Times New Roman" w:hAnsi="Times New Roman" w:cs="Times New Roman"/>
                <w:color w:val="auto"/>
                <w:sz w:val="24"/>
                <w:szCs w:val="24"/>
                <w:highlight w:val="none"/>
              </w:rPr>
              <w:t>建设项目</w:t>
            </w:r>
          </w:p>
          <w:p w14:paraId="1B4D9B85">
            <w:pPr>
              <w:adjustRightInd w:val="0"/>
              <w:snapToGrid w:val="0"/>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行业类别</w:t>
            </w:r>
            <w:bookmarkEnd w:id="18"/>
          </w:p>
        </w:tc>
        <w:tc>
          <w:tcPr>
            <w:tcW w:w="3161" w:type="dxa"/>
            <w:vAlign w:val="center"/>
          </w:tcPr>
          <w:p w14:paraId="421EE19A">
            <w:pPr>
              <w:numPr>
                <w:ilvl w:val="0"/>
                <w:numId w:val="0"/>
              </w:numPr>
              <w:spacing w:before="0" w:after="0" w:line="240" w:lineRule="auto"/>
              <w:ind w:left="0" w:leftChars="0" w:firstLine="0" w:firstLineChars="0"/>
              <w:outlineLvl w:val="9"/>
              <w:rPr>
                <w:rFonts w:hint="default" w:ascii="Times New Roman" w:hAnsi="Times New Roman" w:cs="Times New Roman"/>
                <w:color w:val="auto"/>
                <w:sz w:val="24"/>
                <w:szCs w:val="24"/>
                <w:highlight w:val="none"/>
                <w:lang w:val="en-US"/>
              </w:rPr>
            </w:pPr>
            <w:r>
              <w:rPr>
                <w:rFonts w:hint="default" w:ascii="Times New Roman" w:hAnsi="Times New Roman" w:eastAsia="宋体" w:cs="Times New Roman"/>
                <w:b w:val="0"/>
                <w:bCs w:val="0"/>
                <w:color w:val="auto"/>
                <w:kern w:val="2"/>
                <w:sz w:val="24"/>
                <w:szCs w:val="24"/>
                <w:lang w:val="en-US" w:eastAsia="zh-CN" w:bidi="ar-SA"/>
              </w:rPr>
              <w:t>四、</w:t>
            </w:r>
            <w:r>
              <w:rPr>
                <w:rFonts w:hint="default" w:ascii="Times New Roman" w:hAnsi="Times New Roman" w:eastAsia="宋体" w:cs="Times New Roman"/>
                <w:b w:val="0"/>
                <w:bCs w:val="0"/>
                <w:color w:val="auto"/>
                <w:kern w:val="2"/>
                <w:sz w:val="24"/>
                <w:szCs w:val="24"/>
                <w:highlight w:val="none"/>
                <w:lang w:val="en-US" w:eastAsia="zh-CN" w:bidi="ar-SA"/>
              </w:rPr>
              <w:t>煤炭</w:t>
            </w:r>
            <w:r>
              <w:rPr>
                <w:rFonts w:hint="default" w:ascii="Times New Roman" w:hAnsi="Times New Roman" w:cs="Times New Roman"/>
                <w:b w:val="0"/>
                <w:bCs w:val="0"/>
                <w:color w:val="auto"/>
                <w:kern w:val="2"/>
                <w:sz w:val="24"/>
                <w:szCs w:val="24"/>
                <w:highlight w:val="none"/>
                <w:lang w:val="en-US" w:eastAsia="zh-CN" w:bidi="ar-SA"/>
              </w:rPr>
              <w:t>开采和</w:t>
            </w:r>
            <w:r>
              <w:rPr>
                <w:rFonts w:hint="default" w:ascii="Times New Roman" w:hAnsi="Times New Roman" w:eastAsia="宋体" w:cs="Times New Roman"/>
                <w:b w:val="0"/>
                <w:bCs w:val="0"/>
                <w:color w:val="auto"/>
                <w:kern w:val="2"/>
                <w:sz w:val="24"/>
                <w:szCs w:val="24"/>
                <w:highlight w:val="none"/>
                <w:lang w:val="en-US" w:eastAsia="zh-CN" w:bidi="ar-SA"/>
              </w:rPr>
              <w:t>洗选业</w:t>
            </w:r>
            <w:r>
              <w:rPr>
                <w:rFonts w:hint="default" w:ascii="Times New Roman" w:hAnsi="Times New Roman" w:cs="Times New Roman"/>
                <w:b w:val="0"/>
                <w:bCs w:val="0"/>
                <w:color w:val="auto"/>
                <w:kern w:val="2"/>
                <w:sz w:val="24"/>
                <w:szCs w:val="24"/>
                <w:highlight w:val="none"/>
                <w:lang w:val="en-US" w:eastAsia="zh-CN" w:bidi="ar-SA"/>
              </w:rPr>
              <w:t xml:space="preserve"> </w:t>
            </w:r>
            <w:r>
              <w:rPr>
                <w:rFonts w:hint="default" w:ascii="Times New Roman" w:hAnsi="Times New Roman" w:eastAsia="宋体" w:cs="Times New Roman"/>
                <w:b w:val="0"/>
                <w:bCs w:val="0"/>
                <w:color w:val="auto"/>
                <w:kern w:val="2"/>
                <w:sz w:val="24"/>
                <w:szCs w:val="24"/>
                <w:highlight w:val="none"/>
                <w:lang w:val="en-US" w:eastAsia="zh-CN" w:bidi="ar-SA"/>
              </w:rPr>
              <w:t>6</w:t>
            </w:r>
            <w:r>
              <w:rPr>
                <w:rFonts w:hint="default" w:ascii="Times New Roman" w:hAnsi="Times New Roman" w:cs="Times New Roman"/>
                <w:b w:val="0"/>
                <w:bCs w:val="0"/>
                <w:color w:val="auto"/>
                <w:kern w:val="2"/>
                <w:sz w:val="24"/>
                <w:szCs w:val="24"/>
                <w:highlight w:val="none"/>
                <w:lang w:val="en-US" w:eastAsia="zh-CN" w:bidi="ar-SA"/>
              </w:rPr>
              <w:t>烟煤和无烟煤开采洗选</w:t>
            </w:r>
            <w:r>
              <w:rPr>
                <w:rFonts w:hint="default" w:ascii="Times New Roman" w:hAnsi="Times New Roman" w:eastAsia="宋体" w:cs="Times New Roman"/>
                <w:b w:val="0"/>
                <w:bCs w:val="0"/>
                <w:color w:val="auto"/>
                <w:kern w:val="2"/>
                <w:sz w:val="24"/>
                <w:szCs w:val="24"/>
                <w:highlight w:val="none"/>
                <w:lang w:val="en-US" w:eastAsia="zh-CN" w:bidi="ar-SA"/>
              </w:rPr>
              <w:t>061</w:t>
            </w:r>
            <w:r>
              <w:rPr>
                <w:rFonts w:hint="default" w:ascii="Times New Roman" w:hAnsi="Times New Roman" w:eastAsia="宋体" w:cs="Times New Roman"/>
                <w:color w:val="auto"/>
                <w:sz w:val="24"/>
                <w:szCs w:val="24"/>
              </w:rPr>
              <w:t>煤炭储存、集运</w:t>
            </w:r>
          </w:p>
        </w:tc>
      </w:tr>
      <w:tr w14:paraId="7AD19E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423" w:type="dxa"/>
            <w:tcMar>
              <w:top w:w="16" w:type="dxa"/>
              <w:left w:w="16" w:type="dxa"/>
              <w:right w:w="16" w:type="dxa"/>
            </w:tcMar>
            <w:vAlign w:val="center"/>
          </w:tcPr>
          <w:p w14:paraId="63CA7A0D">
            <w:pPr>
              <w:adjustRightInd w:val="0"/>
              <w:snapToGrid w:val="0"/>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建设性质</w:t>
            </w:r>
          </w:p>
        </w:tc>
        <w:tc>
          <w:tcPr>
            <w:tcW w:w="1944" w:type="dxa"/>
            <w:vAlign w:val="center"/>
          </w:tcPr>
          <w:p w14:paraId="631783FB">
            <w:pPr>
              <w:spacing w:line="340" w:lineRule="exact"/>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新建（迁建）</w:t>
            </w:r>
          </w:p>
          <w:p w14:paraId="57B499EB">
            <w:pPr>
              <w:spacing w:line="340" w:lineRule="exact"/>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改建</w:t>
            </w:r>
          </w:p>
          <w:p w14:paraId="2B6CBE37">
            <w:pPr>
              <w:spacing w:line="340" w:lineRule="exact"/>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扩建</w:t>
            </w:r>
          </w:p>
          <w:p w14:paraId="393F4F5C">
            <w:pPr>
              <w:spacing w:line="340" w:lineRule="exact"/>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技术改造</w:t>
            </w:r>
          </w:p>
        </w:tc>
        <w:tc>
          <w:tcPr>
            <w:tcW w:w="2110" w:type="dxa"/>
            <w:vAlign w:val="center"/>
          </w:tcPr>
          <w:p w14:paraId="664A8D87">
            <w:pPr>
              <w:adjustRightInd w:val="0"/>
              <w:snapToGrid w:val="0"/>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w:t>
            </w:r>
          </w:p>
          <w:p w14:paraId="356AC06C">
            <w:pPr>
              <w:adjustRightInd w:val="0"/>
              <w:snapToGrid w:val="0"/>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申报情形</w:t>
            </w:r>
          </w:p>
        </w:tc>
        <w:tc>
          <w:tcPr>
            <w:tcW w:w="3161" w:type="dxa"/>
            <w:vAlign w:val="center"/>
          </w:tcPr>
          <w:p w14:paraId="6EC59F74">
            <w:pPr>
              <w:spacing w:line="340" w:lineRule="exact"/>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 xml:space="preserve">☑首次申报项目             </w:t>
            </w:r>
          </w:p>
          <w:p w14:paraId="2E7FDC0A">
            <w:pPr>
              <w:spacing w:line="340" w:lineRule="exact"/>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不予批准后再次申报项目</w:t>
            </w:r>
          </w:p>
          <w:p w14:paraId="01B6C522">
            <w:pPr>
              <w:spacing w:line="340" w:lineRule="exact"/>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 xml:space="preserve">超五年重新审核项目     </w:t>
            </w:r>
          </w:p>
          <w:p w14:paraId="05B76B1C">
            <w:pPr>
              <w:spacing w:line="340" w:lineRule="exact"/>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重大变动重新报批项目</w:t>
            </w:r>
          </w:p>
        </w:tc>
      </w:tr>
      <w:tr w14:paraId="036FAC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423" w:type="dxa"/>
            <w:tcMar>
              <w:top w:w="16" w:type="dxa"/>
              <w:left w:w="16" w:type="dxa"/>
              <w:right w:w="16" w:type="dxa"/>
            </w:tcMar>
            <w:vAlign w:val="center"/>
          </w:tcPr>
          <w:p w14:paraId="7AFA7BE8">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项目审批（核准/</w:t>
            </w:r>
          </w:p>
          <w:p w14:paraId="7990165E">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备案）部门（选填）</w:t>
            </w:r>
          </w:p>
        </w:tc>
        <w:tc>
          <w:tcPr>
            <w:tcW w:w="1944" w:type="dxa"/>
            <w:vAlign w:val="center"/>
          </w:tcPr>
          <w:p w14:paraId="2E3806C7">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p>
        </w:tc>
        <w:tc>
          <w:tcPr>
            <w:tcW w:w="2110" w:type="dxa"/>
            <w:vAlign w:val="center"/>
          </w:tcPr>
          <w:p w14:paraId="769F39C2">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项目审批（核准/</w:t>
            </w:r>
          </w:p>
          <w:p w14:paraId="7E0F86E8">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备案）文号（选填）</w:t>
            </w:r>
          </w:p>
        </w:tc>
        <w:tc>
          <w:tcPr>
            <w:tcW w:w="3161" w:type="dxa"/>
            <w:vAlign w:val="center"/>
          </w:tcPr>
          <w:p w14:paraId="01093651">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p>
        </w:tc>
      </w:tr>
      <w:tr w14:paraId="053B07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97" w:hRule="atLeast"/>
          <w:jc w:val="center"/>
        </w:trPr>
        <w:tc>
          <w:tcPr>
            <w:tcW w:w="2423" w:type="dxa"/>
            <w:tcMar>
              <w:top w:w="16" w:type="dxa"/>
              <w:left w:w="16" w:type="dxa"/>
              <w:right w:w="16" w:type="dxa"/>
            </w:tcMar>
            <w:vAlign w:val="center"/>
          </w:tcPr>
          <w:p w14:paraId="08EA3DB3">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总投资（万元）</w:t>
            </w:r>
          </w:p>
        </w:tc>
        <w:tc>
          <w:tcPr>
            <w:tcW w:w="1944" w:type="dxa"/>
            <w:vAlign w:val="center"/>
          </w:tcPr>
          <w:p w14:paraId="69C13B40">
            <w:pPr>
              <w:adjustRightInd w:val="0"/>
              <w:snapToGrid w:val="0"/>
              <w:spacing w:line="340" w:lineRule="exact"/>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200</w:t>
            </w:r>
          </w:p>
        </w:tc>
        <w:tc>
          <w:tcPr>
            <w:tcW w:w="2110" w:type="dxa"/>
            <w:tcMar>
              <w:top w:w="16" w:type="dxa"/>
              <w:left w:w="16" w:type="dxa"/>
              <w:right w:w="16" w:type="dxa"/>
            </w:tcMar>
            <w:vAlign w:val="center"/>
          </w:tcPr>
          <w:p w14:paraId="00B57CCB">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环保投资（万元）</w:t>
            </w:r>
          </w:p>
        </w:tc>
        <w:tc>
          <w:tcPr>
            <w:tcW w:w="3161" w:type="dxa"/>
            <w:vAlign w:val="center"/>
          </w:tcPr>
          <w:p w14:paraId="414CFFDD">
            <w:pPr>
              <w:adjustRightInd w:val="0"/>
              <w:snapToGrid w:val="0"/>
              <w:spacing w:line="340" w:lineRule="exact"/>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53.8</w:t>
            </w:r>
          </w:p>
        </w:tc>
      </w:tr>
      <w:tr w14:paraId="2D24D4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423" w:type="dxa"/>
            <w:tcMar>
              <w:top w:w="16" w:type="dxa"/>
              <w:left w:w="16" w:type="dxa"/>
              <w:right w:w="16" w:type="dxa"/>
            </w:tcMar>
            <w:vAlign w:val="center"/>
          </w:tcPr>
          <w:p w14:paraId="5B05B3A9">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环保投资占比（%）</w:t>
            </w:r>
          </w:p>
        </w:tc>
        <w:tc>
          <w:tcPr>
            <w:tcW w:w="1944" w:type="dxa"/>
            <w:vAlign w:val="center"/>
          </w:tcPr>
          <w:p w14:paraId="4FD9B695">
            <w:pPr>
              <w:adjustRightInd w:val="0"/>
              <w:snapToGrid w:val="0"/>
              <w:spacing w:line="340" w:lineRule="exact"/>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26.9</w:t>
            </w:r>
          </w:p>
        </w:tc>
        <w:tc>
          <w:tcPr>
            <w:tcW w:w="2110" w:type="dxa"/>
            <w:tcMar>
              <w:top w:w="16" w:type="dxa"/>
              <w:left w:w="16" w:type="dxa"/>
              <w:right w:w="16" w:type="dxa"/>
            </w:tcMar>
            <w:vAlign w:val="center"/>
          </w:tcPr>
          <w:p w14:paraId="446B3BC2">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施工工期</w:t>
            </w:r>
          </w:p>
        </w:tc>
        <w:tc>
          <w:tcPr>
            <w:tcW w:w="3161" w:type="dxa"/>
            <w:vAlign w:val="center"/>
          </w:tcPr>
          <w:p w14:paraId="0454DD15">
            <w:pPr>
              <w:adjustRightInd w:val="0"/>
              <w:snapToGrid w:val="0"/>
              <w:spacing w:line="340" w:lineRule="exact"/>
              <w:jc w:val="center"/>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color w:val="auto"/>
                <w:sz w:val="24"/>
                <w:highlight w:val="none"/>
                <w:lang w:val="en-US" w:eastAsia="zh-CN"/>
              </w:rPr>
              <w:t>2025.</w:t>
            </w:r>
            <w:r>
              <w:rPr>
                <w:rFonts w:hint="eastAsia" w:cs="Times New Roman"/>
                <w:color w:val="auto"/>
                <w:sz w:val="24"/>
                <w:highlight w:val="none"/>
                <w:lang w:val="en-US" w:eastAsia="zh-CN"/>
              </w:rPr>
              <w:t>6</w:t>
            </w:r>
            <w:r>
              <w:rPr>
                <w:rFonts w:hint="default" w:ascii="Times New Roman" w:hAnsi="Times New Roman" w:cs="Times New Roman"/>
                <w:color w:val="auto"/>
                <w:sz w:val="24"/>
                <w:highlight w:val="none"/>
                <w:lang w:val="en-US" w:eastAsia="zh-CN"/>
              </w:rPr>
              <w:t>-2025.</w:t>
            </w:r>
            <w:r>
              <w:rPr>
                <w:rFonts w:hint="eastAsia" w:cs="Times New Roman"/>
                <w:color w:val="auto"/>
                <w:sz w:val="24"/>
                <w:highlight w:val="none"/>
                <w:lang w:val="en-US" w:eastAsia="zh-CN"/>
              </w:rPr>
              <w:t>7</w:t>
            </w:r>
          </w:p>
        </w:tc>
      </w:tr>
      <w:tr w14:paraId="55E0C0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71" w:hRule="atLeast"/>
          <w:jc w:val="center"/>
        </w:trPr>
        <w:tc>
          <w:tcPr>
            <w:tcW w:w="2423" w:type="dxa"/>
            <w:tcMar>
              <w:top w:w="16" w:type="dxa"/>
              <w:left w:w="16" w:type="dxa"/>
              <w:right w:w="16" w:type="dxa"/>
            </w:tcMar>
            <w:vAlign w:val="center"/>
          </w:tcPr>
          <w:p w14:paraId="68E15D0B">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是否开工建设</w:t>
            </w:r>
          </w:p>
        </w:tc>
        <w:tc>
          <w:tcPr>
            <w:tcW w:w="1944" w:type="dxa"/>
            <w:vAlign w:val="center"/>
          </w:tcPr>
          <w:p w14:paraId="767D1015">
            <w:pPr>
              <w:adjustRightInd w:val="0"/>
              <w:snapToGrid w:val="0"/>
              <w:spacing w:line="340" w:lineRule="exact"/>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rPr>
              <w:t>否：</w:t>
            </w:r>
            <w:r>
              <w:rPr>
                <w:rFonts w:hint="default" w:ascii="Times New Roman" w:hAnsi="Times New Roman" w:cs="Times New Roman"/>
                <w:color w:val="auto"/>
                <w:sz w:val="24"/>
                <w:highlight w:val="none"/>
                <w:u w:val="single"/>
                <w:lang w:val="en-US" w:eastAsia="zh-CN"/>
              </w:rPr>
              <w:t>√</w:t>
            </w:r>
            <w:r>
              <w:rPr>
                <w:rFonts w:hint="default" w:ascii="Times New Roman" w:hAnsi="Times New Roman" w:cs="Times New Roman"/>
                <w:color w:val="auto"/>
                <w:sz w:val="24"/>
                <w:highlight w:val="none"/>
                <w:u w:val="single"/>
              </w:rPr>
              <w:t xml:space="preserve">        </w:t>
            </w:r>
          </w:p>
          <w:p w14:paraId="1C1A4557">
            <w:pPr>
              <w:adjustRightInd w:val="0"/>
              <w:snapToGrid w:val="0"/>
              <w:spacing w:line="340" w:lineRule="exact"/>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是：</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u w:val="single"/>
                <w:lang w:val="en-US" w:eastAsia="zh-CN"/>
              </w:rPr>
              <w:t xml:space="preserve"> </w:t>
            </w:r>
            <w:r>
              <w:rPr>
                <w:rFonts w:hint="default" w:ascii="Times New Roman" w:hAnsi="Times New Roman" w:cs="Times New Roman"/>
                <w:color w:val="auto"/>
                <w:sz w:val="24"/>
                <w:highlight w:val="none"/>
                <w:u w:val="single"/>
              </w:rPr>
              <w:t xml:space="preserve">        </w:t>
            </w:r>
          </w:p>
        </w:tc>
        <w:tc>
          <w:tcPr>
            <w:tcW w:w="2110" w:type="dxa"/>
            <w:tcMar>
              <w:top w:w="16" w:type="dxa"/>
              <w:left w:w="16" w:type="dxa"/>
              <w:right w:w="16" w:type="dxa"/>
            </w:tcMar>
            <w:vAlign w:val="center"/>
          </w:tcPr>
          <w:p w14:paraId="1F980849">
            <w:pPr>
              <w:adjustRightInd w:val="0"/>
              <w:snapToGrid w:val="0"/>
              <w:spacing w:line="340" w:lineRule="exact"/>
              <w:jc w:val="center"/>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用地（用海）</w:t>
            </w:r>
          </w:p>
          <w:p w14:paraId="2522672F">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pacing w:val="-6"/>
                <w:sz w:val="24"/>
                <w:highlight w:val="none"/>
              </w:rPr>
              <w:t>面积（m</w:t>
            </w:r>
            <w:r>
              <w:rPr>
                <w:rFonts w:hint="default" w:ascii="Times New Roman" w:hAnsi="Times New Roman" w:cs="Times New Roman"/>
                <w:color w:val="auto"/>
                <w:spacing w:val="-6"/>
                <w:sz w:val="24"/>
                <w:highlight w:val="none"/>
                <w:vertAlign w:val="superscript"/>
              </w:rPr>
              <w:t>2</w:t>
            </w:r>
            <w:r>
              <w:rPr>
                <w:rFonts w:hint="default" w:ascii="Times New Roman" w:hAnsi="Times New Roman" w:cs="Times New Roman"/>
                <w:color w:val="auto"/>
                <w:spacing w:val="-6"/>
                <w:sz w:val="24"/>
                <w:highlight w:val="none"/>
              </w:rPr>
              <w:t>）</w:t>
            </w:r>
          </w:p>
        </w:tc>
        <w:tc>
          <w:tcPr>
            <w:tcW w:w="3161" w:type="dxa"/>
            <w:vAlign w:val="center"/>
          </w:tcPr>
          <w:p w14:paraId="5DAA87F6">
            <w:pPr>
              <w:adjustRightInd w:val="0"/>
              <w:snapToGrid w:val="0"/>
              <w:spacing w:line="340" w:lineRule="exact"/>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20700</w:t>
            </w:r>
          </w:p>
        </w:tc>
      </w:tr>
      <w:tr w14:paraId="7369C9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2423" w:type="dxa"/>
            <w:vAlign w:val="center"/>
          </w:tcPr>
          <w:p w14:paraId="358FD769">
            <w:pPr>
              <w:autoSpaceDE w:val="0"/>
              <w:autoSpaceDN w:val="0"/>
              <w:adjustRightInd w:val="0"/>
              <w:snapToGrid w:val="0"/>
              <w:spacing w:line="34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专项评价设置情况</w:t>
            </w:r>
          </w:p>
        </w:tc>
        <w:tc>
          <w:tcPr>
            <w:tcW w:w="7215" w:type="dxa"/>
            <w:gridSpan w:val="3"/>
            <w:vAlign w:val="center"/>
          </w:tcPr>
          <w:p w14:paraId="60F6FD6A">
            <w:pPr>
              <w:autoSpaceDE w:val="0"/>
              <w:autoSpaceDN w:val="0"/>
              <w:adjustRightInd w:val="0"/>
              <w:snapToGrid w:val="0"/>
              <w:spacing w:line="340" w:lineRule="exact"/>
              <w:jc w:val="center"/>
              <w:rPr>
                <w:rFonts w:hint="default" w:ascii="Times New Roman" w:hAnsi="Times New Roman" w:eastAsia="宋体" w:cs="Times New Roman"/>
                <w:color w:val="auto"/>
                <w:kern w:val="0"/>
                <w:sz w:val="24"/>
                <w:highlight w:val="none"/>
                <w:lang w:val="en-US" w:eastAsia="zh-CN"/>
              </w:rPr>
            </w:pPr>
          </w:p>
          <w:p w14:paraId="2268536E">
            <w:pPr>
              <w:autoSpaceDE w:val="0"/>
              <w:autoSpaceDN w:val="0"/>
              <w:adjustRightInd w:val="0"/>
              <w:snapToGrid w:val="0"/>
              <w:spacing w:line="340" w:lineRule="exact"/>
              <w:jc w:val="center"/>
              <w:rPr>
                <w:rFonts w:hint="default" w:ascii="Times New Roman" w:hAnsi="Times New Roman" w:eastAsia="宋体" w:cs="Times New Roman"/>
                <w:b/>
                <w:bCs/>
                <w:color w:val="auto"/>
                <w:kern w:val="0"/>
                <w:sz w:val="24"/>
                <w:highlight w:val="none"/>
                <w:lang w:val="en-US" w:eastAsia="zh-CN"/>
              </w:rPr>
            </w:pPr>
            <w:r>
              <w:rPr>
                <w:rFonts w:hint="default" w:ascii="Times New Roman" w:hAnsi="Times New Roman" w:cs="Times New Roman"/>
                <w:b/>
                <w:bCs/>
                <w:color w:val="auto"/>
                <w:kern w:val="0"/>
                <w:sz w:val="24"/>
                <w:highlight w:val="none"/>
                <w:lang w:val="en-US" w:eastAsia="zh-CN"/>
              </w:rPr>
              <w:t>表1-1 专项设置情况</w:t>
            </w:r>
          </w:p>
          <w:tbl>
            <w:tblPr>
              <w:tblStyle w:val="20"/>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980"/>
              <w:gridCol w:w="3156"/>
              <w:gridCol w:w="2860"/>
            </w:tblGrid>
            <w:tr w14:paraId="5133B7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7CEA6E5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专项评价的类别</w:t>
                  </w:r>
                </w:p>
              </w:tc>
              <w:tc>
                <w:tcPr>
                  <w:tcW w:w="2255" w:type="pct"/>
                  <w:noWrap w:val="0"/>
                  <w:vAlign w:val="center"/>
                </w:tcPr>
                <w:p w14:paraId="1614842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设置原则</w:t>
                  </w:r>
                </w:p>
              </w:tc>
              <w:tc>
                <w:tcPr>
                  <w:tcW w:w="2044" w:type="pct"/>
                  <w:noWrap w:val="0"/>
                  <w:vAlign w:val="center"/>
                </w:tcPr>
                <w:p w14:paraId="5A44D07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是否设置</w:t>
                  </w:r>
                </w:p>
              </w:tc>
            </w:tr>
            <w:tr w14:paraId="69D21F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73941D1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大气</w:t>
                  </w:r>
                </w:p>
              </w:tc>
              <w:tc>
                <w:tcPr>
                  <w:tcW w:w="2255" w:type="pct"/>
                  <w:noWrap w:val="0"/>
                  <w:vAlign w:val="center"/>
                </w:tcPr>
                <w:p w14:paraId="44384B46">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排放废气含有毒有害污染物、二噁英、苯并[</w:t>
                  </w:r>
                  <w:r>
                    <w:rPr>
                      <w:rFonts w:hint="default" w:ascii="Times New Roman" w:hAnsi="Times New Roman" w:eastAsia="宋体" w:cs="Times New Roman"/>
                      <w:i/>
                      <w:iCs/>
                      <w:color w:val="auto"/>
                      <w:spacing w:val="0"/>
                      <w:kern w:val="21"/>
                      <w:sz w:val="21"/>
                      <w:szCs w:val="21"/>
                      <w:highlight w:val="none"/>
                    </w:rPr>
                    <w:t>a</w:t>
                  </w:r>
                  <w:r>
                    <w:rPr>
                      <w:rFonts w:hint="default" w:ascii="Times New Roman" w:hAnsi="Times New Roman" w:eastAsia="宋体" w:cs="Times New Roman"/>
                      <w:color w:val="auto"/>
                      <w:spacing w:val="0"/>
                      <w:kern w:val="21"/>
                      <w:sz w:val="21"/>
                      <w:szCs w:val="21"/>
                      <w:highlight w:val="none"/>
                    </w:rPr>
                    <w:t>]芘、氰化物、氯气且厂界外500米范围内有环境空气保护目标的建设项目</w:t>
                  </w:r>
                </w:p>
              </w:tc>
              <w:tc>
                <w:tcPr>
                  <w:tcW w:w="2044" w:type="pct"/>
                  <w:noWrap w:val="0"/>
                  <w:vAlign w:val="center"/>
                </w:tcPr>
                <w:p w14:paraId="05B0C97D">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不设置</w:t>
                  </w:r>
                  <w:r>
                    <w:rPr>
                      <w:rFonts w:hint="default" w:ascii="Times New Roman" w:hAnsi="Times New Roman" w:eastAsia="宋体" w:cs="Times New Roman"/>
                      <w:color w:val="auto"/>
                      <w:spacing w:val="0"/>
                      <w:kern w:val="21"/>
                      <w:sz w:val="21"/>
                      <w:szCs w:val="21"/>
                      <w:highlight w:val="none"/>
                      <w:lang w:eastAsia="zh-CN"/>
                    </w:rPr>
                    <w:t>，</w:t>
                  </w:r>
                  <w:r>
                    <w:rPr>
                      <w:rFonts w:hint="default" w:ascii="Times New Roman" w:hAnsi="Times New Roman" w:eastAsia="宋体" w:cs="Times New Roman"/>
                      <w:color w:val="auto"/>
                      <w:spacing w:val="0"/>
                      <w:kern w:val="21"/>
                      <w:sz w:val="21"/>
                      <w:szCs w:val="21"/>
                      <w:highlight w:val="none"/>
                    </w:rPr>
                    <w:t>项目排放废气</w:t>
                  </w:r>
                  <w:r>
                    <w:rPr>
                      <w:rFonts w:hint="default" w:ascii="Times New Roman" w:hAnsi="Times New Roman" w:eastAsia="宋体" w:cs="Times New Roman"/>
                      <w:color w:val="auto"/>
                      <w:spacing w:val="0"/>
                      <w:kern w:val="21"/>
                      <w:sz w:val="21"/>
                      <w:szCs w:val="21"/>
                      <w:highlight w:val="none"/>
                      <w:lang w:val="en-US" w:eastAsia="zh-CN"/>
                    </w:rPr>
                    <w:t>不</w:t>
                  </w:r>
                  <w:r>
                    <w:rPr>
                      <w:rFonts w:hint="default" w:ascii="Times New Roman" w:hAnsi="Times New Roman" w:eastAsia="宋体" w:cs="Times New Roman"/>
                      <w:color w:val="auto"/>
                      <w:spacing w:val="0"/>
                      <w:kern w:val="21"/>
                      <w:sz w:val="21"/>
                      <w:szCs w:val="21"/>
                      <w:highlight w:val="none"/>
                    </w:rPr>
                    <w:t>含有毒有害污染物</w:t>
                  </w:r>
                </w:p>
              </w:tc>
            </w:tr>
            <w:tr w14:paraId="4E0A9F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668E6D4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地表水</w:t>
                  </w:r>
                </w:p>
              </w:tc>
              <w:tc>
                <w:tcPr>
                  <w:tcW w:w="2255" w:type="pct"/>
                  <w:noWrap w:val="0"/>
                  <w:vAlign w:val="center"/>
                </w:tcPr>
                <w:p w14:paraId="6A7603B1">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新增工业废水直排建设项目（槽罐车外送污水处理厂的除外）；新增废水直排的污水集中处理厂</w:t>
                  </w:r>
                </w:p>
              </w:tc>
              <w:tc>
                <w:tcPr>
                  <w:tcW w:w="2044" w:type="pct"/>
                  <w:noWrap w:val="0"/>
                  <w:vAlign w:val="center"/>
                </w:tcPr>
                <w:p w14:paraId="3B6CCC3E">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不设置</w:t>
                  </w:r>
                  <w:r>
                    <w:rPr>
                      <w:rFonts w:hint="default" w:ascii="Times New Roman" w:hAnsi="Times New Roman" w:eastAsia="宋体" w:cs="Times New Roman"/>
                      <w:color w:val="auto"/>
                      <w:spacing w:val="0"/>
                      <w:kern w:val="21"/>
                      <w:sz w:val="21"/>
                      <w:szCs w:val="21"/>
                      <w:highlight w:val="none"/>
                      <w:lang w:eastAsia="zh-CN"/>
                    </w:rPr>
                    <w:t>，</w:t>
                  </w:r>
                  <w:r>
                    <w:rPr>
                      <w:rFonts w:hint="default" w:ascii="Times New Roman" w:hAnsi="Times New Roman" w:eastAsia="宋体" w:cs="Times New Roman"/>
                      <w:color w:val="auto"/>
                      <w:spacing w:val="0"/>
                      <w:kern w:val="21"/>
                      <w:sz w:val="21"/>
                      <w:szCs w:val="21"/>
                      <w:highlight w:val="none"/>
                      <w:lang w:val="en-US" w:eastAsia="zh-CN"/>
                    </w:rPr>
                    <w:t>项目不</w:t>
                  </w:r>
                  <w:r>
                    <w:rPr>
                      <w:rFonts w:hint="default" w:ascii="Times New Roman" w:hAnsi="Times New Roman" w:eastAsia="宋体" w:cs="Times New Roman"/>
                      <w:color w:val="auto"/>
                      <w:spacing w:val="0"/>
                      <w:kern w:val="21"/>
                      <w:sz w:val="21"/>
                      <w:szCs w:val="21"/>
                      <w:highlight w:val="none"/>
                    </w:rPr>
                    <w:t>新增工业废水直排</w:t>
                  </w:r>
                </w:p>
              </w:tc>
            </w:tr>
            <w:tr w14:paraId="673905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61BE8B0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环境风险</w:t>
                  </w:r>
                </w:p>
              </w:tc>
              <w:tc>
                <w:tcPr>
                  <w:tcW w:w="2255" w:type="pct"/>
                  <w:noWrap w:val="0"/>
                  <w:vAlign w:val="center"/>
                </w:tcPr>
                <w:p w14:paraId="152BD241">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有毒有害和易燃易爆危险物质存储量超过临界量的建设项目</w:t>
                  </w:r>
                </w:p>
              </w:tc>
              <w:tc>
                <w:tcPr>
                  <w:tcW w:w="2044" w:type="pct"/>
                  <w:noWrap w:val="0"/>
                  <w:vAlign w:val="center"/>
                </w:tcPr>
                <w:p w14:paraId="0ECC48F0">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cs="Times New Roman" w:eastAsiaTheme="minorEastAsia"/>
                      <w:color w:val="auto"/>
                      <w:kern w:val="0"/>
                      <w:szCs w:val="21"/>
                      <w:highlight w:val="none"/>
                    </w:rPr>
                    <w:t>本</w:t>
                  </w:r>
                  <w:r>
                    <w:rPr>
                      <w:rFonts w:hint="default" w:ascii="Times New Roman" w:hAnsi="Times New Roman" w:eastAsia="宋体" w:cs="Times New Roman"/>
                      <w:color w:val="auto"/>
                      <w:spacing w:val="0"/>
                      <w:kern w:val="21"/>
                      <w:sz w:val="21"/>
                      <w:szCs w:val="21"/>
                      <w:highlight w:val="none"/>
                    </w:rPr>
                    <w:t>项目涉及危险物质存储量未超过临界量</w:t>
                  </w:r>
                  <w:r>
                    <w:rPr>
                      <w:rFonts w:hint="default" w:ascii="Times New Roman" w:hAnsi="Times New Roman" w:eastAsia="宋体" w:cs="Times New Roman"/>
                      <w:color w:val="auto"/>
                      <w:spacing w:val="0"/>
                      <w:kern w:val="21"/>
                      <w:sz w:val="21"/>
                      <w:szCs w:val="21"/>
                      <w:highlight w:val="none"/>
                      <w:lang w:val="en-US" w:eastAsia="zh-CN"/>
                    </w:rPr>
                    <w:t>，因此无需开展环境风险专项评价</w:t>
                  </w:r>
                </w:p>
              </w:tc>
            </w:tr>
            <w:tr w14:paraId="02255B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368F08C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生态</w:t>
                  </w:r>
                </w:p>
              </w:tc>
              <w:tc>
                <w:tcPr>
                  <w:tcW w:w="2255" w:type="pct"/>
                  <w:noWrap w:val="0"/>
                  <w:vAlign w:val="center"/>
                </w:tcPr>
                <w:p w14:paraId="4099E9AE">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取水口下游500米范围内有重要水生生物的自然产卵场、索饵场、越冬场和洄游通道的新增河道取水的污染类建设项目</w:t>
                  </w:r>
                </w:p>
              </w:tc>
              <w:tc>
                <w:tcPr>
                  <w:tcW w:w="2044" w:type="pct"/>
                  <w:noWrap w:val="0"/>
                  <w:vAlign w:val="center"/>
                </w:tcPr>
                <w:p w14:paraId="451FC3F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lang w:eastAsia="zh-CN"/>
                    </w:rPr>
                    <w:t>不设置</w:t>
                  </w:r>
                </w:p>
              </w:tc>
            </w:tr>
            <w:tr w14:paraId="33E9EF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3F19A90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海洋</w:t>
                  </w:r>
                </w:p>
              </w:tc>
              <w:tc>
                <w:tcPr>
                  <w:tcW w:w="2255" w:type="pct"/>
                  <w:noWrap w:val="0"/>
                  <w:vAlign w:val="center"/>
                </w:tcPr>
                <w:p w14:paraId="0809E089">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直接向海排放污染物的海洋工程建设项目</w:t>
                  </w:r>
                </w:p>
              </w:tc>
              <w:tc>
                <w:tcPr>
                  <w:tcW w:w="2044" w:type="pct"/>
                  <w:noWrap w:val="0"/>
                  <w:vAlign w:val="center"/>
                </w:tcPr>
                <w:p w14:paraId="2B26577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lang w:eastAsia="zh-CN"/>
                    </w:rPr>
                    <w:t>不设置</w:t>
                  </w:r>
                </w:p>
              </w:tc>
            </w:tr>
            <w:tr w14:paraId="16DB73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7C13E9E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lang w:eastAsia="zh-CN"/>
                    </w:rPr>
                  </w:pPr>
                  <w:r>
                    <w:rPr>
                      <w:rFonts w:hint="default" w:ascii="Times New Roman" w:hAnsi="Times New Roman" w:eastAsia="宋体" w:cs="Times New Roman"/>
                      <w:color w:val="auto"/>
                      <w:spacing w:val="0"/>
                      <w:kern w:val="21"/>
                      <w:sz w:val="21"/>
                      <w:szCs w:val="21"/>
                      <w:highlight w:val="none"/>
                      <w:lang w:eastAsia="zh-CN"/>
                    </w:rPr>
                    <w:t>地下水</w:t>
                  </w:r>
                </w:p>
              </w:tc>
              <w:tc>
                <w:tcPr>
                  <w:tcW w:w="2255" w:type="pct"/>
                  <w:noWrap w:val="0"/>
                  <w:vAlign w:val="center"/>
                </w:tcPr>
                <w:p w14:paraId="7FEA087F">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lang w:eastAsia="zh-CN"/>
                    </w:rPr>
                    <w:t>地下水原则上不开展专项评价，涉及集中式饮用水水源和热水、矿泉水、温泉等特殊地下水资源保护区的开展地下水专项评价工作</w:t>
                  </w:r>
                </w:p>
              </w:tc>
              <w:tc>
                <w:tcPr>
                  <w:tcW w:w="2044" w:type="pct"/>
                  <w:noWrap w:val="0"/>
                  <w:vAlign w:val="center"/>
                </w:tcPr>
                <w:p w14:paraId="254E490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lang w:eastAsia="zh-CN"/>
                    </w:rPr>
                  </w:pPr>
                  <w:r>
                    <w:rPr>
                      <w:rFonts w:hint="default" w:ascii="Times New Roman" w:hAnsi="Times New Roman" w:eastAsia="宋体" w:cs="Times New Roman"/>
                      <w:color w:val="auto"/>
                      <w:spacing w:val="0"/>
                      <w:kern w:val="21"/>
                      <w:sz w:val="21"/>
                      <w:szCs w:val="21"/>
                      <w:highlight w:val="none"/>
                      <w:lang w:eastAsia="zh-CN"/>
                    </w:rPr>
                    <w:t>不设置</w:t>
                  </w:r>
                </w:p>
              </w:tc>
            </w:tr>
            <w:tr w14:paraId="2291B4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62E91C8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lang w:eastAsia="zh-CN"/>
                    </w:rPr>
                  </w:pPr>
                  <w:r>
                    <w:rPr>
                      <w:rFonts w:hint="default" w:ascii="Times New Roman" w:hAnsi="Times New Roman" w:eastAsia="宋体" w:cs="Times New Roman"/>
                      <w:color w:val="auto"/>
                      <w:spacing w:val="0"/>
                      <w:kern w:val="21"/>
                      <w:sz w:val="21"/>
                      <w:szCs w:val="21"/>
                      <w:highlight w:val="none"/>
                      <w:lang w:eastAsia="zh-CN"/>
                    </w:rPr>
                    <w:t>土壤</w:t>
                  </w:r>
                </w:p>
              </w:tc>
              <w:tc>
                <w:tcPr>
                  <w:tcW w:w="2255" w:type="pct"/>
                  <w:vMerge w:val="restart"/>
                  <w:noWrap w:val="0"/>
                  <w:vAlign w:val="center"/>
                </w:tcPr>
                <w:p w14:paraId="708A566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土壤、声环境不开展专项评价</w:t>
                  </w:r>
                </w:p>
              </w:tc>
              <w:tc>
                <w:tcPr>
                  <w:tcW w:w="2044" w:type="pct"/>
                  <w:noWrap w:val="0"/>
                  <w:vAlign w:val="center"/>
                </w:tcPr>
                <w:p w14:paraId="7442520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lang w:eastAsia="zh-CN"/>
                    </w:rPr>
                  </w:pPr>
                  <w:r>
                    <w:rPr>
                      <w:rFonts w:hint="default" w:ascii="Times New Roman" w:hAnsi="Times New Roman" w:eastAsia="宋体" w:cs="Times New Roman"/>
                      <w:color w:val="auto"/>
                      <w:spacing w:val="0"/>
                      <w:kern w:val="21"/>
                      <w:sz w:val="21"/>
                      <w:szCs w:val="21"/>
                      <w:highlight w:val="none"/>
                      <w:lang w:eastAsia="zh-CN"/>
                    </w:rPr>
                    <w:t>不设置</w:t>
                  </w:r>
                </w:p>
              </w:tc>
            </w:tr>
            <w:tr w14:paraId="416ED5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7EDCD0B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lang w:eastAsia="zh-CN"/>
                    </w:rPr>
                    <w:t>声环境</w:t>
                  </w:r>
                </w:p>
              </w:tc>
              <w:tc>
                <w:tcPr>
                  <w:tcW w:w="2255" w:type="pct"/>
                  <w:vMerge w:val="continue"/>
                  <w:noWrap w:val="0"/>
                  <w:vAlign w:val="center"/>
                </w:tcPr>
                <w:p w14:paraId="3075E4B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p>
              </w:tc>
              <w:tc>
                <w:tcPr>
                  <w:tcW w:w="2044" w:type="pct"/>
                  <w:noWrap w:val="0"/>
                  <w:vAlign w:val="center"/>
                </w:tcPr>
                <w:p w14:paraId="64DF249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lang w:eastAsia="zh-CN"/>
                    </w:rPr>
                  </w:pPr>
                  <w:r>
                    <w:rPr>
                      <w:rFonts w:hint="default" w:ascii="Times New Roman" w:hAnsi="Times New Roman" w:eastAsia="宋体" w:cs="Times New Roman"/>
                      <w:color w:val="auto"/>
                      <w:spacing w:val="0"/>
                      <w:kern w:val="21"/>
                      <w:sz w:val="21"/>
                      <w:szCs w:val="21"/>
                      <w:highlight w:val="none"/>
                      <w:lang w:eastAsia="zh-CN"/>
                    </w:rPr>
                    <w:t>不设置</w:t>
                  </w:r>
                </w:p>
              </w:tc>
            </w:tr>
          </w:tbl>
          <w:p w14:paraId="180BDE96">
            <w:pPr>
              <w:autoSpaceDE w:val="0"/>
              <w:autoSpaceDN w:val="0"/>
              <w:adjustRightInd w:val="0"/>
              <w:snapToGrid w:val="0"/>
              <w:spacing w:line="340" w:lineRule="exact"/>
              <w:jc w:val="center"/>
              <w:rPr>
                <w:rFonts w:hint="default" w:ascii="Times New Roman" w:hAnsi="Times New Roman" w:eastAsia="宋体" w:cs="Times New Roman"/>
                <w:color w:val="auto"/>
                <w:kern w:val="0"/>
                <w:sz w:val="24"/>
                <w:highlight w:val="none"/>
                <w:lang w:val="en-US" w:eastAsia="zh-CN"/>
              </w:rPr>
            </w:pPr>
          </w:p>
        </w:tc>
      </w:tr>
      <w:tr w14:paraId="7C822F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423" w:type="dxa"/>
            <w:vAlign w:val="center"/>
          </w:tcPr>
          <w:p w14:paraId="4A3962BE">
            <w:pPr>
              <w:autoSpaceDE w:val="0"/>
              <w:autoSpaceDN w:val="0"/>
              <w:adjustRightInd w:val="0"/>
              <w:snapToGrid w:val="0"/>
              <w:spacing w:line="34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t>规划情况</w:t>
            </w:r>
          </w:p>
        </w:tc>
        <w:tc>
          <w:tcPr>
            <w:tcW w:w="7215" w:type="dxa"/>
            <w:gridSpan w:val="3"/>
            <w:vAlign w:val="center"/>
          </w:tcPr>
          <w:p w14:paraId="3C834186">
            <w:pPr>
              <w:autoSpaceDE w:val="0"/>
              <w:autoSpaceDN w:val="0"/>
              <w:adjustRightInd w:val="0"/>
              <w:snapToGrid w:val="0"/>
              <w:spacing w:line="34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无</w:t>
            </w:r>
          </w:p>
        </w:tc>
      </w:tr>
      <w:tr w14:paraId="403023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423" w:type="dxa"/>
            <w:vAlign w:val="center"/>
          </w:tcPr>
          <w:p w14:paraId="32B1D283">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规划环境影响</w:t>
            </w:r>
          </w:p>
          <w:p w14:paraId="46E86EA6">
            <w:pPr>
              <w:adjustRightInd w:val="0"/>
              <w:snapToGrid w:val="0"/>
              <w:spacing w:line="34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t>评价情况</w:t>
            </w:r>
          </w:p>
        </w:tc>
        <w:tc>
          <w:tcPr>
            <w:tcW w:w="7215" w:type="dxa"/>
            <w:gridSpan w:val="3"/>
            <w:vAlign w:val="center"/>
          </w:tcPr>
          <w:p w14:paraId="3F48FC9E">
            <w:pPr>
              <w:autoSpaceDE w:val="0"/>
              <w:autoSpaceDN w:val="0"/>
              <w:adjustRightInd w:val="0"/>
              <w:snapToGrid w:val="0"/>
              <w:spacing w:line="34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无</w:t>
            </w:r>
          </w:p>
        </w:tc>
      </w:tr>
      <w:tr w14:paraId="3B98FC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423" w:type="dxa"/>
            <w:vAlign w:val="center"/>
          </w:tcPr>
          <w:p w14:paraId="2ED86CB7">
            <w:pPr>
              <w:autoSpaceDE w:val="0"/>
              <w:autoSpaceDN w:val="0"/>
              <w:adjustRightInd w:val="0"/>
              <w:snapToGrid w:val="0"/>
              <w:spacing w:line="34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规划及规划环境</w:t>
            </w:r>
          </w:p>
          <w:p w14:paraId="6134CA1B">
            <w:pPr>
              <w:autoSpaceDE w:val="0"/>
              <w:autoSpaceDN w:val="0"/>
              <w:adjustRightInd w:val="0"/>
              <w:snapToGrid w:val="0"/>
              <w:spacing w:line="34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影响评价符合性分析</w:t>
            </w:r>
          </w:p>
        </w:tc>
        <w:tc>
          <w:tcPr>
            <w:tcW w:w="7215" w:type="dxa"/>
            <w:gridSpan w:val="3"/>
            <w:vAlign w:val="center"/>
          </w:tcPr>
          <w:p w14:paraId="5F75F615">
            <w:pPr>
              <w:autoSpaceDE w:val="0"/>
              <w:autoSpaceDN w:val="0"/>
              <w:adjustRightInd w:val="0"/>
              <w:snapToGrid w:val="0"/>
              <w:spacing w:line="34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w:t>
            </w:r>
          </w:p>
        </w:tc>
      </w:tr>
      <w:tr w14:paraId="7F9D44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423" w:type="dxa"/>
            <w:vAlign w:val="center"/>
          </w:tcPr>
          <w:p w14:paraId="679EA0BD">
            <w:pPr>
              <w:autoSpaceDE w:val="0"/>
              <w:autoSpaceDN w:val="0"/>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其他符合性分析</w:t>
            </w:r>
          </w:p>
        </w:tc>
        <w:tc>
          <w:tcPr>
            <w:tcW w:w="7215" w:type="dxa"/>
            <w:gridSpan w:val="3"/>
            <w:vAlign w:val="center"/>
          </w:tcPr>
          <w:p w14:paraId="3677073C">
            <w:pPr>
              <w:pStyle w:val="28"/>
              <w:spacing w:line="360" w:lineRule="auto"/>
              <w:jc w:val="both"/>
              <w:rPr>
                <w:rFonts w:hint="default" w:ascii="Times New Roman" w:hAnsi="Times New Roman" w:cs="Times New Roman"/>
                <w:b/>
                <w:color w:val="auto"/>
                <w:highlight w:val="none"/>
              </w:rPr>
            </w:pPr>
            <w:r>
              <w:rPr>
                <w:rFonts w:hint="default" w:ascii="Times New Roman" w:hAnsi="Times New Roman" w:cs="Times New Roman"/>
                <w:b/>
                <w:color w:val="auto"/>
                <w:highlight w:val="none"/>
              </w:rPr>
              <w:t>1、产业政策符合性分析</w:t>
            </w:r>
          </w:p>
          <w:p w14:paraId="1E6D9F2A">
            <w:pPr>
              <w:pStyle w:val="28"/>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根据《产业结构调整指导目录（</w:t>
            </w:r>
            <w:r>
              <w:rPr>
                <w:rFonts w:hint="default" w:ascii="Times New Roman" w:hAnsi="Times New Roman" w:eastAsia="宋体" w:cs="Times New Roman"/>
                <w:color w:val="auto"/>
                <w:sz w:val="24"/>
                <w:highlight w:val="none"/>
              </w:rPr>
              <w:t>20</w:t>
            </w:r>
            <w:r>
              <w:rPr>
                <w:rFonts w:hint="default" w:ascii="Times New Roman" w:hAnsi="Times New Roman" w:eastAsia="宋体" w:cs="Times New Roman"/>
                <w:color w:val="auto"/>
                <w:sz w:val="24"/>
                <w:highlight w:val="none"/>
                <w:lang w:val="en-US" w:eastAsia="zh-CN"/>
              </w:rPr>
              <w:t>24</w:t>
            </w:r>
            <w:r>
              <w:rPr>
                <w:rFonts w:hint="default" w:ascii="Times New Roman" w:hAnsi="Times New Roman" w:cs="Times New Roman"/>
                <w:color w:val="auto"/>
                <w:sz w:val="24"/>
                <w:highlight w:val="none"/>
              </w:rPr>
              <w:t>年</w:t>
            </w:r>
            <w:r>
              <w:rPr>
                <w:rFonts w:hint="default" w:ascii="Times New Roman" w:hAnsi="Times New Roman" w:cs="Times New Roman"/>
                <w:color w:val="auto"/>
                <w:sz w:val="24"/>
                <w:highlight w:val="none"/>
                <w:lang w:val="en-US" w:eastAsia="zh-CN"/>
              </w:rPr>
              <w:t>本</w:t>
            </w:r>
            <w:r>
              <w:rPr>
                <w:rFonts w:hint="default" w:ascii="Times New Roman" w:hAnsi="Times New Roman" w:cs="Times New Roman"/>
                <w:color w:val="auto"/>
                <w:sz w:val="24"/>
                <w:highlight w:val="none"/>
              </w:rPr>
              <w:t>）》，本项目属于</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三煤炭第一条：储煤设施建设</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属于鼓励类项目，</w:t>
            </w:r>
            <w:r>
              <w:rPr>
                <w:rFonts w:hint="default" w:ascii="Times New Roman" w:hAnsi="Times New Roman" w:eastAsia="宋体" w:cs="Times New Roman"/>
                <w:color w:val="auto"/>
                <w:sz w:val="24"/>
                <w:highlight w:val="none"/>
                <w:lang w:val="en-US" w:eastAsia="zh-CN"/>
              </w:rPr>
              <w:t>项目生产过程中</w:t>
            </w:r>
            <w:r>
              <w:rPr>
                <w:rFonts w:hint="default" w:ascii="Times New Roman" w:hAnsi="Times New Roman" w:cs="Times New Roman"/>
                <w:color w:val="auto"/>
                <w:sz w:val="24"/>
                <w:highlight w:val="none"/>
                <w:lang w:val="en-US" w:eastAsia="zh-CN"/>
              </w:rPr>
              <w:t>不使用</w:t>
            </w:r>
            <w:r>
              <w:rPr>
                <w:rFonts w:hint="default" w:ascii="Times New Roman" w:hAnsi="Times New Roman" w:eastAsia="宋体" w:cs="Times New Roman"/>
                <w:color w:val="auto"/>
                <w:sz w:val="24"/>
                <w:highlight w:val="none"/>
                <w:lang w:val="en-US" w:eastAsia="zh-CN"/>
              </w:rPr>
              <w:t>国家明令禁止的淘汰类和限制类的工艺和设备，符合国家的产业政策和环保政策</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因此本项目的建设符合国家产业政策要求。</w:t>
            </w:r>
          </w:p>
          <w:p w14:paraId="50E46AD7">
            <w:pPr>
              <w:pStyle w:val="28"/>
              <w:spacing w:line="360" w:lineRule="auto"/>
              <w:jc w:val="both"/>
              <w:rPr>
                <w:rFonts w:hint="default" w:ascii="Times New Roman" w:hAnsi="Times New Roman" w:eastAsia="宋体" w:cs="Times New Roman"/>
                <w:b/>
                <w:color w:val="auto"/>
                <w:highlight w:val="none"/>
                <w:lang w:val="en-US"/>
              </w:rPr>
            </w:pPr>
            <w:r>
              <w:rPr>
                <w:rFonts w:hint="default" w:ascii="Times New Roman" w:hAnsi="Times New Roman" w:eastAsia="宋体" w:cs="Times New Roman"/>
                <w:b/>
                <w:color w:val="auto"/>
                <w:highlight w:val="none"/>
              </w:rPr>
              <w:t>2、</w:t>
            </w:r>
            <w:r>
              <w:rPr>
                <w:rFonts w:hint="default" w:ascii="Times New Roman" w:hAnsi="Times New Roman" w:eastAsia="宋体" w:cs="Times New Roman"/>
                <w:b/>
                <w:color w:val="auto"/>
                <w:highlight w:val="none"/>
                <w:lang w:val="en-US" w:eastAsia="zh-CN"/>
              </w:rPr>
              <w:t>环境影响评价技术文件类型的符合性分析</w:t>
            </w:r>
          </w:p>
          <w:p w14:paraId="5E35B493">
            <w:pPr>
              <w:pStyle w:val="3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根据《建设项目环境影响评价分类管理名录》（2021年版）四、煤炭开采和洗选中煤炭储存、集运项目应当编制环境影响评价报告表，详见表1-</w:t>
            </w:r>
            <w:r>
              <w:rPr>
                <w:rFonts w:hint="default" w:ascii="Times New Roman" w:hAnsi="Times New Roman"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w:t>
            </w:r>
          </w:p>
          <w:p w14:paraId="40FA8454">
            <w:pPr>
              <w:adjustRightInd w:val="0"/>
              <w:snapToGrid w:val="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表1</w:t>
            </w:r>
            <w:r>
              <w:rPr>
                <w:rFonts w:hint="default" w:ascii="Times New Roman" w:hAnsi="Times New Roman" w:cs="Times New Roman"/>
                <w:b/>
                <w:bCs/>
                <w:color w:val="auto"/>
                <w:kern w:val="2"/>
                <w:sz w:val="24"/>
                <w:szCs w:val="24"/>
                <w:highlight w:val="none"/>
                <w:lang w:val="en-US" w:eastAsia="zh-CN" w:bidi="ar-SA"/>
              </w:rPr>
              <w:t>-2</w:t>
            </w:r>
            <w:r>
              <w:rPr>
                <w:rFonts w:hint="default" w:ascii="Times New Roman" w:hAnsi="Times New Roman" w:eastAsia="宋体" w:cs="Times New Roman"/>
                <w:b/>
                <w:bCs/>
                <w:color w:val="auto"/>
                <w:kern w:val="2"/>
                <w:sz w:val="24"/>
                <w:szCs w:val="24"/>
                <w:highlight w:val="none"/>
                <w:lang w:val="en-US" w:eastAsia="zh-CN" w:bidi="ar-SA"/>
              </w:rPr>
              <w:t xml:space="preserve"> 建设项目环境影响评价分类管理名录</w:t>
            </w:r>
          </w:p>
          <w:tbl>
            <w:tblPr>
              <w:tblStyle w:val="21"/>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19"/>
              <w:gridCol w:w="2265"/>
              <w:gridCol w:w="900"/>
              <w:gridCol w:w="2340"/>
              <w:gridCol w:w="1165"/>
            </w:tblGrid>
            <w:tr w14:paraId="25250C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84" w:type="dxa"/>
                  <w:gridSpan w:val="2"/>
                  <w:tcBorders>
                    <w:tl2br w:val="nil"/>
                    <w:tr2bl w:val="nil"/>
                  </w:tcBorders>
                </w:tcPr>
                <w:p w14:paraId="137EF0BC">
                  <w:pPr>
                    <w:adjustRightInd w:val="0"/>
                    <w:snapToGrid w:val="0"/>
                    <w:jc w:val="right"/>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cs="Times New Roman"/>
                      <w:color w:val="auto"/>
                      <w:sz w:val="21"/>
                      <w:highlight w:val="none"/>
                    </w:rPr>
                    <mc:AlternateContent>
                      <mc:Choice Requires="wps">
                        <w:drawing>
                          <wp:anchor distT="0" distB="0" distL="114300" distR="114300" simplePos="0" relativeHeight="251666432" behindDoc="0" locked="0" layoutInCell="1" allowOverlap="1">
                            <wp:simplePos x="0" y="0"/>
                            <wp:positionH relativeFrom="column">
                              <wp:posOffset>-56515</wp:posOffset>
                            </wp:positionH>
                            <wp:positionV relativeFrom="paragraph">
                              <wp:posOffset>-4445</wp:posOffset>
                            </wp:positionV>
                            <wp:extent cx="1609725" cy="323850"/>
                            <wp:effectExtent l="1270" t="6350" r="8255" b="12700"/>
                            <wp:wrapNone/>
                            <wp:docPr id="39" name="直接连接符 39"/>
                            <wp:cNvGraphicFramePr/>
                            <a:graphic xmlns:a="http://schemas.openxmlformats.org/drawingml/2006/main">
                              <a:graphicData uri="http://schemas.microsoft.com/office/word/2010/wordprocessingShape">
                                <wps:wsp>
                                  <wps:cNvCnPr/>
                                  <wps:spPr>
                                    <a:xfrm>
                                      <a:off x="2342515" y="6812915"/>
                                      <a:ext cx="1609725" cy="32385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45pt;margin-top:-0.35pt;height:25.5pt;width:126.75pt;z-index:251666432;mso-width-relative:page;mso-height-relative:page;" filled="f" stroked="t" coordsize="21600,21600" o:gfxdata="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svvordgAAAAHAQAADwAAAAAAAAABACAAAAAiAAAAZHJzL2Rvd25yZXYueG1s&#10;UEsBAhQAFAAAAAgAh07iQEmu3tj4AQAAxQMAAA4AAAAAAAAAAQAgAAAAJwEAAGRycy9lMm9Eb2Mu&#10;eG1sUEsFBgAAAAAGAAYAWQEAAJEFAAAAAA==&#10;">
                            <v:fill on="f" focussize="0,0"/>
                            <v:stroke weight="1pt" color="#000000 [3213]" miterlimit="8" joinstyle="miter"/>
                            <v:imagedata o:title=""/>
                            <o:lock v:ext="edit" aspectratio="f"/>
                          </v:line>
                        </w:pict>
                      </mc:Fallback>
                    </mc:AlternateContent>
                  </w:r>
                  <w:r>
                    <w:rPr>
                      <w:rFonts w:hint="default" w:ascii="Times New Roman" w:hAnsi="Times New Roman" w:eastAsia="宋体" w:cs="Times New Roman"/>
                      <w:color w:val="auto"/>
                      <w:kern w:val="21"/>
                      <w:sz w:val="21"/>
                      <w:szCs w:val="21"/>
                      <w:highlight w:val="none"/>
                      <w:lang w:val="en-US" w:eastAsia="zh-CN"/>
                    </w:rPr>
                    <w:t>环评类别</w:t>
                  </w:r>
                </w:p>
                <w:p w14:paraId="16DBCA65">
                  <w:pPr>
                    <w:adjustRightInd w:val="0"/>
                    <w:snapToGrid w:val="0"/>
                    <w:jc w:val="left"/>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项目类别</w:t>
                  </w:r>
                </w:p>
              </w:tc>
              <w:tc>
                <w:tcPr>
                  <w:tcW w:w="900" w:type="dxa"/>
                  <w:tcBorders>
                    <w:tl2br w:val="nil"/>
                    <w:tr2bl w:val="nil"/>
                  </w:tcBorders>
                  <w:vAlign w:val="center"/>
                </w:tcPr>
                <w:p w14:paraId="19642C92">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报告书</w:t>
                  </w:r>
                </w:p>
              </w:tc>
              <w:tc>
                <w:tcPr>
                  <w:tcW w:w="2340" w:type="dxa"/>
                  <w:tcBorders>
                    <w:tl2br w:val="nil"/>
                    <w:tr2bl w:val="nil"/>
                  </w:tcBorders>
                  <w:vAlign w:val="center"/>
                </w:tcPr>
                <w:p w14:paraId="4F9B2E33">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报告表</w:t>
                  </w:r>
                </w:p>
              </w:tc>
              <w:tc>
                <w:tcPr>
                  <w:tcW w:w="1165" w:type="dxa"/>
                  <w:tcBorders>
                    <w:tl2br w:val="nil"/>
                    <w:tr2bl w:val="nil"/>
                  </w:tcBorders>
                  <w:vAlign w:val="center"/>
                </w:tcPr>
                <w:p w14:paraId="2F8A0CE9">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登记表</w:t>
                  </w:r>
                </w:p>
              </w:tc>
            </w:tr>
            <w:tr w14:paraId="0848DE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6989" w:type="dxa"/>
                  <w:gridSpan w:val="5"/>
                  <w:tcBorders>
                    <w:tl2br w:val="nil"/>
                    <w:tr2bl w:val="nil"/>
                  </w:tcBorders>
                </w:tcPr>
                <w:p w14:paraId="65746FF8">
                  <w:pPr>
                    <w:adjustRightInd w:val="0"/>
                    <w:snapToGrid w:val="0"/>
                    <w:jc w:val="left"/>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四、煤炭开采和洗选</w:t>
                  </w:r>
                </w:p>
              </w:tc>
            </w:tr>
            <w:tr w14:paraId="7EE703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9" w:type="dxa"/>
                  <w:tcBorders>
                    <w:tl2br w:val="nil"/>
                    <w:tr2bl w:val="nil"/>
                  </w:tcBorders>
                  <w:vAlign w:val="center"/>
                </w:tcPr>
                <w:p w14:paraId="64293EF5">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6</w:t>
                  </w:r>
                </w:p>
              </w:tc>
              <w:tc>
                <w:tcPr>
                  <w:tcW w:w="2265" w:type="dxa"/>
                  <w:tcBorders>
                    <w:tl2br w:val="nil"/>
                    <w:tr2bl w:val="nil"/>
                  </w:tcBorders>
                  <w:vAlign w:val="center"/>
                </w:tcPr>
                <w:p w14:paraId="377418FA">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烟煤和无烟煤开采洗选061；褐煤开采洗选062；其他煤炭采选069</w:t>
                  </w:r>
                </w:p>
              </w:tc>
              <w:tc>
                <w:tcPr>
                  <w:tcW w:w="900" w:type="dxa"/>
                  <w:tcBorders>
                    <w:tl2br w:val="nil"/>
                    <w:tr2bl w:val="nil"/>
                  </w:tcBorders>
                  <w:vAlign w:val="center"/>
                </w:tcPr>
                <w:p w14:paraId="0C333964">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煤炭开采</w:t>
                  </w:r>
                </w:p>
              </w:tc>
              <w:tc>
                <w:tcPr>
                  <w:tcW w:w="2340" w:type="dxa"/>
                  <w:tcBorders>
                    <w:tl2br w:val="nil"/>
                    <w:tr2bl w:val="nil"/>
                  </w:tcBorders>
                  <w:vAlign w:val="center"/>
                </w:tcPr>
                <w:p w14:paraId="64A9D530">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b w:val="0"/>
                      <w:bCs w:val="0"/>
                      <w:color w:val="auto"/>
                      <w:kern w:val="2"/>
                      <w:sz w:val="21"/>
                      <w:szCs w:val="21"/>
                      <w:highlight w:val="none"/>
                      <w:lang w:val="en-US" w:eastAsia="zh-CN" w:bidi="ar-SA"/>
                    </w:rPr>
                    <w:t>煤炭洗选、配煤；煤炭储存、集运；风井场地、瓦斯抽放站；矿区修复治理工程</w:t>
                  </w:r>
                </w:p>
              </w:tc>
              <w:tc>
                <w:tcPr>
                  <w:tcW w:w="1165" w:type="dxa"/>
                  <w:tcBorders>
                    <w:tl2br w:val="nil"/>
                    <w:tr2bl w:val="nil"/>
                  </w:tcBorders>
                  <w:vAlign w:val="center"/>
                </w:tcPr>
                <w:p w14:paraId="1F62CE4B">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w:t>
                  </w:r>
                </w:p>
              </w:tc>
            </w:tr>
          </w:tbl>
          <w:p w14:paraId="117C6619">
            <w:pPr>
              <w:pStyle w:val="3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本项目为储煤场建设项目，属于</w:t>
            </w:r>
            <w:r>
              <w:rPr>
                <w:rFonts w:hint="default" w:ascii="Times New Roman" w:hAnsi="Times New Roman" w:eastAsia="宋体" w:cs="Times New Roman"/>
                <w:color w:val="auto"/>
                <w:highlight w:val="none"/>
                <w:lang w:val="en-US" w:eastAsia="zh-CN"/>
              </w:rPr>
              <w:t>利用固定场所进行煤炭储存和销售，根据上表可知，项目应编制环境影响评价技术文件类型为环境影响评价报告表。</w:t>
            </w:r>
          </w:p>
          <w:p w14:paraId="7CA5D012">
            <w:pPr>
              <w:pStyle w:val="30"/>
              <w:spacing w:line="360" w:lineRule="auto"/>
              <w:ind w:firstLine="0"/>
              <w:rPr>
                <w:rFonts w:hint="default" w:ascii="Times New Roman" w:hAnsi="Times New Roman" w:cs="Times New Roman"/>
                <w:b/>
                <w:color w:val="auto"/>
                <w:highlight w:val="none"/>
              </w:rPr>
            </w:pPr>
            <w:r>
              <w:rPr>
                <w:rFonts w:hint="default" w:ascii="Times New Roman" w:hAnsi="Times New Roman" w:cs="Times New Roman"/>
                <w:b/>
                <w:color w:val="auto"/>
                <w:highlight w:val="none"/>
                <w:lang w:val="en-US" w:eastAsia="zh-CN"/>
              </w:rPr>
              <w:t>3、</w:t>
            </w:r>
            <w:r>
              <w:rPr>
                <w:rFonts w:hint="default" w:ascii="Times New Roman" w:hAnsi="Times New Roman" w:cs="Times New Roman"/>
                <w:b/>
                <w:color w:val="auto"/>
                <w:highlight w:val="none"/>
              </w:rPr>
              <w:t>选址合理性分析</w:t>
            </w:r>
          </w:p>
          <w:p w14:paraId="07838FD7">
            <w:pPr>
              <w:autoSpaceDE w:val="0"/>
              <w:autoSpaceDN w:val="0"/>
              <w:adjustRightInd w:val="0"/>
              <w:snapToGrid w:val="0"/>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lang w:val="en-US" w:eastAsia="zh-CN"/>
              </w:rPr>
              <w:t>本项目国民经济属于B0610烟煤和无烟煤开采洗选，位于鸡西市鸡冠区西郊乡团结村，南侧为储煤场企业、林地，北侧为天信砖厂厂房，西侧为储煤场企业，东侧为安盛煤矿闲置场地，本项目用地性质为工业用地，符合土地利用规划要求</w:t>
            </w:r>
            <w:r>
              <w:rPr>
                <w:rFonts w:hint="default" w:ascii="Times New Roman" w:hAnsi="Times New Roman" w:cs="Times New Roman"/>
                <w:color w:val="auto"/>
                <w:kern w:val="0"/>
                <w:sz w:val="24"/>
              </w:rPr>
              <w:t>。</w:t>
            </w:r>
            <w:r>
              <w:rPr>
                <w:rFonts w:hint="default" w:ascii="Times New Roman" w:hAnsi="Times New Roman" w:cs="Times New Roman"/>
                <w:color w:val="auto"/>
                <w:kern w:val="0"/>
                <w:sz w:val="24"/>
                <w:lang w:val="en-US" w:eastAsia="zh-CN"/>
              </w:rPr>
              <w:t>厂界外50米无声环境保护目标，厂界外500米无大气环境保护目标，</w:t>
            </w:r>
            <w:r>
              <w:rPr>
                <w:rFonts w:hint="default" w:ascii="Times New Roman" w:hAnsi="Times New Roman" w:cs="Times New Roman"/>
                <w:color w:val="auto"/>
                <w:kern w:val="0"/>
                <w:sz w:val="24"/>
              </w:rPr>
              <w:t>项目区及周围无自然保护区，无风景名胜区，也未发现珍稀保护动植物，属一般区域。本项目所在地地势平坦，厂区地理位置交通便利，基础设施</w:t>
            </w:r>
            <w:r>
              <w:rPr>
                <w:rFonts w:hint="default" w:ascii="Times New Roman" w:hAnsi="Times New Roman" w:cs="Times New Roman"/>
                <w:color w:val="auto"/>
                <w:kern w:val="0"/>
                <w:sz w:val="24"/>
                <w:lang w:val="en-US" w:eastAsia="zh-CN"/>
              </w:rPr>
              <w:t>齐全，</w:t>
            </w:r>
            <w:r>
              <w:rPr>
                <w:rFonts w:hint="default" w:ascii="Times New Roman" w:hAnsi="Times New Roman" w:cs="Times New Roman"/>
                <w:color w:val="auto"/>
                <w:kern w:val="0"/>
                <w:sz w:val="24"/>
              </w:rPr>
              <w:t>运输车辆向东侧行驶200米进入331国道，项目所在团结村均已拆迁，运输路线不经过居民区等环境敏感目标</w:t>
            </w:r>
            <w:r>
              <w:rPr>
                <w:rFonts w:hint="default" w:ascii="Times New Roman" w:hAnsi="Times New Roman" w:cs="Times New Roman"/>
                <w:color w:val="auto"/>
                <w:kern w:val="0"/>
                <w:sz w:val="24"/>
                <w:lang w:eastAsia="zh-CN"/>
              </w:rPr>
              <w:t>。</w:t>
            </w:r>
            <w:r>
              <w:rPr>
                <w:rFonts w:hint="default" w:ascii="Times New Roman" w:hAnsi="Times New Roman" w:cs="Times New Roman"/>
                <w:color w:val="auto"/>
                <w:kern w:val="0"/>
                <w:sz w:val="24"/>
              </w:rPr>
              <w:t>项目不在风景名胜区、自然保护区、水源保护区及其他需要特别保护的区域内，没有明显的环境制约因素。</w:t>
            </w:r>
          </w:p>
          <w:p w14:paraId="5A296DD5">
            <w:pPr>
              <w:autoSpaceDE w:val="0"/>
              <w:autoSpaceDN w:val="0"/>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eastAsia="宋体" w:cs="Times New Roman"/>
                <w:color w:val="auto"/>
                <w:kern w:val="0"/>
                <w:sz w:val="24"/>
                <w:lang w:val="en-US" w:eastAsia="zh-CN"/>
              </w:rPr>
              <w:t>本项目不属于高污染高耗能项目，项目仅用于贮存和销售周边其他煤矿生产的煤炭；</w:t>
            </w:r>
            <w:r>
              <w:rPr>
                <w:rFonts w:hint="default" w:ascii="Times New Roman" w:hAnsi="Times New Roman" w:eastAsia="宋体" w:cs="Times New Roman"/>
                <w:color w:val="auto"/>
                <w:kern w:val="0"/>
                <w:sz w:val="24"/>
                <w:szCs w:val="24"/>
                <w:lang w:val="en-US" w:eastAsia="zh-CN"/>
              </w:rPr>
              <w:t>项目生产中有无组织粉尘产生，</w:t>
            </w:r>
            <w:r>
              <w:rPr>
                <w:rFonts w:hint="default" w:ascii="Times New Roman" w:hAnsi="Times New Roman" w:cs="Times New Roman"/>
                <w:color w:val="auto"/>
                <w:kern w:val="0"/>
                <w:sz w:val="24"/>
                <w:szCs w:val="24"/>
                <w:lang w:val="en-US" w:eastAsia="zh-CN"/>
              </w:rPr>
              <w:t>煤炭堆场</w:t>
            </w:r>
            <w:r>
              <w:rPr>
                <w:rFonts w:hint="default" w:ascii="Times New Roman" w:hAnsi="Times New Roman" w:eastAsia="宋体" w:cs="Times New Roman"/>
                <w:color w:val="auto"/>
                <w:kern w:val="0"/>
                <w:sz w:val="24"/>
                <w:szCs w:val="24"/>
                <w:lang w:val="en-US" w:eastAsia="zh-CN"/>
              </w:rPr>
              <w:t>采用防风抑尘网、洒水</w:t>
            </w:r>
            <w:r>
              <w:rPr>
                <w:rFonts w:hint="default" w:ascii="Times New Roman" w:hAnsi="Times New Roman" w:cs="Times New Roman"/>
                <w:color w:val="auto"/>
                <w:kern w:val="0"/>
                <w:sz w:val="24"/>
                <w:szCs w:val="24"/>
                <w:lang w:val="en-US" w:eastAsia="zh-CN"/>
              </w:rPr>
              <w:t>降尘</w:t>
            </w:r>
            <w:r>
              <w:rPr>
                <w:rFonts w:hint="default" w:ascii="Times New Roman" w:hAnsi="Times New Roman" w:eastAsia="宋体" w:cs="Times New Roman"/>
                <w:color w:val="auto"/>
                <w:kern w:val="0"/>
                <w:sz w:val="24"/>
                <w:szCs w:val="24"/>
                <w:lang w:val="en-US" w:eastAsia="zh-CN"/>
              </w:rPr>
              <w:t>、苫盖等措施</w:t>
            </w:r>
            <w:r>
              <w:rPr>
                <w:rFonts w:hint="default" w:ascii="Times New Roman" w:hAnsi="Times New Roman" w:cs="Times New Roman"/>
                <w:color w:val="auto"/>
                <w:kern w:val="0"/>
                <w:sz w:val="24"/>
                <w:szCs w:val="24"/>
                <w:lang w:val="en-US" w:eastAsia="zh-CN"/>
              </w:rPr>
              <w:t>，运输过程中要加强厂区内道路养护，保障路面平整，控制汽车行驶速度，运输车辆采用苫布苫盖，同时采取洒水抑尘的措施后，煤炭堆场及运输产生的</w:t>
            </w:r>
            <w:r>
              <w:rPr>
                <w:rFonts w:hint="default" w:ascii="Times New Roman" w:hAnsi="Times New Roman" w:eastAsia="宋体" w:cs="Times New Roman"/>
                <w:color w:val="auto"/>
                <w:kern w:val="0"/>
                <w:sz w:val="24"/>
                <w:szCs w:val="24"/>
                <w:lang w:val="en-US" w:eastAsia="zh-CN"/>
              </w:rPr>
              <w:t>粉尘能够满足</w:t>
            </w:r>
            <w:r>
              <w:rPr>
                <w:rFonts w:hint="default" w:ascii="Times New Roman" w:hAnsi="Times New Roman" w:cs="Times New Roman"/>
                <w:color w:val="auto"/>
                <w:kern w:val="0"/>
                <w:sz w:val="24"/>
                <w:highlight w:val="none"/>
                <w:lang w:eastAsia="zh-CN"/>
              </w:rPr>
              <w:t>《煤炭工业污染物排放标准》（GB20426-2006）中表5无组织限制排放标准</w:t>
            </w:r>
            <w:r>
              <w:rPr>
                <w:rFonts w:hint="default" w:ascii="Times New Roman" w:hAnsi="Times New Roman" w:eastAsia="宋体" w:cs="Times New Roman"/>
                <w:color w:val="auto"/>
                <w:kern w:val="0"/>
                <w:sz w:val="24"/>
                <w:szCs w:val="24"/>
                <w:lang w:val="en-US" w:eastAsia="zh-CN"/>
              </w:rPr>
              <w:t>；项目无生产废水产生，生活废水排入防渗旱厕，定期外运堆肥；</w:t>
            </w:r>
            <w:r>
              <w:rPr>
                <w:rFonts w:hint="default" w:ascii="Times New Roman" w:hAnsi="Times New Roman" w:cs="Times New Roman"/>
                <w:color w:val="auto"/>
                <w:sz w:val="24"/>
                <w:highlight w:val="none"/>
              </w:rPr>
              <w:t>生产设备选用低噪声设备，采取隔声、降噪等措施，厂界噪声满足《工业企业厂界环境噪声排放标准》（GB12348-2008）表1中2类标准要求；生活垃圾由市政部门统一处理；</w:t>
            </w:r>
            <w:r>
              <w:rPr>
                <w:rFonts w:hint="default" w:ascii="Times New Roman" w:hAnsi="Times New Roman" w:cs="Times New Roman"/>
                <w:color w:val="auto"/>
                <w:sz w:val="24"/>
                <w:highlight w:val="none"/>
                <w:lang w:eastAsia="zh-CN"/>
              </w:rPr>
              <w:t>初期</w:t>
            </w:r>
            <w:r>
              <w:rPr>
                <w:rFonts w:hint="default" w:ascii="Times New Roman" w:hAnsi="Times New Roman" w:cs="Times New Roman"/>
                <w:color w:val="auto"/>
                <w:sz w:val="24"/>
                <w:highlight w:val="none"/>
                <w:lang w:val="en-US" w:eastAsia="zh-CN"/>
              </w:rPr>
              <w:t>雨水收集池沉渣</w:t>
            </w:r>
            <w:r>
              <w:rPr>
                <w:rFonts w:hint="default" w:ascii="Times New Roman" w:hAnsi="Times New Roman" w:cs="Times New Roman"/>
                <w:color w:val="auto"/>
                <w:sz w:val="24"/>
                <w:highlight w:val="none"/>
              </w:rPr>
              <w:t>进行资源化利用，定期清运</w:t>
            </w:r>
            <w:r>
              <w:rPr>
                <w:rFonts w:hint="default" w:ascii="Times New Roman" w:hAnsi="Times New Roman" w:cs="Times New Roman"/>
                <w:color w:val="auto"/>
                <w:sz w:val="24"/>
                <w:highlight w:val="none"/>
                <w:lang w:eastAsia="zh-CN"/>
              </w:rPr>
              <w:t>；废机油统一暂存于危险废物贮存点，委托有资质单位处置。</w:t>
            </w:r>
            <w:r>
              <w:rPr>
                <w:rFonts w:hint="default" w:ascii="Times New Roman" w:hAnsi="Times New Roman" w:cs="Times New Roman"/>
                <w:color w:val="auto"/>
                <w:sz w:val="24"/>
                <w:szCs w:val="24"/>
                <w:highlight w:val="none"/>
              </w:rPr>
              <w:t>一</w:t>
            </w:r>
            <w:r>
              <w:rPr>
                <w:rFonts w:hint="default" w:ascii="Times New Roman" w:hAnsi="Times New Roman" w:cs="Times New Roman"/>
                <w:color w:val="auto"/>
                <w:sz w:val="24"/>
                <w:highlight w:val="none"/>
                <w:lang w:eastAsia="zh-CN"/>
              </w:rPr>
              <w:t>般固废执行《一般工业固体废物贮存和填埋污染控制标准》（GB18599-2020）、《固体废物分类与代码目录》（公告2024年第4号）标准要求，</w:t>
            </w:r>
            <w:r>
              <w:rPr>
                <w:rFonts w:hint="default" w:ascii="Times New Roman" w:hAnsi="Times New Roman" w:cs="Times New Roman"/>
                <w:color w:val="auto"/>
                <w:sz w:val="24"/>
                <w:highlight w:val="none"/>
                <w:lang w:val="en-US" w:eastAsia="zh-CN"/>
              </w:rPr>
              <w:t>危险废物贮存符合</w:t>
            </w:r>
            <w:r>
              <w:rPr>
                <w:rFonts w:hint="default" w:ascii="Times New Roman" w:hAnsi="Times New Roman" w:cs="Times New Roman"/>
                <w:color w:val="auto"/>
                <w:sz w:val="24"/>
                <w:highlight w:val="none"/>
                <w:lang w:eastAsia="zh-CN"/>
              </w:rPr>
              <w:t>《危险废物贮存污染控制标准》（GB18597-20</w:t>
            </w:r>
            <w:r>
              <w:rPr>
                <w:rFonts w:hint="default" w:ascii="Times New Roman" w:hAnsi="Times New Roman" w:cs="Times New Roman"/>
                <w:color w:val="auto"/>
                <w:sz w:val="24"/>
                <w:highlight w:val="none"/>
                <w:lang w:val="en-US" w:eastAsia="zh-CN"/>
              </w:rPr>
              <w:t>23</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w:t>
            </w:r>
          </w:p>
          <w:p w14:paraId="3D081AF5">
            <w:pPr>
              <w:autoSpaceDE w:val="0"/>
              <w:autoSpaceDN w:val="0"/>
              <w:adjustRightInd w:val="0"/>
              <w:snapToGrid w:val="0"/>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lang w:val="en-US" w:eastAsia="zh-CN"/>
              </w:rPr>
              <w:t>综上所述，</w:t>
            </w:r>
            <w:r>
              <w:rPr>
                <w:rFonts w:hint="default" w:ascii="Times New Roman" w:hAnsi="Times New Roman" w:cs="Times New Roman"/>
                <w:color w:val="auto"/>
                <w:sz w:val="24"/>
                <w:highlight w:val="none"/>
              </w:rPr>
              <w:t>本项目各项污染物经过有效的污染治理措施后对环境影响较小</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从环保的角度分析本项目的选址是合理的</w:t>
            </w:r>
            <w:r>
              <w:rPr>
                <w:rFonts w:hint="default" w:ascii="Times New Roman" w:hAnsi="Times New Roman" w:cs="Times New Roman"/>
                <w:color w:val="auto"/>
                <w:kern w:val="0"/>
                <w:sz w:val="24"/>
                <w:highlight w:val="none"/>
              </w:rPr>
              <w:t>。</w:t>
            </w:r>
          </w:p>
          <w:p w14:paraId="092198DB">
            <w:pPr>
              <w:spacing w:line="360" w:lineRule="auto"/>
              <w:jc w:val="left"/>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lang w:val="en-US" w:eastAsia="zh-CN"/>
              </w:rPr>
              <w:t>4</w:t>
            </w:r>
            <w:r>
              <w:rPr>
                <w:rFonts w:hint="default" w:ascii="Times New Roman" w:hAnsi="Times New Roman" w:cs="Times New Roman"/>
                <w:b/>
                <w:color w:val="auto"/>
                <w:sz w:val="24"/>
                <w:highlight w:val="none"/>
              </w:rPr>
              <w:t>、</w:t>
            </w:r>
            <w:r>
              <w:rPr>
                <w:rFonts w:hint="default" w:ascii="Times New Roman" w:hAnsi="Times New Roman" w:cs="Times New Roman"/>
                <w:b/>
                <w:color w:val="auto"/>
                <w:sz w:val="24"/>
                <w:highlight w:val="none"/>
                <w:lang w:eastAsia="zh-CN"/>
              </w:rPr>
              <w:t>“</w:t>
            </w:r>
            <w:r>
              <w:rPr>
                <w:rFonts w:hint="default" w:ascii="Times New Roman" w:hAnsi="Times New Roman" w:cs="Times New Roman"/>
                <w:b/>
                <w:color w:val="auto"/>
                <w:sz w:val="24"/>
                <w:highlight w:val="none"/>
              </w:rPr>
              <w:t>生态环境分区管控分析报告</w:t>
            </w:r>
            <w:r>
              <w:rPr>
                <w:rFonts w:hint="default" w:ascii="Times New Roman" w:hAnsi="Times New Roman" w:cs="Times New Roman"/>
                <w:b/>
                <w:color w:val="auto"/>
                <w:sz w:val="24"/>
                <w:highlight w:val="none"/>
                <w:lang w:eastAsia="zh-CN"/>
              </w:rPr>
              <w:t>”</w:t>
            </w:r>
            <w:r>
              <w:rPr>
                <w:rFonts w:hint="default" w:ascii="Times New Roman" w:hAnsi="Times New Roman" w:cs="Times New Roman"/>
                <w:b/>
                <w:color w:val="auto"/>
                <w:sz w:val="24"/>
                <w:highlight w:val="none"/>
              </w:rPr>
              <w:t>符合性</w:t>
            </w:r>
          </w:p>
          <w:p w14:paraId="2A9087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kern w:val="0"/>
                <w:sz w:val="24"/>
                <w:szCs w:val="24"/>
                <w:highlight w:val="none"/>
                <w:lang w:eastAsia="zh-CN" w:bidi="ar"/>
              </w:rPr>
            </w:pPr>
            <w:r>
              <w:rPr>
                <w:rFonts w:hint="default" w:ascii="Times New Roman" w:hAnsi="Times New Roman" w:cs="Times New Roman"/>
                <w:color w:val="auto"/>
                <w:kern w:val="0"/>
                <w:sz w:val="24"/>
                <w:szCs w:val="24"/>
                <w:highlight w:val="none"/>
                <w:lang w:bidi="ar"/>
              </w:rPr>
              <w:t>本项目位于</w:t>
            </w:r>
            <w:r>
              <w:rPr>
                <w:rFonts w:hint="default" w:ascii="Times New Roman" w:hAnsi="Times New Roman" w:cs="Times New Roman"/>
                <w:color w:val="auto"/>
                <w:sz w:val="24"/>
                <w:szCs w:val="24"/>
                <w:highlight w:val="none"/>
                <w:lang w:val="en-US" w:eastAsia="zh-CN"/>
              </w:rPr>
              <w:t>黑龙江省鸡西市鸡冠区西郊乡团结村</w:t>
            </w:r>
            <w:r>
              <w:rPr>
                <w:rFonts w:hint="default" w:ascii="Times New Roman" w:hAnsi="Times New Roman" w:cs="Times New Roman"/>
                <w:color w:val="auto"/>
                <w:sz w:val="24"/>
                <w:szCs w:val="24"/>
                <w:highlight w:val="none"/>
              </w:rPr>
              <w:t>，根据</w:t>
            </w:r>
            <w:r>
              <w:rPr>
                <w:rFonts w:hint="default" w:ascii="Times New Roman" w:hAnsi="Times New Roman" w:cs="Times New Roman"/>
                <w:color w:val="auto"/>
                <w:kern w:val="0"/>
                <w:sz w:val="24"/>
                <w:szCs w:val="24"/>
                <w:highlight w:val="none"/>
                <w:lang w:bidi="ar"/>
              </w:rPr>
              <w:t>《黑龙江省人民政府关于实施</w:t>
            </w:r>
            <w:r>
              <w:rPr>
                <w:rFonts w:hint="default" w:ascii="Times New Roman" w:hAnsi="Times New Roman" w:eastAsia="宋体" w:cs="Times New Roman"/>
                <w:color w:val="auto"/>
                <w:kern w:val="0"/>
                <w:sz w:val="24"/>
                <w:szCs w:val="24"/>
                <w:highlight w:val="none"/>
                <w:lang w:bidi="ar"/>
              </w:rPr>
              <w:t>“三线一单”生</w:t>
            </w:r>
            <w:r>
              <w:rPr>
                <w:rFonts w:hint="default" w:ascii="Times New Roman" w:hAnsi="Times New Roman" w:cs="Times New Roman"/>
                <w:color w:val="auto"/>
                <w:kern w:val="0"/>
                <w:sz w:val="24"/>
                <w:szCs w:val="24"/>
                <w:highlight w:val="none"/>
                <w:lang w:bidi="ar"/>
              </w:rPr>
              <w:t>态环境分区管控的意见》（黑政发〔2020〕14号）、《</w:t>
            </w:r>
            <w:r>
              <w:rPr>
                <w:rFonts w:hint="default" w:ascii="Times New Roman" w:hAnsi="Times New Roman" w:cs="Times New Roman"/>
                <w:color w:val="auto"/>
                <w:kern w:val="0"/>
                <w:sz w:val="24"/>
                <w:szCs w:val="24"/>
                <w:highlight w:val="none"/>
                <w:lang w:eastAsia="zh-CN" w:bidi="ar"/>
              </w:rPr>
              <w:t>鸡西</w:t>
            </w:r>
            <w:r>
              <w:rPr>
                <w:rFonts w:hint="default" w:ascii="Times New Roman" w:hAnsi="Times New Roman" w:cs="Times New Roman"/>
                <w:color w:val="auto"/>
                <w:kern w:val="0"/>
                <w:sz w:val="24"/>
                <w:szCs w:val="24"/>
                <w:highlight w:val="none"/>
                <w:lang w:bidi="ar"/>
              </w:rPr>
              <w:t>市人民政府关于实施</w:t>
            </w:r>
            <w:r>
              <w:rPr>
                <w:rFonts w:hint="eastAsia" w:cs="Times New Roman"/>
                <w:color w:val="auto"/>
                <w:kern w:val="0"/>
                <w:sz w:val="24"/>
                <w:szCs w:val="24"/>
                <w:highlight w:val="none"/>
                <w:lang w:eastAsia="zh-CN" w:bidi="ar"/>
              </w:rPr>
              <w:t>“</w:t>
            </w:r>
            <w:r>
              <w:rPr>
                <w:rFonts w:hint="default" w:ascii="Times New Roman" w:hAnsi="Times New Roman" w:eastAsia="宋体" w:cs="Times New Roman"/>
                <w:color w:val="auto"/>
                <w:kern w:val="0"/>
                <w:sz w:val="24"/>
                <w:szCs w:val="24"/>
                <w:highlight w:val="none"/>
                <w:lang w:bidi="ar"/>
              </w:rPr>
              <w:t>三线一单</w:t>
            </w:r>
            <w:r>
              <w:rPr>
                <w:rFonts w:hint="eastAsia" w:cs="Times New Roman"/>
                <w:color w:val="auto"/>
                <w:kern w:val="0"/>
                <w:sz w:val="24"/>
                <w:szCs w:val="24"/>
                <w:highlight w:val="none"/>
                <w:lang w:eastAsia="zh-CN" w:bidi="ar"/>
              </w:rPr>
              <w:t>”</w:t>
            </w:r>
            <w:r>
              <w:rPr>
                <w:rFonts w:hint="default" w:ascii="Times New Roman" w:hAnsi="Times New Roman" w:cs="Times New Roman"/>
                <w:color w:val="auto"/>
                <w:kern w:val="0"/>
                <w:sz w:val="24"/>
                <w:szCs w:val="24"/>
                <w:highlight w:val="none"/>
                <w:lang w:bidi="ar"/>
              </w:rPr>
              <w:t>生态环境分区管控的意见》（</w:t>
            </w:r>
            <w:r>
              <w:rPr>
                <w:rFonts w:hint="default" w:ascii="Times New Roman" w:hAnsi="Times New Roman" w:cs="Times New Roman"/>
                <w:color w:val="auto"/>
                <w:kern w:val="0"/>
                <w:sz w:val="24"/>
                <w:szCs w:val="24"/>
                <w:highlight w:val="none"/>
                <w:lang w:eastAsia="zh-CN" w:bidi="ar"/>
              </w:rPr>
              <w:t>鸡</w:t>
            </w:r>
            <w:r>
              <w:rPr>
                <w:rFonts w:hint="default" w:ascii="Times New Roman" w:hAnsi="Times New Roman" w:cs="Times New Roman"/>
                <w:color w:val="auto"/>
                <w:kern w:val="0"/>
                <w:sz w:val="24"/>
                <w:szCs w:val="24"/>
                <w:highlight w:val="none"/>
                <w:lang w:bidi="ar"/>
              </w:rPr>
              <w:t>政发〔2021〕</w:t>
            </w:r>
            <w:r>
              <w:rPr>
                <w:rFonts w:hint="default" w:ascii="Times New Roman" w:hAnsi="Times New Roman" w:cs="Times New Roman"/>
                <w:color w:val="auto"/>
                <w:kern w:val="0"/>
                <w:sz w:val="24"/>
                <w:szCs w:val="24"/>
                <w:highlight w:val="none"/>
                <w:lang w:val="en-US" w:eastAsia="zh-CN" w:bidi="ar"/>
              </w:rPr>
              <w:t>7</w:t>
            </w:r>
            <w:r>
              <w:rPr>
                <w:rFonts w:hint="default" w:ascii="Times New Roman" w:hAnsi="Times New Roman" w:cs="Times New Roman"/>
                <w:color w:val="auto"/>
                <w:kern w:val="0"/>
                <w:sz w:val="24"/>
                <w:szCs w:val="24"/>
                <w:highlight w:val="none"/>
                <w:lang w:bidi="ar"/>
              </w:rPr>
              <w:t>号）</w:t>
            </w:r>
            <w:r>
              <w:rPr>
                <w:rFonts w:hint="default" w:ascii="Times New Roman" w:hAnsi="Times New Roman" w:cs="Times New Roman"/>
                <w:color w:val="auto"/>
                <w:kern w:val="0"/>
                <w:sz w:val="24"/>
                <w:szCs w:val="24"/>
                <w:highlight w:val="none"/>
                <w:lang w:eastAsia="zh-CN" w:bidi="ar"/>
              </w:rPr>
              <w:t>、</w:t>
            </w:r>
            <w:r>
              <w:rPr>
                <w:rFonts w:hint="default" w:ascii="Times New Roman" w:hAnsi="Times New Roman" w:cs="Times New Roman"/>
                <w:color w:val="auto"/>
                <w:sz w:val="24"/>
              </w:rPr>
              <w:t>《鸡西市生态环境准入清单》（2023年版）</w:t>
            </w:r>
            <w:r>
              <w:rPr>
                <w:rFonts w:hint="default" w:ascii="Times New Roman" w:hAnsi="Times New Roman" w:cs="Times New Roman"/>
                <w:color w:val="auto"/>
                <w:kern w:val="0"/>
                <w:sz w:val="24"/>
                <w:szCs w:val="24"/>
                <w:highlight w:val="none"/>
                <w:lang w:eastAsia="zh-CN" w:bidi="ar"/>
              </w:rPr>
              <w:t>和《鸡西市启鹏煤炭销售有限公司建设项目生态环境分区管控分析报告》（见附件）</w:t>
            </w:r>
            <w:r>
              <w:rPr>
                <w:rFonts w:hint="default" w:ascii="Times New Roman" w:hAnsi="Times New Roman" w:cs="Times New Roman"/>
                <w:color w:val="auto"/>
                <w:kern w:val="0"/>
                <w:sz w:val="24"/>
                <w:szCs w:val="24"/>
                <w:highlight w:val="none"/>
                <w:lang w:bidi="ar"/>
              </w:rPr>
              <w:t>，</w:t>
            </w:r>
            <w:r>
              <w:rPr>
                <w:rFonts w:hint="default" w:ascii="Times New Roman" w:hAnsi="Times New Roman" w:cs="Times New Roman"/>
                <w:color w:val="auto"/>
                <w:kern w:val="0"/>
                <w:sz w:val="24"/>
                <w:szCs w:val="24"/>
                <w:highlight w:val="none"/>
                <w:lang w:eastAsia="zh-CN" w:bidi="ar"/>
              </w:rPr>
              <w:t>本项目与“生态环境分区管控”符合性如下：</w:t>
            </w:r>
          </w:p>
          <w:p w14:paraId="45BA23DF">
            <w:pPr>
              <w:pStyle w:val="16"/>
              <w:keepNext w:val="0"/>
              <w:keepLines w:val="0"/>
              <w:pageBreakBefore w:val="0"/>
              <w:numPr>
                <w:ilvl w:val="0"/>
                <w:numId w:val="0"/>
              </w:numPr>
              <w:suppressLineNumbers w:val="0"/>
              <w:kinsoku/>
              <w:wordWrap/>
              <w:overflowPunct/>
              <w:topLinePunct w:val="0"/>
              <w:bidi w:val="0"/>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z w:val="24"/>
                <w:szCs w:val="24"/>
                <w:lang w:eastAsia="zh-CN"/>
              </w:rPr>
            </w:pPr>
            <w:r>
              <w:rPr>
                <w:rFonts w:hint="default" w:ascii="Times New Roman" w:hAnsi="Times New Roman" w:eastAsia="宋体" w:cs="Times New Roman"/>
                <w:color w:val="auto"/>
                <w:kern w:val="2"/>
                <w:sz w:val="24"/>
                <w:szCs w:val="24"/>
                <w:lang w:val="en-US" w:eastAsia="zh-CN" w:bidi="ar-SA"/>
              </w:rPr>
              <w:t>（1）</w:t>
            </w:r>
            <w:r>
              <w:rPr>
                <w:rFonts w:hint="eastAsia" w:cs="Times New Roman"/>
                <w:color w:val="auto"/>
                <w:sz w:val="24"/>
                <w:szCs w:val="24"/>
                <w:lang w:eastAsia="zh-CN"/>
              </w:rPr>
              <w:t>“</w:t>
            </w:r>
            <w:r>
              <w:rPr>
                <w:rFonts w:hint="default" w:ascii="Times New Roman" w:hAnsi="Times New Roman" w:cs="Times New Roman"/>
                <w:color w:val="auto"/>
                <w:sz w:val="24"/>
                <w:szCs w:val="24"/>
                <w:lang w:eastAsia="zh-CN"/>
              </w:rPr>
              <w:t>一图</w:t>
            </w:r>
            <w:r>
              <w:rPr>
                <w:rFonts w:hint="eastAsia" w:cs="Times New Roman"/>
                <w:color w:val="auto"/>
                <w:sz w:val="24"/>
                <w:szCs w:val="24"/>
                <w:lang w:eastAsia="zh-CN"/>
              </w:rPr>
              <w:t>”</w:t>
            </w:r>
          </w:p>
          <w:p w14:paraId="0E17FB87">
            <w:pPr>
              <w:keepNext w:val="0"/>
              <w:keepLines w:val="0"/>
              <w:pageBreakBefore w:val="0"/>
              <w:numPr>
                <w:ilvl w:val="0"/>
                <w:numId w:val="0"/>
              </w:numPr>
              <w:suppressLineNumbers w:val="0"/>
              <w:kinsoku/>
              <w:wordWrap/>
              <w:overflowPunct/>
              <w:topLinePunct w:val="0"/>
              <w:bidi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cs="Times New Roman"/>
                <w:color w:val="auto"/>
                <w:sz w:val="24"/>
                <w:szCs w:val="24"/>
                <w:lang w:eastAsia="zh-CN"/>
              </w:rPr>
              <w:t>根据</w:t>
            </w:r>
            <w:r>
              <w:rPr>
                <w:rFonts w:hint="default" w:ascii="Times New Roman" w:hAnsi="Times New Roman" w:cs="Times New Roman"/>
                <w:color w:val="auto"/>
                <w:kern w:val="0"/>
                <w:sz w:val="24"/>
                <w:szCs w:val="24"/>
                <w:highlight w:val="none"/>
                <w:lang w:eastAsia="zh-CN" w:bidi="ar"/>
              </w:rPr>
              <w:t>《鸡西市启鹏煤炭销售有限公司建设项目生态环境分区管控分析报告》，项目与环境管控单元叠加图见图</w:t>
            </w:r>
            <w:r>
              <w:rPr>
                <w:rFonts w:hint="default" w:ascii="Times New Roman" w:hAnsi="Times New Roman" w:cs="Times New Roman"/>
                <w:color w:val="auto"/>
                <w:kern w:val="0"/>
                <w:sz w:val="24"/>
                <w:szCs w:val="24"/>
                <w:highlight w:val="none"/>
                <w:lang w:val="en-US" w:eastAsia="zh-CN" w:bidi="ar"/>
              </w:rPr>
              <w:t>1-1。</w:t>
            </w:r>
          </w:p>
          <w:p w14:paraId="569142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cs="Times New Roman"/>
                <w:color w:val="FF0000"/>
                <w:kern w:val="0"/>
                <w:sz w:val="24"/>
                <w:szCs w:val="24"/>
                <w:highlight w:val="none"/>
              </w:rPr>
            </w:pPr>
            <w:r>
              <w:rPr>
                <w:rFonts w:hint="default" w:ascii="Times New Roman" w:hAnsi="Times New Roman" w:cs="Times New Roman"/>
              </w:rPr>
              <w:drawing>
                <wp:inline distT="0" distB="0" distL="114300" distR="114300">
                  <wp:extent cx="4441825" cy="2336800"/>
                  <wp:effectExtent l="0" t="0" r="15875" b="635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3"/>
                          <a:stretch>
                            <a:fillRect/>
                          </a:stretch>
                        </pic:blipFill>
                        <pic:spPr>
                          <a:xfrm>
                            <a:off x="0" y="0"/>
                            <a:ext cx="4441825" cy="2336800"/>
                          </a:xfrm>
                          <a:prstGeom prst="rect">
                            <a:avLst/>
                          </a:prstGeom>
                          <a:noFill/>
                          <a:ln>
                            <a:noFill/>
                          </a:ln>
                        </pic:spPr>
                      </pic:pic>
                    </a:graphicData>
                  </a:graphic>
                </wp:inline>
              </w:drawing>
            </w:r>
          </w:p>
          <w:p w14:paraId="1E05DF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center"/>
              <w:textAlignment w:val="auto"/>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eastAsia="zh-CN"/>
              </w:rPr>
              <w:t>图</w:t>
            </w:r>
            <w:r>
              <w:rPr>
                <w:rFonts w:hint="default" w:ascii="Times New Roman" w:hAnsi="Times New Roman" w:eastAsia="宋体" w:cs="Times New Roman"/>
                <w:b/>
                <w:bCs/>
                <w:color w:val="auto"/>
                <w:kern w:val="0"/>
                <w:sz w:val="24"/>
                <w:szCs w:val="24"/>
                <w:highlight w:val="none"/>
                <w:lang w:val="en-US" w:eastAsia="zh-CN"/>
              </w:rPr>
              <w:t>1-1与生态环境分区管控叠加图</w:t>
            </w:r>
          </w:p>
          <w:p w14:paraId="07F4930B">
            <w:pPr>
              <w:pStyle w:val="50"/>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w:t>
            </w:r>
            <w:r>
              <w:rPr>
                <w:rFonts w:hint="eastAsia" w:cs="Times New Roman"/>
                <w:color w:val="auto"/>
                <w:sz w:val="24"/>
                <w:szCs w:val="24"/>
                <w:lang w:eastAsia="zh-CN"/>
              </w:rPr>
              <w:t>“</w:t>
            </w:r>
            <w:r>
              <w:rPr>
                <w:rFonts w:hint="default" w:ascii="Times New Roman" w:hAnsi="Times New Roman" w:eastAsia="宋体" w:cs="Times New Roman"/>
                <w:color w:val="auto"/>
                <w:sz w:val="24"/>
                <w:szCs w:val="24"/>
                <w:lang w:val="en-US" w:eastAsia="zh-CN"/>
              </w:rPr>
              <w:t>一表</w:t>
            </w:r>
            <w:r>
              <w:rPr>
                <w:rFonts w:hint="eastAsia" w:cs="Times New Roman"/>
                <w:color w:val="auto"/>
                <w:sz w:val="24"/>
                <w:szCs w:val="24"/>
                <w:lang w:val="en-US" w:eastAsia="zh-CN"/>
              </w:rPr>
              <w:t>”</w:t>
            </w:r>
          </w:p>
          <w:p w14:paraId="346552CF">
            <w:pPr>
              <w:pStyle w:val="50"/>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本项目与生态环境准入清单符合性情况见表1-</w:t>
            </w:r>
            <w:r>
              <w:rPr>
                <w:rFonts w:hint="default" w:ascii="Times New Roman" w:hAnsi="Times New Roman" w:cs="Times New Roman"/>
                <w:color w:val="auto"/>
                <w:sz w:val="24"/>
                <w:szCs w:val="24"/>
                <w:lang w:val="en-US" w:eastAsia="zh-CN"/>
              </w:rPr>
              <w:t>3</w:t>
            </w:r>
            <w:r>
              <w:rPr>
                <w:rFonts w:hint="default" w:ascii="Times New Roman" w:hAnsi="Times New Roman" w:eastAsia="宋体" w:cs="Times New Roman"/>
                <w:color w:val="auto"/>
                <w:sz w:val="24"/>
                <w:szCs w:val="24"/>
                <w:lang w:val="en-US" w:eastAsia="zh-CN"/>
              </w:rPr>
              <w:t>。</w:t>
            </w:r>
          </w:p>
          <w:p w14:paraId="30B4B2A4">
            <w:pPr>
              <w:keepNext w:val="0"/>
              <w:keepLines w:val="0"/>
              <w:suppressLineNumbers w:val="0"/>
              <w:bidi w:val="0"/>
              <w:spacing w:before="0" w:beforeAutospacing="0" w:after="0" w:afterAutospacing="0"/>
              <w:ind w:left="0" w:right="0"/>
              <w:jc w:val="center"/>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表1-</w:t>
            </w:r>
            <w:r>
              <w:rPr>
                <w:rFonts w:hint="default" w:ascii="Times New Roman" w:hAnsi="Times New Roman" w:cs="Times New Roman"/>
                <w:b/>
                <w:bCs/>
                <w:color w:val="auto"/>
                <w:sz w:val="24"/>
                <w:szCs w:val="24"/>
                <w:highlight w:val="none"/>
                <w:lang w:val="en-US" w:eastAsia="zh-CN"/>
              </w:rPr>
              <w:t xml:space="preserve">3   </w:t>
            </w:r>
            <w:r>
              <w:rPr>
                <w:rFonts w:hint="default" w:ascii="Times New Roman" w:hAnsi="Times New Roman" w:cs="Times New Roman"/>
                <w:b/>
                <w:bCs/>
                <w:color w:val="auto"/>
                <w:sz w:val="24"/>
                <w:szCs w:val="24"/>
                <w:highlight w:val="none"/>
              </w:rPr>
              <w:t>生态环境准入清单符合性分析</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9"/>
              <w:gridCol w:w="4291"/>
              <w:gridCol w:w="1539"/>
            </w:tblGrid>
            <w:tr w14:paraId="1D97EE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bottom w:val="single" w:color="auto" w:sz="4" w:space="0"/>
                  </w:tcBorders>
                  <w:noWrap w:val="0"/>
                  <w:vAlign w:val="center"/>
                </w:tcPr>
                <w:p w14:paraId="00BD186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一、生态保护红线</w:t>
                  </w:r>
                </w:p>
              </w:tc>
            </w:tr>
            <w:tr w14:paraId="1CAD59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132C3D2D">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lang w:val="en-US" w:eastAsia="zh-CN"/>
                    </w:rPr>
                    <w:t>根据《</w:t>
                  </w:r>
                  <w:r>
                    <w:rPr>
                      <w:rFonts w:hint="default" w:ascii="Times New Roman" w:hAnsi="Times New Roman" w:cs="Times New Roman"/>
                      <w:color w:val="auto"/>
                      <w:kern w:val="0"/>
                      <w:sz w:val="21"/>
                      <w:szCs w:val="21"/>
                      <w:highlight w:val="none"/>
                      <w:lang w:eastAsia="zh-CN" w:bidi="ar"/>
                    </w:rPr>
                    <w:t>鸡西市启鹏煤炭销售有限公司建设项目生态环境分区管控分析报告</w:t>
                  </w:r>
                  <w:r>
                    <w:rPr>
                      <w:rFonts w:hint="default" w:ascii="Times New Roman" w:hAnsi="Times New Roman" w:cs="Times New Roman"/>
                      <w:color w:val="auto"/>
                      <w:sz w:val="21"/>
                      <w:szCs w:val="21"/>
                      <w:lang w:val="en-US" w:eastAsia="zh-CN"/>
                    </w:rPr>
                    <w:t>》，本项目不涉及生态保护红线。</w:t>
                  </w:r>
                </w:p>
              </w:tc>
            </w:tr>
            <w:tr w14:paraId="095A44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6F5BC94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二、环境质量底线</w:t>
                  </w:r>
                </w:p>
              </w:tc>
            </w:tr>
            <w:tr w14:paraId="09AF04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30A370CA">
                  <w:pPr>
                    <w:pStyle w:val="53"/>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环境质量底线是国家和地方设置的大气、水和土壤环境质量目标，也是改善环境质量的基准线。项目环境影响评价应对照区域环境质量目标，深入分析预测项目建设对环境质量的影响，强化污染防治措施和污染物排放控制要求。</w:t>
                  </w:r>
                </w:p>
                <w:p w14:paraId="5F59A4C8">
                  <w:pPr>
                    <w:pStyle w:val="53"/>
                    <w:keepNext w:val="0"/>
                    <w:keepLines w:val="0"/>
                    <w:suppressLineNumbers w:val="0"/>
                    <w:spacing w:before="0" w:beforeAutospacing="0" w:after="0" w:afterAutospacing="0"/>
                    <w:ind w:left="0" w:right="0" w:firstLine="482"/>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1、大气环境</w:t>
                  </w:r>
                </w:p>
                <w:p w14:paraId="5A69AAD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highlight w:val="none"/>
                    </w:rPr>
                    <w:t>根据《202</w:t>
                  </w: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年黑龙江省生态环境</w:t>
                  </w:r>
                  <w:r>
                    <w:rPr>
                      <w:rFonts w:hint="default" w:ascii="Times New Roman" w:hAnsi="Times New Roman" w:cs="Times New Roman"/>
                      <w:color w:val="auto"/>
                      <w:sz w:val="21"/>
                      <w:szCs w:val="21"/>
                      <w:highlight w:val="none"/>
                      <w:lang w:val="en-US" w:eastAsia="zh-CN"/>
                    </w:rPr>
                    <w:t>质量</w:t>
                  </w:r>
                  <w:r>
                    <w:rPr>
                      <w:rFonts w:hint="default" w:ascii="Times New Roman" w:hAnsi="Times New Roman" w:cs="Times New Roman"/>
                      <w:color w:val="auto"/>
                      <w:sz w:val="21"/>
                      <w:szCs w:val="21"/>
                      <w:highlight w:val="none"/>
                    </w:rPr>
                    <w:t>状况》（202</w:t>
                  </w:r>
                  <w:r>
                    <w:rPr>
                      <w:rFonts w:hint="default"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年</w:t>
                  </w: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月），</w:t>
                  </w:r>
                  <w:r>
                    <w:rPr>
                      <w:rFonts w:hint="default" w:ascii="Times New Roman" w:hAnsi="Times New Roman" w:cs="Times New Roman"/>
                      <w:color w:val="auto"/>
                      <w:sz w:val="21"/>
                      <w:szCs w:val="21"/>
                      <w:highlight w:val="none"/>
                      <w:lang w:val="en-US" w:eastAsia="zh-CN"/>
                    </w:rPr>
                    <w:t>鸡西市空气质量级别达二级标准，PM2.5、PM10、SO2、NO2、CO-95per、O3-8h-90per年均浓度分别为27</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lang w:val="en-US" w:eastAsia="zh-CN"/>
                    </w:rPr>
                    <w:t>46</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、8</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、1</w:t>
                  </w:r>
                  <w:r>
                    <w:rPr>
                      <w:rFonts w:hint="default" w:ascii="Times New Roman" w:hAnsi="Times New Roman"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、1.0</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、和90</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kern w:val="21"/>
                      <w:sz w:val="21"/>
                      <w:szCs w:val="21"/>
                      <w:highlight w:val="none"/>
                      <w:lang w:val="en-US" w:eastAsia="zh-CN"/>
                    </w:rPr>
                    <w:t>均满足</w:t>
                  </w:r>
                  <w:r>
                    <w:rPr>
                      <w:rFonts w:hint="default" w:ascii="Times New Roman" w:hAnsi="Times New Roman" w:eastAsia="宋体" w:cs="Times New Roman"/>
                      <w:color w:val="auto"/>
                      <w:kern w:val="21"/>
                      <w:sz w:val="21"/>
                      <w:szCs w:val="21"/>
                      <w:highlight w:val="none"/>
                    </w:rPr>
                    <w:t>《环境空气质量标准》（GB3095-2012）中的二级标准</w:t>
                  </w:r>
                  <w:r>
                    <w:rPr>
                      <w:rFonts w:hint="default" w:ascii="Times New Roman" w:hAnsi="Times New Roman" w:eastAsia="宋体" w:cs="Times New Roman"/>
                      <w:color w:val="auto"/>
                      <w:kern w:val="21"/>
                      <w:sz w:val="21"/>
                      <w:szCs w:val="21"/>
                      <w:highlight w:val="none"/>
                      <w:lang w:eastAsia="zh-CN"/>
                    </w:rPr>
                    <w:t>，</w:t>
                  </w:r>
                  <w:r>
                    <w:rPr>
                      <w:rFonts w:hint="default" w:ascii="Times New Roman" w:hAnsi="Times New Roman" w:eastAsia="宋体" w:cs="Times New Roman"/>
                      <w:color w:val="auto"/>
                      <w:kern w:val="21"/>
                      <w:sz w:val="21"/>
                      <w:szCs w:val="21"/>
                      <w:highlight w:val="none"/>
                    </w:rPr>
                    <w:t>项目所在区域为达标区。</w:t>
                  </w:r>
                </w:p>
                <w:p w14:paraId="14A3FDF4">
                  <w:pPr>
                    <w:keepNext w:val="0"/>
                    <w:keepLines w:val="0"/>
                    <w:widowControl/>
                    <w:suppressLineNumbers w:val="0"/>
                    <w:spacing w:before="0" w:beforeAutospacing="0" w:after="0" w:afterAutospacing="0" w:line="360" w:lineRule="auto"/>
                    <w:ind w:left="0" w:right="0" w:firstLine="420" w:firstLineChars="200"/>
                    <w:jc w:val="left"/>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本项目为储煤场项目，日常生产中有无组织颗粒物产生，在采用防风抑尘网、堆场及道路洒水、苫盖等措施后，颗粒物产生能够满足</w:t>
                  </w:r>
                  <w:r>
                    <w:rPr>
                      <w:rFonts w:hint="default" w:ascii="Times New Roman" w:hAnsi="Times New Roman" w:cs="Times New Roman"/>
                      <w:color w:val="auto"/>
                      <w:kern w:val="0"/>
                      <w:sz w:val="21"/>
                      <w:szCs w:val="21"/>
                      <w:highlight w:val="none"/>
                      <w:lang w:eastAsia="zh-CN"/>
                    </w:rPr>
                    <w:t>《煤炭工业污染物排放标准》（GB20426-2006）中表5无组织限制排放标准</w:t>
                  </w:r>
                  <w:r>
                    <w:rPr>
                      <w:rFonts w:hint="default" w:ascii="Times New Roman" w:hAnsi="Times New Roman" w:cs="Times New Roman"/>
                      <w:color w:val="auto"/>
                      <w:kern w:val="0"/>
                      <w:sz w:val="21"/>
                      <w:szCs w:val="21"/>
                      <w:highlight w:val="none"/>
                      <w:lang w:val="en-US" w:eastAsia="zh-CN"/>
                    </w:rPr>
                    <w:t>。</w:t>
                  </w:r>
                </w:p>
                <w:p w14:paraId="41732AC3">
                  <w:pPr>
                    <w:pStyle w:val="53"/>
                    <w:keepNext w:val="0"/>
                    <w:keepLines w:val="0"/>
                    <w:suppressLineNumbers w:val="0"/>
                    <w:spacing w:before="0" w:beforeAutospacing="0" w:after="0" w:afterAutospacing="0"/>
                    <w:ind w:left="0" w:right="0" w:firstLine="482"/>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2、水环境</w:t>
                  </w:r>
                </w:p>
                <w:p w14:paraId="325C684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kern w:val="0"/>
                      <w:sz w:val="21"/>
                      <w:szCs w:val="21"/>
                      <w:highlight w:val="none"/>
                    </w:rPr>
                    <w:t>本项目</w:t>
                  </w:r>
                  <w:r>
                    <w:rPr>
                      <w:rFonts w:hint="default" w:ascii="Times New Roman" w:hAnsi="Times New Roman" w:cs="Times New Roman"/>
                      <w:color w:val="auto"/>
                      <w:kern w:val="0"/>
                      <w:sz w:val="21"/>
                      <w:szCs w:val="21"/>
                      <w:highlight w:val="none"/>
                      <w:lang w:val="en-US" w:eastAsia="zh-CN"/>
                    </w:rPr>
                    <w:t>最近</w:t>
                  </w:r>
                  <w:r>
                    <w:rPr>
                      <w:rFonts w:hint="default" w:ascii="Times New Roman" w:hAnsi="Times New Roman" w:cs="Times New Roman"/>
                      <w:color w:val="auto"/>
                      <w:kern w:val="0"/>
                      <w:sz w:val="21"/>
                      <w:szCs w:val="21"/>
                      <w:highlight w:val="none"/>
                    </w:rPr>
                    <w:t>水体为</w:t>
                  </w:r>
                  <w:r>
                    <w:rPr>
                      <w:rFonts w:hint="default" w:ascii="Times New Roman" w:hAnsi="Times New Roman" w:cs="Times New Roman"/>
                      <w:color w:val="auto"/>
                      <w:kern w:val="0"/>
                      <w:sz w:val="21"/>
                      <w:szCs w:val="21"/>
                      <w:highlight w:val="none"/>
                      <w:lang w:val="en-US" w:eastAsia="zh-CN"/>
                    </w:rPr>
                    <w:t>穆棱河</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根据《全国重要江河湖泊水功能区划（2011-2030）》（黑龙江省）可知，本项目涉及地表水体为穆棱河（碱场煤矿铁路大桥至206省道公路桥），属穆棱河饮用区，水质目标为Ⅱ~Ⅲ类。根据鸡西市人民政府发布的《2024年1-12月地表水国控考核断面水质信息公开》，穆棱河达到</w:t>
                  </w:r>
                  <w:r>
                    <w:rPr>
                      <w:rFonts w:hint="default" w:ascii="Times New Roman" w:hAnsi="Times New Roman" w:cs="Times New Roman"/>
                      <w:color w:val="auto"/>
                      <w:sz w:val="21"/>
                      <w:szCs w:val="21"/>
                      <w:highlight w:val="none"/>
                      <w:lang w:val="en-US" w:eastAsia="zh-CN"/>
                    </w:rPr>
                    <w:t>Ⅲ</w:t>
                  </w:r>
                  <w:r>
                    <w:rPr>
                      <w:rFonts w:hint="default" w:ascii="Times New Roman" w:hAnsi="Times New Roman" w:eastAsia="宋体" w:cs="Times New Roman"/>
                      <w:color w:val="auto"/>
                      <w:sz w:val="21"/>
                      <w:szCs w:val="21"/>
                      <w:highlight w:val="none"/>
                      <w:lang w:val="en-US" w:eastAsia="zh-CN"/>
                    </w:rPr>
                    <w:t>类水质类别标准，因此，本项目所在河段符合《地表水环境质量标准》（GB3838-2002）Ⅲ类标准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项目生活污水排入防渗旱厕，</w:t>
                  </w:r>
                  <w:r>
                    <w:rPr>
                      <w:rFonts w:hint="default" w:ascii="Times New Roman" w:hAnsi="Times New Roman" w:cs="Times New Roman"/>
                      <w:color w:val="auto"/>
                      <w:sz w:val="21"/>
                      <w:szCs w:val="21"/>
                      <w:highlight w:val="none"/>
                      <w:lang w:val="en-US" w:eastAsia="zh-CN"/>
                    </w:rPr>
                    <w:t>初期</w:t>
                  </w:r>
                  <w:r>
                    <w:rPr>
                      <w:rFonts w:hint="default" w:ascii="Times New Roman" w:hAnsi="Times New Roman" w:eastAsia="宋体" w:cs="Times New Roman"/>
                      <w:color w:val="auto"/>
                      <w:sz w:val="21"/>
                      <w:szCs w:val="21"/>
                      <w:highlight w:val="none"/>
                      <w:lang w:val="en-US" w:eastAsia="zh-CN"/>
                    </w:rPr>
                    <w:t>雨水进入</w:t>
                  </w:r>
                  <w:r>
                    <w:rPr>
                      <w:rFonts w:hint="default" w:ascii="Times New Roman" w:hAnsi="Times New Roman" w:cs="Times New Roman"/>
                      <w:color w:val="auto"/>
                      <w:sz w:val="21"/>
                      <w:szCs w:val="21"/>
                      <w:highlight w:val="none"/>
                      <w:lang w:val="en-US" w:eastAsia="zh-CN"/>
                    </w:rPr>
                    <w:t>初期</w:t>
                  </w:r>
                  <w:r>
                    <w:rPr>
                      <w:rFonts w:hint="default" w:ascii="Times New Roman" w:hAnsi="Times New Roman" w:eastAsia="宋体" w:cs="Times New Roman"/>
                      <w:color w:val="auto"/>
                      <w:sz w:val="21"/>
                      <w:szCs w:val="21"/>
                      <w:highlight w:val="none"/>
                      <w:lang w:val="en-US" w:eastAsia="zh-CN"/>
                    </w:rPr>
                    <w:t>雨水收集池沉淀后回用，项目无废水排放。</w:t>
                  </w:r>
                </w:p>
                <w:p w14:paraId="43B2AA55">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3、声环境</w:t>
                  </w:r>
                </w:p>
                <w:p w14:paraId="77547ED8">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lang w:val="en-US" w:eastAsia="zh-CN"/>
                    </w:rPr>
                    <w:t>根据《</w:t>
                  </w:r>
                  <w:r>
                    <w:rPr>
                      <w:rFonts w:hint="default" w:ascii="Times New Roman" w:hAnsi="Times New Roman" w:cs="Times New Roman"/>
                      <w:color w:val="auto"/>
                      <w:sz w:val="21"/>
                      <w:szCs w:val="21"/>
                      <w:highlight w:val="none"/>
                    </w:rPr>
                    <w:t>202</w:t>
                  </w: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年黑龙江省生态环境</w:t>
                  </w:r>
                  <w:r>
                    <w:rPr>
                      <w:rFonts w:hint="default" w:ascii="Times New Roman" w:hAnsi="Times New Roman" w:cs="Times New Roman"/>
                      <w:color w:val="auto"/>
                      <w:sz w:val="21"/>
                      <w:szCs w:val="21"/>
                      <w:highlight w:val="none"/>
                      <w:lang w:val="en-US" w:eastAsia="zh-CN"/>
                    </w:rPr>
                    <w:t>质量</w:t>
                  </w:r>
                  <w:r>
                    <w:rPr>
                      <w:rFonts w:hint="default" w:ascii="Times New Roman" w:hAnsi="Times New Roman" w:cs="Times New Roman"/>
                      <w:color w:val="auto"/>
                      <w:sz w:val="21"/>
                      <w:szCs w:val="21"/>
                      <w:highlight w:val="none"/>
                    </w:rPr>
                    <w:t>状况》（202</w:t>
                  </w:r>
                  <w:r>
                    <w:rPr>
                      <w:rFonts w:hint="default"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年</w:t>
                  </w: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月）</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鸡西市区域昼间声环境质量为二级，等效声级为53.6dB（A），道路交通昼间声环境质量为一级，等效声级为65.8dB（A），功能区昼间达标率100%，功能区夜间达标率100%。</w:t>
                  </w:r>
                  <w:r>
                    <w:rPr>
                      <w:rFonts w:hint="default" w:ascii="Times New Roman" w:hAnsi="Times New Roman" w:eastAsia="宋体" w:cs="Times New Roman"/>
                      <w:color w:val="auto"/>
                      <w:sz w:val="21"/>
                      <w:szCs w:val="21"/>
                      <w:highlight w:val="none"/>
                      <w:lang w:val="en-US" w:eastAsia="zh-CN"/>
                    </w:rPr>
                    <w:t>区域声环境</w:t>
                  </w:r>
                  <w:r>
                    <w:rPr>
                      <w:rFonts w:hint="default" w:ascii="Times New Roman" w:hAnsi="Times New Roman" w:cs="Times New Roman"/>
                      <w:color w:val="auto"/>
                      <w:sz w:val="21"/>
                      <w:szCs w:val="21"/>
                      <w:highlight w:val="none"/>
                      <w:lang w:val="en-US" w:eastAsia="zh-CN"/>
                    </w:rPr>
                    <w:t>满足</w:t>
                  </w:r>
                  <w:r>
                    <w:rPr>
                      <w:rFonts w:hint="default" w:ascii="Times New Roman" w:hAnsi="Times New Roman" w:eastAsia="宋体" w:cs="Times New Roman"/>
                      <w:color w:val="auto"/>
                      <w:sz w:val="21"/>
                      <w:szCs w:val="21"/>
                      <w:highlight w:val="none"/>
                      <w:lang w:val="en-US" w:eastAsia="zh-CN"/>
                    </w:rPr>
                    <w:t>《声环境质量标准》（GB3096-2008）2类标准</w:t>
                  </w:r>
                  <w:r>
                    <w:rPr>
                      <w:rFonts w:hint="default" w:ascii="Times New Roman" w:hAnsi="Times New Roman" w:eastAsia="宋体" w:cs="Times New Roman"/>
                      <w:color w:val="auto"/>
                      <w:kern w:val="0"/>
                      <w:sz w:val="21"/>
                      <w:szCs w:val="21"/>
                      <w:highlight w:val="none"/>
                    </w:rPr>
                    <w:t>。</w:t>
                  </w:r>
                  <w:r>
                    <w:rPr>
                      <w:rFonts w:hint="default" w:ascii="Times New Roman" w:hAnsi="Times New Roman" w:cs="Times New Roman"/>
                      <w:color w:val="auto"/>
                      <w:kern w:val="0"/>
                      <w:sz w:val="21"/>
                      <w:szCs w:val="21"/>
                      <w:highlight w:val="none"/>
                      <w:lang w:val="en-US" w:eastAsia="zh-CN"/>
                    </w:rPr>
                    <w:t>本项目</w:t>
                  </w:r>
                  <w:r>
                    <w:rPr>
                      <w:rFonts w:hint="default" w:ascii="Times New Roman" w:hAnsi="Times New Roman" w:eastAsia="宋体" w:cs="Times New Roman"/>
                      <w:color w:val="auto"/>
                      <w:kern w:val="0"/>
                      <w:sz w:val="21"/>
                      <w:szCs w:val="21"/>
                      <w:highlight w:val="none"/>
                    </w:rPr>
                    <w:t>选取低噪声设备，采取减振、隔声等措施</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lang w:val="en-US" w:eastAsia="zh-CN"/>
                    </w:rPr>
                    <w:t>厂界噪声满足</w:t>
                  </w:r>
                  <w:r>
                    <w:rPr>
                      <w:rFonts w:hint="default" w:ascii="Times New Roman" w:hAnsi="Times New Roman" w:cs="Times New Roman"/>
                      <w:color w:val="auto"/>
                      <w:kern w:val="0"/>
                      <w:sz w:val="21"/>
                      <w:szCs w:val="21"/>
                      <w:highlight w:val="none"/>
                      <w:lang w:eastAsia="zh-CN"/>
                    </w:rPr>
                    <w:t>《工业企业厂界环境噪声排放标准》</w:t>
                  </w:r>
                  <w:r>
                    <w:rPr>
                      <w:rFonts w:hint="eastAsia"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lang w:eastAsia="zh-CN"/>
                    </w:rPr>
                    <w:t>GB12348-2008）表1中</w:t>
                  </w:r>
                  <w:r>
                    <w:rPr>
                      <w:rFonts w:hint="default" w:ascii="Times New Roman" w:hAnsi="Times New Roman" w:cs="Times New Roman"/>
                      <w:color w:val="auto"/>
                      <w:kern w:val="0"/>
                      <w:sz w:val="21"/>
                      <w:szCs w:val="21"/>
                      <w:highlight w:val="none"/>
                      <w:lang w:val="en-US" w:eastAsia="zh-CN"/>
                    </w:rPr>
                    <w:t>2</w:t>
                  </w:r>
                  <w:r>
                    <w:rPr>
                      <w:rFonts w:hint="default" w:ascii="Times New Roman" w:hAnsi="Times New Roman" w:cs="Times New Roman"/>
                      <w:color w:val="auto"/>
                      <w:kern w:val="0"/>
                      <w:sz w:val="21"/>
                      <w:szCs w:val="21"/>
                      <w:highlight w:val="none"/>
                      <w:lang w:eastAsia="zh-CN"/>
                    </w:rPr>
                    <w:t>类标准。</w:t>
                  </w:r>
                </w:p>
                <w:p w14:paraId="121E22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本项目运营期各类污染物经环境保护措施治理后均可达标排放，对区域环境造成的不利影响较小，不会改变区域环境质量现状，因此，</w:t>
                  </w:r>
                  <w:r>
                    <w:rPr>
                      <w:rFonts w:hint="default" w:ascii="Times New Roman" w:hAnsi="Times New Roman" w:cs="Times New Roman"/>
                      <w:color w:val="auto"/>
                      <w:kern w:val="0"/>
                      <w:sz w:val="21"/>
                      <w:szCs w:val="21"/>
                      <w:highlight w:val="none"/>
                      <w:lang w:val="en-US" w:eastAsia="zh-CN"/>
                    </w:rPr>
                    <w:t>本项目</w:t>
                  </w:r>
                  <w:r>
                    <w:rPr>
                      <w:rFonts w:hint="default" w:ascii="Times New Roman" w:hAnsi="Times New Roman" w:cs="Times New Roman"/>
                      <w:color w:val="auto"/>
                      <w:kern w:val="0"/>
                      <w:sz w:val="21"/>
                      <w:szCs w:val="21"/>
                      <w:highlight w:val="none"/>
                    </w:rPr>
                    <w:t>符合环境质量底线要求。</w:t>
                  </w:r>
                </w:p>
              </w:tc>
            </w:tr>
            <w:tr w14:paraId="203BF5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09074620">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三、资源利用上线</w:t>
                  </w:r>
                </w:p>
              </w:tc>
            </w:tr>
            <w:tr w14:paraId="358043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26A8FAAB">
                  <w:pPr>
                    <w:keepNext w:val="0"/>
                    <w:keepLines w:val="0"/>
                    <w:suppressLineNumbers w:val="0"/>
                    <w:spacing w:before="0" w:beforeAutospacing="0" w:after="0" w:afterAutospacing="0" w:line="360" w:lineRule="auto"/>
                    <w:ind w:left="0" w:right="0" w:firstLine="420" w:firstLineChars="200"/>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lang w:val="en-US" w:eastAsia="zh-CN" w:bidi="ar-SA"/>
                    </w:rPr>
                    <w:t>本项目生活用水外购桶装水，生产用水由厂区内雨水收集和外购水源提供；本项目用地性质为工业用地，不占用基本农田；电源依托市政设施。综上，本项目不会突破资源利用上线。</w:t>
                  </w:r>
                </w:p>
              </w:tc>
            </w:tr>
            <w:tr w14:paraId="71B057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2D732A3F">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四、环境准入清单</w:t>
                  </w:r>
                </w:p>
              </w:tc>
            </w:tr>
            <w:tr w14:paraId="2AD1EF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noWrap w:val="0"/>
                  <w:vAlign w:val="center"/>
                </w:tcPr>
                <w:p w14:paraId="42D57838">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环境管控单元名称</w:t>
                  </w:r>
                </w:p>
              </w:tc>
              <w:tc>
                <w:tcPr>
                  <w:tcW w:w="4164" w:type="pct"/>
                  <w:gridSpan w:val="2"/>
                  <w:tcBorders>
                    <w:top w:val="single" w:color="auto" w:sz="4" w:space="0"/>
                    <w:left w:val="single" w:color="auto" w:sz="4" w:space="0"/>
                    <w:bottom w:val="single" w:color="auto" w:sz="4" w:space="0"/>
                  </w:tcBorders>
                  <w:noWrap w:val="0"/>
                  <w:vAlign w:val="center"/>
                </w:tcPr>
                <w:p w14:paraId="376FA482">
                  <w:pPr>
                    <w:keepNext w:val="0"/>
                    <w:keepLines w:val="0"/>
                    <w:widowControl/>
                    <w:suppressLineNumbers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000000"/>
                      <w:kern w:val="0"/>
                      <w:sz w:val="21"/>
                      <w:szCs w:val="21"/>
                      <w:lang w:val="en-US" w:eastAsia="zh-CN" w:bidi="ar"/>
                    </w:rPr>
                    <w:t>鸡冠区水环境城镇生活污染重点管控区</w:t>
                  </w:r>
                </w:p>
              </w:tc>
            </w:tr>
            <w:tr w14:paraId="5CC80B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noWrap w:val="0"/>
                  <w:vAlign w:val="center"/>
                </w:tcPr>
                <w:p w14:paraId="3F1AA66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环境管控单元编码</w:t>
                  </w:r>
                </w:p>
              </w:tc>
              <w:tc>
                <w:tcPr>
                  <w:tcW w:w="4164" w:type="pct"/>
                  <w:gridSpan w:val="2"/>
                  <w:tcBorders>
                    <w:top w:val="single" w:color="auto" w:sz="4" w:space="0"/>
                    <w:left w:val="single" w:color="auto" w:sz="4" w:space="0"/>
                    <w:bottom w:val="single" w:color="auto" w:sz="4" w:space="0"/>
                  </w:tcBorders>
                  <w:noWrap w:val="0"/>
                  <w:vAlign w:val="center"/>
                </w:tcPr>
                <w:p w14:paraId="59DB8232">
                  <w:pPr>
                    <w:keepNext w:val="0"/>
                    <w:keepLines w:val="0"/>
                    <w:widowControl/>
                    <w:suppressLineNumbers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000000"/>
                      <w:kern w:val="0"/>
                      <w:sz w:val="21"/>
                      <w:szCs w:val="21"/>
                      <w:lang w:val="en-US" w:eastAsia="zh-CN" w:bidi="ar"/>
                    </w:rPr>
                    <w:t>ZH23030220003</w:t>
                  </w:r>
                </w:p>
              </w:tc>
            </w:tr>
            <w:tr w14:paraId="39D429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noWrap w:val="0"/>
                  <w:vAlign w:val="center"/>
                </w:tcPr>
                <w:p w14:paraId="0CCF947A">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管控单元类别</w:t>
                  </w:r>
                </w:p>
              </w:tc>
              <w:tc>
                <w:tcPr>
                  <w:tcW w:w="4164" w:type="pct"/>
                  <w:gridSpan w:val="2"/>
                  <w:tcBorders>
                    <w:top w:val="single" w:color="auto" w:sz="4" w:space="0"/>
                    <w:left w:val="single" w:color="auto" w:sz="4" w:space="0"/>
                    <w:bottom w:val="single" w:color="auto" w:sz="4" w:space="0"/>
                  </w:tcBorders>
                  <w:noWrap w:val="0"/>
                  <w:vAlign w:val="center"/>
                </w:tcPr>
                <w:p w14:paraId="17AB862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重点管控</w:t>
                  </w:r>
                  <w:r>
                    <w:rPr>
                      <w:rFonts w:hint="default" w:ascii="Times New Roman" w:hAnsi="Times New Roman" w:cs="Times New Roman"/>
                      <w:color w:val="auto"/>
                      <w:sz w:val="21"/>
                      <w:szCs w:val="21"/>
                      <w:highlight w:val="none"/>
                    </w:rPr>
                    <w:t>单元</w:t>
                  </w:r>
                </w:p>
              </w:tc>
            </w:tr>
            <w:tr w14:paraId="215305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2"/>
                  <w:tcBorders>
                    <w:top w:val="single" w:color="auto" w:sz="4" w:space="0"/>
                    <w:bottom w:val="single" w:color="auto" w:sz="4" w:space="0"/>
                    <w:right w:val="single" w:color="auto" w:sz="4" w:space="0"/>
                  </w:tcBorders>
                  <w:noWrap w:val="0"/>
                  <w:vAlign w:val="center"/>
                </w:tcPr>
                <w:p w14:paraId="4822EF9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管控要求</w:t>
                  </w:r>
                </w:p>
              </w:tc>
              <w:tc>
                <w:tcPr>
                  <w:tcW w:w="1099" w:type="pct"/>
                  <w:tcBorders>
                    <w:top w:val="single" w:color="auto" w:sz="4" w:space="0"/>
                    <w:left w:val="single" w:color="auto" w:sz="4" w:space="0"/>
                    <w:bottom w:val="single" w:color="auto" w:sz="4" w:space="0"/>
                  </w:tcBorders>
                  <w:noWrap w:val="0"/>
                  <w:vAlign w:val="center"/>
                </w:tcPr>
                <w:p w14:paraId="4F240D2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项目符合性分析</w:t>
                  </w:r>
                </w:p>
              </w:tc>
            </w:tr>
            <w:tr w14:paraId="16E9F6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noWrap w:val="0"/>
                  <w:vAlign w:val="center"/>
                </w:tcPr>
                <w:p w14:paraId="396E3E2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空间布局约束</w:t>
                  </w:r>
                </w:p>
              </w:tc>
              <w:tc>
                <w:tcPr>
                  <w:tcW w:w="3065"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8AFF4CB">
                  <w:pPr>
                    <w:keepNext w:val="0"/>
                    <w:keepLines w:val="0"/>
                    <w:widowControl/>
                    <w:suppressLineNumbers w:val="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kern w:val="0"/>
                      <w:sz w:val="21"/>
                      <w:szCs w:val="21"/>
                      <w:lang w:val="en-US" w:eastAsia="zh-CN" w:bidi="ar"/>
                    </w:rPr>
                    <w:t>1.除干旱地区外，新建城区应全面实行雨污分流，鼓励对初期雨水进行收集、处理和资源化利用。2.大气环境布局敏感重点管控区同时执行（1）严控</w:t>
                  </w:r>
                  <w:r>
                    <w:rPr>
                      <w:rFonts w:hint="eastAsia" w:cs="Times New Roman"/>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两高</w:t>
                  </w:r>
                  <w:r>
                    <w:rPr>
                      <w:rFonts w:hint="eastAsia" w:cs="Times New Roman"/>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 xml:space="preserve">行业产能。严格执行 钢铁、水泥、平板玻璃等行业产能置换实施办法。（2）利用水泥窑协同处置城市生活垃圾、危险废弃物、电石渣等固废伴生水泥项目，必须依托现有新型干法水泥熟料生产线进行不扩产能改造。 </w:t>
                  </w:r>
                </w:p>
              </w:tc>
              <w:tc>
                <w:tcPr>
                  <w:tcW w:w="1099" w:type="pct"/>
                  <w:tcBorders>
                    <w:top w:val="single" w:color="auto" w:sz="4" w:space="0"/>
                    <w:left w:val="single" w:color="auto" w:sz="4" w:space="0"/>
                    <w:bottom w:val="single" w:color="auto" w:sz="4" w:space="0"/>
                  </w:tcBorders>
                  <w:noWrap w:val="0"/>
                  <w:vAlign w:val="center"/>
                </w:tcPr>
                <w:p w14:paraId="277E66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rPr>
                    <w:t>本</w:t>
                  </w:r>
                  <w:r>
                    <w:rPr>
                      <w:rFonts w:hint="default" w:ascii="Times New Roman" w:hAnsi="Times New Roman" w:eastAsia="宋体" w:cs="Times New Roman"/>
                      <w:snapToGrid w:val="0"/>
                      <w:color w:val="auto"/>
                      <w:kern w:val="0"/>
                      <w:sz w:val="21"/>
                      <w:szCs w:val="21"/>
                      <w:highlight w:val="none"/>
                      <w:lang w:val="en-US" w:eastAsia="zh-CN"/>
                    </w:rPr>
                    <w:t>项目为储煤场项目，仅用于煤炭储存</w:t>
                  </w:r>
                  <w:r>
                    <w:rPr>
                      <w:rFonts w:hint="default" w:ascii="Times New Roman" w:hAnsi="Times New Roman" w:cs="Times New Roman"/>
                      <w:snapToGrid w:val="0"/>
                      <w:color w:val="auto"/>
                      <w:kern w:val="0"/>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eastAsia="zh-CN"/>
                    </w:rPr>
                    <w:t>不属于</w:t>
                  </w:r>
                  <w:r>
                    <w:rPr>
                      <w:rFonts w:hint="default" w:ascii="Times New Roman" w:hAnsi="Times New Roman" w:cs="Times New Roman"/>
                      <w:b w:val="0"/>
                      <w:bCs w:val="0"/>
                      <w:color w:val="auto"/>
                      <w:sz w:val="21"/>
                      <w:szCs w:val="21"/>
                      <w:highlight w:val="none"/>
                      <w:lang w:eastAsia="zh-CN"/>
                    </w:rPr>
                    <w:t>“</w:t>
                  </w:r>
                  <w:r>
                    <w:rPr>
                      <w:rFonts w:hint="default" w:ascii="Times New Roman" w:hAnsi="Times New Roman" w:cs="Times New Roman"/>
                      <w:b w:val="0"/>
                      <w:bCs w:val="0"/>
                      <w:color w:val="auto"/>
                      <w:sz w:val="21"/>
                      <w:szCs w:val="21"/>
                      <w:highlight w:val="none"/>
                      <w:lang w:val="en-US" w:eastAsia="zh-CN"/>
                    </w:rPr>
                    <w:t>两高</w:t>
                  </w:r>
                  <w:r>
                    <w:rPr>
                      <w:rFonts w:hint="default" w:ascii="Times New Roman" w:hAnsi="Times New Roman" w:cs="Times New Roman"/>
                      <w:b w:val="0"/>
                      <w:bCs w:val="0"/>
                      <w:color w:val="auto"/>
                      <w:sz w:val="21"/>
                      <w:szCs w:val="21"/>
                      <w:highlight w:val="none"/>
                      <w:lang w:eastAsia="zh-CN"/>
                    </w:rPr>
                    <w:t>”</w:t>
                  </w:r>
                  <w:r>
                    <w:rPr>
                      <w:rFonts w:hint="default" w:ascii="Times New Roman" w:hAnsi="Times New Roman" w:cs="Times New Roman"/>
                      <w:b w:val="0"/>
                      <w:bCs w:val="0"/>
                      <w:color w:val="auto"/>
                      <w:sz w:val="21"/>
                      <w:szCs w:val="21"/>
                      <w:highlight w:val="none"/>
                      <w:lang w:val="en-US" w:eastAsia="zh-CN"/>
                    </w:rPr>
                    <w:t>行业。</w:t>
                  </w:r>
                </w:p>
              </w:tc>
            </w:tr>
            <w:tr w14:paraId="4E8731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noWrap w:val="0"/>
                  <w:vAlign w:val="center"/>
                </w:tcPr>
                <w:p w14:paraId="529A4DE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污染物排放管控</w:t>
                  </w:r>
                </w:p>
              </w:tc>
              <w:tc>
                <w:tcPr>
                  <w:tcW w:w="3065" w:type="pct"/>
                  <w:tcBorders>
                    <w:top w:val="single" w:color="auto" w:sz="4" w:space="0"/>
                    <w:left w:val="single" w:color="auto" w:sz="4" w:space="0"/>
                    <w:bottom w:val="single" w:color="auto" w:sz="4" w:space="0"/>
                    <w:right w:val="single" w:color="auto" w:sz="4" w:space="0"/>
                  </w:tcBorders>
                  <w:noWrap w:val="0"/>
                  <w:vAlign w:val="center"/>
                </w:tcPr>
                <w:p w14:paraId="26CBE7A8">
                  <w:pPr>
                    <w:keepNext w:val="0"/>
                    <w:keepLines w:val="0"/>
                    <w:widowControl/>
                    <w:suppressLineNumbers w:val="0"/>
                    <w:jc w:val="left"/>
                    <w:rPr>
                      <w:rFonts w:hint="default" w:ascii="Times New Roman" w:hAnsi="Times New Roman" w:cs="Times New Roman"/>
                    </w:rPr>
                  </w:pPr>
                  <w:r>
                    <w:rPr>
                      <w:rFonts w:hint="default" w:ascii="Times New Roman" w:hAnsi="Times New Roman" w:eastAsia="宋体" w:cs="Times New Roman"/>
                      <w:color w:val="000000"/>
                      <w:kern w:val="0"/>
                      <w:sz w:val="21"/>
                      <w:szCs w:val="21"/>
                      <w:lang w:val="en-US" w:eastAsia="zh-CN" w:bidi="ar"/>
                    </w:rPr>
                    <w:t>1.同时执行：（1）新区污水管网规划建设应当与城市开发同步推进，除干旱地区外均实行雨污分流。（2）强化城中村、老旧城区和城乡结合部污水截流、收集。（3）推进合流制排水系统雨污分流改造，难以改造的，应采取截流、调蓄和治理等措施；推进现有污水处理设施配套管网建设；进一步提高城市、县城生活污水收集处理效能。（4）县级以上</w:t>
                  </w:r>
                </w:p>
                <w:p w14:paraId="336D30A8">
                  <w:pPr>
                    <w:keepNext w:val="0"/>
                    <w:keepLines w:val="0"/>
                    <w:widowControl/>
                    <w:suppressLineNumbers w:val="0"/>
                    <w:jc w:val="left"/>
                    <w:rPr>
                      <w:rFonts w:hint="default" w:ascii="Times New Roman" w:hAnsi="Times New Roman" w:cs="Times New Roman"/>
                    </w:rPr>
                  </w:pPr>
                  <w:r>
                    <w:rPr>
                      <w:rFonts w:hint="default" w:ascii="Times New Roman" w:hAnsi="Times New Roman" w:eastAsia="宋体" w:cs="Times New Roman"/>
                      <w:color w:val="000000"/>
                      <w:kern w:val="0"/>
                      <w:sz w:val="21"/>
                      <w:szCs w:val="21"/>
                      <w:lang w:val="en-US" w:eastAsia="zh-CN" w:bidi="ar"/>
                    </w:rPr>
                    <w:t>人民政府应当合理确定城镇排水与污水处理设施建设标准，统筹安排管网、泵站、污水</w:t>
                  </w:r>
                </w:p>
                <w:p w14:paraId="5A0DE061">
                  <w:pPr>
                    <w:keepNext w:val="0"/>
                    <w:keepLines w:val="0"/>
                    <w:widowControl/>
                    <w:suppressLineNumbers w:val="0"/>
                    <w:jc w:val="left"/>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000000"/>
                      <w:kern w:val="0"/>
                      <w:sz w:val="21"/>
                      <w:szCs w:val="21"/>
                      <w:lang w:val="en-US" w:eastAsia="zh-CN" w:bidi="ar"/>
                    </w:rPr>
                    <w:t>处理厂以及污泥处理处置、再生水利用、雨水调蓄和排放等排水与污水处理设施建设和改造，提高城镇污水收集率和处理率。2.大气环境布局敏感重点管控区同时执行（1）对以煤、石焦油、渣油、重油等为燃料的锅炉和工业炉窑，加快使用清洁低碳能源以及工厂余热、电力热力等进行替代。（2）到 2025 年，在用 65 蒸吨/小时以上的燃煤锅炉（含电力）实现超低排放，钢铁企业基本实现超低排放。</w:t>
                  </w:r>
                </w:p>
              </w:tc>
              <w:tc>
                <w:tcPr>
                  <w:tcW w:w="1099" w:type="pct"/>
                  <w:tcBorders>
                    <w:top w:val="single" w:color="auto" w:sz="4" w:space="0"/>
                    <w:left w:val="single" w:color="auto" w:sz="4" w:space="0"/>
                    <w:bottom w:val="single" w:color="auto" w:sz="4" w:space="0"/>
                  </w:tcBorders>
                  <w:noWrap w:val="0"/>
                  <w:vAlign w:val="center"/>
                </w:tcPr>
                <w:p w14:paraId="4109BD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cs="Times New Roman"/>
                      <w:snapToGrid w:val="0"/>
                      <w:color w:val="auto"/>
                      <w:kern w:val="0"/>
                      <w:sz w:val="21"/>
                      <w:szCs w:val="21"/>
                      <w:highlight w:val="none"/>
                      <w:lang w:val="en-US" w:eastAsia="zh-CN"/>
                    </w:rPr>
                    <w:t>本项目为储煤场项目，冬季供暖采用电取暖</w:t>
                  </w:r>
                  <w:r>
                    <w:rPr>
                      <w:rFonts w:hint="default" w:ascii="Times New Roman" w:hAnsi="Times New Roman" w:cs="Times New Roman"/>
                      <w:snapToGrid w:val="0"/>
                      <w:color w:val="auto"/>
                      <w:kern w:val="0"/>
                      <w:sz w:val="21"/>
                      <w:szCs w:val="21"/>
                      <w:highlight w:val="none"/>
                      <w:lang w:eastAsia="zh-CN"/>
                    </w:rPr>
                    <w:t>；不涉及燃料使用</w:t>
                  </w:r>
                  <w:r>
                    <w:rPr>
                      <w:rFonts w:hint="default" w:ascii="Times New Roman" w:hAnsi="Times New Roman" w:cs="Times New Roman"/>
                      <w:snapToGrid w:val="0"/>
                      <w:color w:val="auto"/>
                      <w:kern w:val="0"/>
                      <w:sz w:val="21"/>
                      <w:szCs w:val="21"/>
                      <w:highlight w:val="none"/>
                      <w:lang w:val="en-US" w:eastAsia="zh-CN"/>
                    </w:rPr>
                    <w:t>。</w:t>
                  </w:r>
                </w:p>
              </w:tc>
            </w:tr>
            <w:tr w14:paraId="64BEAC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noWrap w:val="0"/>
                  <w:vAlign w:val="center"/>
                </w:tcPr>
                <w:p w14:paraId="26242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 xml:space="preserve">环境风险 </w:t>
                  </w:r>
                </w:p>
                <w:p w14:paraId="0E741CF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FF0000"/>
                      <w:sz w:val="21"/>
                      <w:szCs w:val="21"/>
                      <w:highlight w:val="none"/>
                    </w:rPr>
                  </w:pPr>
                  <w:r>
                    <w:rPr>
                      <w:rFonts w:hint="default" w:ascii="Times New Roman" w:hAnsi="Times New Roman" w:eastAsia="宋体" w:cs="Times New Roman"/>
                      <w:color w:val="000000"/>
                      <w:kern w:val="0"/>
                      <w:sz w:val="21"/>
                      <w:szCs w:val="21"/>
                      <w:lang w:val="en-US" w:eastAsia="zh-CN" w:bidi="ar"/>
                    </w:rPr>
                    <w:t>防控</w:t>
                  </w:r>
                </w:p>
              </w:tc>
              <w:tc>
                <w:tcPr>
                  <w:tcW w:w="3065"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C898AA8">
                  <w:pPr>
                    <w:keepNext w:val="0"/>
                    <w:keepLines w:val="0"/>
                    <w:widowControl/>
                    <w:suppressLineNumbers w:val="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000000"/>
                      <w:kern w:val="0"/>
                      <w:sz w:val="21"/>
                      <w:szCs w:val="21"/>
                      <w:lang w:val="en-US" w:eastAsia="zh-CN" w:bidi="ar"/>
                    </w:rPr>
                    <w:t>大气环境布局敏感重点管控区同时执行禁止在居民区、学校、医疗和养老机构等周边新建有色金属冶炼、焦化等行业企业。</w:t>
                  </w:r>
                </w:p>
              </w:tc>
              <w:tc>
                <w:tcPr>
                  <w:tcW w:w="1099" w:type="pct"/>
                  <w:tcBorders>
                    <w:top w:val="single" w:color="auto" w:sz="4" w:space="0"/>
                    <w:left w:val="single" w:color="auto" w:sz="4" w:space="0"/>
                    <w:bottom w:val="single" w:color="auto" w:sz="4" w:space="0"/>
                  </w:tcBorders>
                  <w:noWrap w:val="0"/>
                  <w:vAlign w:val="center"/>
                </w:tcPr>
                <w:p w14:paraId="5E9D48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b w:val="0"/>
                      <w:bCs w:val="0"/>
                      <w:snapToGrid w:val="0"/>
                      <w:color w:val="auto"/>
                      <w:kern w:val="0"/>
                      <w:sz w:val="21"/>
                      <w:szCs w:val="21"/>
                      <w:highlight w:val="none"/>
                    </w:rPr>
                    <w:t>本项目</w:t>
                  </w:r>
                  <w:r>
                    <w:rPr>
                      <w:rFonts w:hint="default" w:ascii="Times New Roman" w:hAnsi="Times New Roman" w:eastAsia="宋体" w:cs="Times New Roman"/>
                      <w:b w:val="0"/>
                      <w:bCs w:val="0"/>
                      <w:snapToGrid w:val="0"/>
                      <w:color w:val="auto"/>
                      <w:kern w:val="0"/>
                      <w:sz w:val="21"/>
                      <w:szCs w:val="21"/>
                      <w:highlight w:val="none"/>
                      <w:lang w:val="en-US" w:eastAsia="zh-CN"/>
                    </w:rPr>
                    <w:t>为储煤场项目，仅用于煤场储存。</w:t>
                  </w:r>
                  <w:r>
                    <w:rPr>
                      <w:rFonts w:hint="default" w:ascii="Times New Roman" w:hAnsi="Times New Roman" w:cs="Times New Roman"/>
                      <w:b w:val="0"/>
                      <w:bCs w:val="0"/>
                      <w:snapToGrid w:val="0"/>
                      <w:color w:val="auto"/>
                      <w:kern w:val="0"/>
                      <w:sz w:val="21"/>
                      <w:szCs w:val="21"/>
                      <w:highlight w:val="none"/>
                      <w:lang w:val="en-US" w:eastAsia="zh-CN"/>
                    </w:rPr>
                    <w:t>不属于有色金属冶炼、焦化等行业企业</w:t>
                  </w:r>
                </w:p>
              </w:tc>
            </w:tr>
            <w:tr w14:paraId="4D9C88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shd w:val="clear" w:color="auto" w:fill="auto"/>
                  <w:noWrap w:val="0"/>
                  <w:vAlign w:val="center"/>
                </w:tcPr>
                <w:p w14:paraId="389D830A">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环境管控区名称</w:t>
                  </w:r>
                </w:p>
              </w:tc>
              <w:tc>
                <w:tcPr>
                  <w:tcW w:w="4164" w:type="pct"/>
                  <w:gridSpan w:val="2"/>
                  <w:tcBorders>
                    <w:top w:val="single" w:color="auto" w:sz="4" w:space="0"/>
                    <w:bottom w:val="single" w:color="auto" w:sz="4" w:space="0"/>
                  </w:tcBorders>
                  <w:shd w:val="clear" w:color="auto" w:fill="auto"/>
                  <w:noWrap w:val="0"/>
                  <w:vAlign w:val="center"/>
                </w:tcPr>
                <w:p w14:paraId="778EF899">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000000"/>
                      <w:kern w:val="0"/>
                      <w:sz w:val="21"/>
                      <w:szCs w:val="21"/>
                      <w:lang w:val="en-US" w:eastAsia="zh-CN" w:bidi="ar"/>
                    </w:rPr>
                    <w:t>鸡冠区</w:t>
                  </w:r>
                  <w:r>
                    <w:rPr>
                      <w:rFonts w:hint="default" w:ascii="Times New Roman" w:hAnsi="Times New Roman" w:eastAsia="宋体" w:cs="Times New Roman"/>
                      <w:color w:val="000000"/>
                      <w:kern w:val="0"/>
                      <w:sz w:val="21"/>
                      <w:szCs w:val="21"/>
                      <w:lang w:val="en-US" w:eastAsia="zh-CN" w:bidi="ar"/>
                    </w:rPr>
                    <w:t>地下水环境一般管控区</w:t>
                  </w:r>
                </w:p>
              </w:tc>
            </w:tr>
            <w:tr w14:paraId="4CB3C4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shd w:val="clear" w:color="auto" w:fill="auto"/>
                  <w:noWrap w:val="0"/>
                  <w:vAlign w:val="center"/>
                </w:tcPr>
                <w:p w14:paraId="1EA8888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环境管控区编码</w:t>
                  </w:r>
                </w:p>
              </w:tc>
              <w:tc>
                <w:tcPr>
                  <w:tcW w:w="4164" w:type="pct"/>
                  <w:gridSpan w:val="2"/>
                  <w:tcBorders>
                    <w:top w:val="single" w:color="auto" w:sz="4" w:space="0"/>
                    <w:bottom w:val="single" w:color="auto" w:sz="4" w:space="0"/>
                  </w:tcBorders>
                  <w:shd w:val="clear" w:color="auto" w:fill="auto"/>
                  <w:noWrap w:val="0"/>
                  <w:vAlign w:val="center"/>
                </w:tcPr>
                <w:p w14:paraId="7C5B576D">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kern w:val="0"/>
                      <w:sz w:val="21"/>
                      <w:szCs w:val="21"/>
                      <w:lang w:val="en-US" w:eastAsia="zh-CN" w:bidi="ar"/>
                    </w:rPr>
                    <w:t>YS2303026310001</w:t>
                  </w:r>
                </w:p>
              </w:tc>
            </w:tr>
            <w:tr w14:paraId="23CBCD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shd w:val="clear" w:color="auto" w:fill="auto"/>
                  <w:noWrap w:val="0"/>
                  <w:vAlign w:val="center"/>
                </w:tcPr>
                <w:p w14:paraId="20141708">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管控区类型</w:t>
                  </w:r>
                </w:p>
              </w:tc>
              <w:tc>
                <w:tcPr>
                  <w:tcW w:w="4164" w:type="pct"/>
                  <w:gridSpan w:val="2"/>
                  <w:tcBorders>
                    <w:top w:val="single" w:color="auto" w:sz="4" w:space="0"/>
                    <w:bottom w:val="single" w:color="auto" w:sz="4" w:space="0"/>
                  </w:tcBorders>
                  <w:shd w:val="clear" w:color="auto" w:fill="auto"/>
                  <w:noWrap w:val="0"/>
                  <w:vAlign w:val="center"/>
                </w:tcPr>
                <w:p w14:paraId="3A6E5EF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kern w:val="0"/>
                      <w:sz w:val="21"/>
                      <w:szCs w:val="21"/>
                      <w:lang w:val="en-US" w:eastAsia="zh-CN" w:bidi="ar"/>
                    </w:rPr>
                    <w:t>一般管控区</w:t>
                  </w:r>
                </w:p>
              </w:tc>
            </w:tr>
            <w:tr w14:paraId="495586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2"/>
                  <w:tcBorders>
                    <w:top w:val="single" w:color="auto" w:sz="4" w:space="0"/>
                    <w:bottom w:val="single" w:color="auto" w:sz="4" w:space="0"/>
                    <w:right w:val="single" w:color="auto" w:sz="4" w:space="0"/>
                  </w:tcBorders>
                  <w:shd w:val="clear" w:color="auto" w:fill="auto"/>
                  <w:noWrap w:val="0"/>
                  <w:vAlign w:val="center"/>
                </w:tcPr>
                <w:p w14:paraId="634789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管控要求</w:t>
                  </w:r>
                </w:p>
              </w:tc>
              <w:tc>
                <w:tcPr>
                  <w:tcW w:w="1099" w:type="pct"/>
                  <w:tcBorders>
                    <w:top w:val="single" w:color="auto" w:sz="4" w:space="0"/>
                    <w:left w:val="single" w:color="auto" w:sz="4" w:space="0"/>
                    <w:bottom w:val="single" w:color="auto" w:sz="4" w:space="0"/>
                  </w:tcBorders>
                  <w:shd w:val="clear" w:color="auto" w:fill="auto"/>
                  <w:noWrap w:val="0"/>
                  <w:vAlign w:val="center"/>
                </w:tcPr>
                <w:p w14:paraId="4EE7E0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符合性分析</w:t>
                  </w:r>
                </w:p>
              </w:tc>
            </w:tr>
            <w:tr w14:paraId="51B0E1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2"/>
                  <w:tcBorders>
                    <w:top w:val="single" w:color="auto" w:sz="4" w:space="0"/>
                    <w:bottom w:val="single" w:color="auto" w:sz="4" w:space="0"/>
                    <w:right w:val="single" w:color="auto" w:sz="4" w:space="0"/>
                  </w:tcBorders>
                  <w:shd w:val="clear" w:color="auto" w:fill="auto"/>
                  <w:noWrap w:val="0"/>
                  <w:vAlign w:val="center"/>
                </w:tcPr>
                <w:p w14:paraId="1C13019E">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环境风险管控</w:t>
                  </w:r>
                </w:p>
                <w:p w14:paraId="65DB03B8">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1.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 2.重点单位新、改、扩建项目地下储罐储存有毒有害物质的，应当在项目投入生产或者使用之前，将地下储罐的信息报所在地设区的市级生态环境主管部门备案。 3.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4.化学品生产企业以及工业集聚区、矿山开采区、尾矿库、危险废物处置场、垃圾填埋场等的运营、管理单位，应当采取防渗漏等措施，并建设地下水水质监测井进行监测，防止地下水污染。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1099" w:type="pct"/>
                  <w:tcBorders>
                    <w:top w:val="single" w:color="auto" w:sz="4" w:space="0"/>
                    <w:left w:val="single" w:color="auto" w:sz="4" w:space="0"/>
                    <w:bottom w:val="single" w:color="auto" w:sz="4" w:space="0"/>
                  </w:tcBorders>
                  <w:shd w:val="clear" w:color="auto" w:fill="auto"/>
                  <w:noWrap w:val="0"/>
                  <w:vAlign w:val="center"/>
                </w:tcPr>
                <w:p w14:paraId="3907CE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本项目不属于土壤污染重点监管单位。</w:t>
                  </w:r>
                </w:p>
              </w:tc>
            </w:tr>
          </w:tbl>
          <w:p w14:paraId="4F7FF270">
            <w:pPr>
              <w:pStyle w:val="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3）</w:t>
            </w:r>
            <w:r>
              <w:rPr>
                <w:rFonts w:hint="eastAsia"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一说明</w:t>
            </w:r>
            <w:r>
              <w:rPr>
                <w:rFonts w:hint="eastAsia" w:cs="Times New Roman"/>
                <w:color w:val="auto"/>
                <w:kern w:val="2"/>
                <w:sz w:val="24"/>
                <w:szCs w:val="24"/>
                <w:highlight w:val="none"/>
                <w:lang w:val="en-US" w:eastAsia="zh-CN" w:bidi="ar-SA"/>
              </w:rPr>
              <w:t>”</w:t>
            </w:r>
          </w:p>
          <w:p w14:paraId="15E403DE">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由上述分析可知，本项目的建设符合</w:t>
            </w:r>
            <w:r>
              <w:rPr>
                <w:rFonts w:hint="default" w:ascii="Times New Roman" w:hAnsi="Times New Roman" w:cs="Times New Roman"/>
                <w:color w:val="auto"/>
                <w:sz w:val="24"/>
              </w:rPr>
              <w:t>《鸡西市生态环境准入清单》（2023年版）</w:t>
            </w:r>
            <w:r>
              <w:rPr>
                <w:rFonts w:hint="default" w:ascii="Times New Roman" w:hAnsi="Times New Roman" w:cs="Times New Roman"/>
                <w:color w:val="auto"/>
                <w:sz w:val="24"/>
                <w:lang w:eastAsia="zh-CN"/>
              </w:rPr>
              <w:t>和</w:t>
            </w:r>
            <w:r>
              <w:rPr>
                <w:rFonts w:hint="default" w:ascii="Times New Roman" w:hAnsi="Times New Roman" w:eastAsia="宋体" w:cs="Times New Roman"/>
                <w:color w:val="auto"/>
                <w:kern w:val="2"/>
                <w:sz w:val="24"/>
                <w:szCs w:val="24"/>
                <w:highlight w:val="none"/>
                <w:lang w:val="en-US" w:eastAsia="zh-CN" w:bidi="ar-SA"/>
              </w:rPr>
              <w:t>《</w:t>
            </w:r>
            <w:r>
              <w:rPr>
                <w:rFonts w:hint="default" w:ascii="Times New Roman" w:hAnsi="Times New Roman" w:cs="Times New Roman"/>
                <w:color w:val="auto"/>
                <w:kern w:val="2"/>
                <w:sz w:val="24"/>
                <w:szCs w:val="24"/>
                <w:highlight w:val="none"/>
                <w:lang w:val="en-US" w:eastAsia="zh-CN" w:bidi="ar-SA"/>
              </w:rPr>
              <w:t>鸡西市启鹏煤炭销售有限公司建设项目</w:t>
            </w:r>
            <w:r>
              <w:rPr>
                <w:rFonts w:hint="default" w:ascii="Times New Roman" w:hAnsi="Times New Roman" w:eastAsia="宋体" w:cs="Times New Roman"/>
                <w:color w:val="auto"/>
                <w:kern w:val="2"/>
                <w:sz w:val="24"/>
                <w:szCs w:val="24"/>
                <w:highlight w:val="none"/>
                <w:lang w:val="en-US" w:eastAsia="zh-CN" w:bidi="ar-SA"/>
              </w:rPr>
              <w:t>生态环境分区管控分析报告》中的要求。</w:t>
            </w:r>
          </w:p>
          <w:p w14:paraId="7921DFF0">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根据黑龙江省生态环境分区管控数据应用平台查询的《生态环境分区管控分析报告》（分析报告见附件）：</w:t>
            </w:r>
          </w:p>
          <w:p w14:paraId="6E55E07A">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本项目与生态保护红线交集面积为0.00平方公里，占项目占地面积的0.00%。</w:t>
            </w:r>
          </w:p>
          <w:p w14:paraId="44C6DA80">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与自然保护地整合优化方案数据交集面积为0.00平方公里，占项目占地面积的0.00%。保护地涉及等类型。与自然保护地</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现状管理数据</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交集面积为0.00平方公里，占项目占地面积的0.00%。保护地涉及等类型。</w:t>
            </w:r>
          </w:p>
          <w:p w14:paraId="31366073">
            <w:pPr>
              <w:pStyle w:val="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与饮用水水源保护区交集面积为0.00平方公里，占项目占地面积的0.00%。与国家级水产种质资源保护区交集面积为0.00平方公里，占项目占地面积的0.00%。</w:t>
            </w:r>
          </w:p>
          <w:p w14:paraId="6EE3A27A">
            <w:pPr>
              <w:pStyle w:val="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与环境管控单元优先保护单元交集面积为0.00平方公里，占项目占地面积的0.00%；与重点管控单元交集面积为0.</w:t>
            </w:r>
            <w:r>
              <w:rPr>
                <w:rFonts w:hint="default" w:ascii="Times New Roman" w:hAnsi="Times New Roman" w:cs="Times New Roman"/>
                <w:color w:val="auto"/>
                <w:kern w:val="2"/>
                <w:sz w:val="24"/>
                <w:szCs w:val="24"/>
                <w:highlight w:val="none"/>
                <w:lang w:val="en-US" w:eastAsia="zh-CN" w:bidi="ar-SA"/>
              </w:rPr>
              <w:t>02</w:t>
            </w:r>
            <w:r>
              <w:rPr>
                <w:rFonts w:hint="default" w:ascii="Times New Roman" w:hAnsi="Times New Roman" w:eastAsia="宋体" w:cs="Times New Roman"/>
                <w:color w:val="auto"/>
                <w:kern w:val="2"/>
                <w:sz w:val="24"/>
                <w:szCs w:val="24"/>
                <w:highlight w:val="none"/>
                <w:lang w:val="en-US" w:eastAsia="zh-CN" w:bidi="ar-SA"/>
              </w:rPr>
              <w:t>平方公里，占项目占地面积的100.00%；一般管控单元交集面积为0.00平方公里，占项目占地面积的0.00%。</w:t>
            </w:r>
          </w:p>
          <w:p w14:paraId="30BB1DE7">
            <w:pPr>
              <w:pStyle w:val="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与地下水环境优先保护区交集面积为0.00平方公里，占项目占地面积的0.00%；与地下水环境重点管控区交集面积为0.00 平方公里，占项目占地面积的0.00%，与地下水环境一般管控区交集面积为0.</w:t>
            </w:r>
            <w:r>
              <w:rPr>
                <w:rFonts w:hint="default" w:ascii="Times New Roman" w:hAnsi="Times New Roman" w:cs="Times New Roman"/>
                <w:color w:val="auto"/>
                <w:kern w:val="2"/>
                <w:sz w:val="24"/>
                <w:szCs w:val="24"/>
                <w:highlight w:val="none"/>
                <w:lang w:val="en-US" w:eastAsia="zh-CN" w:bidi="ar-SA"/>
              </w:rPr>
              <w:t>02</w:t>
            </w:r>
            <w:r>
              <w:rPr>
                <w:rFonts w:hint="default" w:ascii="Times New Roman" w:hAnsi="Times New Roman" w:eastAsia="宋体" w:cs="Times New Roman"/>
                <w:color w:val="auto"/>
                <w:kern w:val="2"/>
                <w:sz w:val="24"/>
                <w:szCs w:val="24"/>
                <w:highlight w:val="none"/>
                <w:lang w:val="en-US" w:eastAsia="zh-CN" w:bidi="ar-SA"/>
              </w:rPr>
              <w:t>平方公里，占项目占地面积的100.00%。</w:t>
            </w:r>
          </w:p>
          <w:p w14:paraId="5C155522">
            <w:pPr>
              <w:spacing w:line="360" w:lineRule="auto"/>
              <w:jc w:val="left"/>
              <w:rPr>
                <w:rFonts w:hint="default" w:ascii="Times New Roman" w:hAnsi="Times New Roman" w:cs="Times New Roman"/>
                <w:b/>
                <w:color w:val="auto"/>
                <w:sz w:val="24"/>
                <w:highlight w:val="none"/>
                <w:lang w:val="en-US"/>
              </w:rPr>
            </w:pPr>
            <w:r>
              <w:rPr>
                <w:rFonts w:hint="default" w:ascii="Times New Roman" w:hAnsi="Times New Roman" w:cs="Times New Roman"/>
                <w:b/>
                <w:color w:val="auto"/>
                <w:sz w:val="24"/>
                <w:highlight w:val="none"/>
                <w:lang w:val="en-US" w:eastAsia="zh-CN"/>
              </w:rPr>
              <w:t>5</w:t>
            </w:r>
            <w:r>
              <w:rPr>
                <w:rFonts w:hint="default" w:ascii="Times New Roman" w:hAnsi="Times New Roman" w:cs="Times New Roman"/>
                <w:b/>
                <w:color w:val="auto"/>
                <w:sz w:val="24"/>
                <w:highlight w:val="none"/>
              </w:rPr>
              <w:t>、</w:t>
            </w:r>
            <w:r>
              <w:rPr>
                <w:rFonts w:hint="default" w:ascii="Times New Roman" w:hAnsi="Times New Roman" w:cs="Times New Roman"/>
                <w:b/>
                <w:color w:val="auto"/>
                <w:sz w:val="24"/>
                <w:highlight w:val="none"/>
                <w:lang w:val="en-US" w:eastAsia="zh-CN"/>
              </w:rPr>
              <w:t>与</w:t>
            </w:r>
            <w:r>
              <w:rPr>
                <w:rFonts w:hint="default" w:ascii="Times New Roman" w:hAnsi="Times New Roman" w:cs="Times New Roman"/>
                <w:b/>
                <w:color w:val="auto"/>
                <w:sz w:val="24"/>
                <w:highlight w:val="none"/>
                <w:lang w:eastAsia="zh-CN"/>
              </w:rPr>
              <w:t>《</w:t>
            </w:r>
            <w:r>
              <w:rPr>
                <w:rFonts w:hint="default" w:ascii="Times New Roman" w:hAnsi="Times New Roman" w:cs="Times New Roman"/>
                <w:b/>
                <w:color w:val="auto"/>
                <w:sz w:val="24"/>
                <w:highlight w:val="none"/>
              </w:rPr>
              <w:t>鸡西市洗煤厂、储煤厂排查整治工作方案</w:t>
            </w:r>
            <w:r>
              <w:rPr>
                <w:rFonts w:hint="default" w:ascii="Times New Roman" w:hAnsi="Times New Roman" w:cs="Times New Roman"/>
                <w:b/>
                <w:color w:val="auto"/>
                <w:sz w:val="24"/>
                <w:highlight w:val="none"/>
                <w:lang w:eastAsia="zh-CN"/>
              </w:rPr>
              <w:t>》《</w:t>
            </w:r>
            <w:r>
              <w:rPr>
                <w:rFonts w:hint="default" w:ascii="Times New Roman" w:hAnsi="Times New Roman" w:cs="Times New Roman"/>
                <w:b/>
                <w:color w:val="auto"/>
                <w:sz w:val="24"/>
                <w:highlight w:val="none"/>
                <w:lang w:val="en-US" w:eastAsia="zh-CN"/>
              </w:rPr>
              <w:t>鸡西市洗煤厂、储煤场环境综合整治验收标准</w:t>
            </w:r>
            <w:r>
              <w:rPr>
                <w:rFonts w:hint="default" w:ascii="Times New Roman" w:hAnsi="Times New Roman" w:cs="Times New Roman"/>
                <w:b/>
                <w:color w:val="auto"/>
                <w:sz w:val="24"/>
                <w:highlight w:val="none"/>
                <w:lang w:eastAsia="zh-CN"/>
              </w:rPr>
              <w:t>》</w:t>
            </w:r>
            <w:r>
              <w:rPr>
                <w:rFonts w:hint="default" w:ascii="Times New Roman" w:hAnsi="Times New Roman" w:cs="Times New Roman"/>
                <w:b/>
                <w:color w:val="auto"/>
                <w:sz w:val="24"/>
                <w:highlight w:val="none"/>
                <w:lang w:val="en-US" w:eastAsia="zh-CN"/>
              </w:rPr>
              <w:t>的符合性分析</w:t>
            </w:r>
          </w:p>
          <w:p w14:paraId="3DDB03D1">
            <w:pPr>
              <w:pStyle w:val="31"/>
              <w:spacing w:before="0" w:beforeLines="0" w:after="0" w:afterLines="0" w:line="360" w:lineRule="auto"/>
              <w:ind w:firstLine="480"/>
              <w:textAlignment w:val="baseline"/>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2023年6月，鸡西市生态环境保护综合执法局发布了《鸡西市洗煤厂、储煤厂排查整治工作方案》及鸡西市生态环境保护委员会办公室发布了《鸡西市洗煤厂、储煤场环境综合整治验收标准》，本项目与《鸡西市洗煤厂、储煤厂排查整治工作方案》及《鸡西市洗煤厂、储煤场环境综合整治验收标准》符合性分析详见下表。</w:t>
            </w:r>
          </w:p>
          <w:p w14:paraId="0DBE3B09">
            <w:pPr>
              <w:pStyle w:val="31"/>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480"/>
              <w:textAlignment w:val="baseline"/>
              <w:rPr>
                <w:rFonts w:hint="default" w:ascii="Times New Roman" w:hAnsi="Times New Roman" w:cs="Times New Roman"/>
                <w:color w:val="auto"/>
                <w:highlight w:val="none"/>
                <w:lang w:val="en-US" w:eastAsia="zh-CN"/>
              </w:rPr>
            </w:pPr>
            <w:r>
              <w:rPr>
                <w:rFonts w:hint="default" w:ascii="Times New Roman" w:hAnsi="Times New Roman" w:eastAsia="宋体" w:cs="Times New Roman"/>
                <w:b/>
                <w:bCs/>
                <w:color w:val="auto"/>
                <w:kern w:val="2"/>
                <w:sz w:val="24"/>
                <w:szCs w:val="24"/>
                <w:highlight w:val="none"/>
                <w:lang w:val="en-US" w:eastAsia="zh-CN" w:bidi="ar-SA"/>
              </w:rPr>
              <w:t>表1-</w:t>
            </w:r>
            <w:r>
              <w:rPr>
                <w:rFonts w:hint="default" w:ascii="Times New Roman" w:hAnsi="Times New Roman" w:cs="Times New Roman"/>
                <w:b/>
                <w:bCs/>
                <w:color w:val="auto"/>
                <w:kern w:val="2"/>
                <w:sz w:val="24"/>
                <w:szCs w:val="24"/>
                <w:highlight w:val="none"/>
                <w:lang w:val="en-US" w:eastAsia="zh-CN" w:bidi="ar-SA"/>
              </w:rPr>
              <w:t>4</w:t>
            </w:r>
            <w:r>
              <w:rPr>
                <w:rFonts w:hint="default" w:ascii="Times New Roman" w:hAnsi="Times New Roman" w:cs="Times New Roman"/>
                <w:b/>
                <w:color w:val="auto"/>
                <w:sz w:val="24"/>
                <w:highlight w:val="none"/>
                <w:lang w:eastAsia="zh-CN"/>
              </w:rPr>
              <w:t>《</w:t>
            </w:r>
            <w:r>
              <w:rPr>
                <w:rFonts w:hint="default" w:ascii="Times New Roman" w:hAnsi="Times New Roman" w:cs="Times New Roman"/>
                <w:b/>
                <w:color w:val="auto"/>
                <w:sz w:val="24"/>
                <w:highlight w:val="none"/>
              </w:rPr>
              <w:t>鸡西市洗煤厂、储煤厂排查整治工作方案</w:t>
            </w:r>
            <w:r>
              <w:rPr>
                <w:rFonts w:hint="default" w:ascii="Times New Roman" w:hAnsi="Times New Roman" w:cs="Times New Roman"/>
                <w:b/>
                <w:color w:val="auto"/>
                <w:sz w:val="24"/>
                <w:highlight w:val="none"/>
                <w:lang w:eastAsia="zh-CN"/>
              </w:rPr>
              <w:t>》《</w:t>
            </w:r>
            <w:r>
              <w:rPr>
                <w:rFonts w:hint="default" w:ascii="Times New Roman" w:hAnsi="Times New Roman" w:eastAsia="宋体" w:cs="Times New Roman"/>
                <w:b/>
                <w:bCs/>
                <w:color w:val="auto"/>
                <w:kern w:val="2"/>
                <w:sz w:val="24"/>
                <w:szCs w:val="24"/>
                <w:highlight w:val="none"/>
                <w:lang w:val="en-US" w:eastAsia="zh-CN" w:bidi="ar-SA"/>
              </w:rPr>
              <w:t>鸡西市洗煤厂、储煤场环境综合整治</w:t>
            </w:r>
            <w:r>
              <w:rPr>
                <w:rFonts w:hint="default" w:ascii="Times New Roman" w:hAnsi="Times New Roman" w:cs="Times New Roman"/>
                <w:b/>
                <w:bCs/>
                <w:color w:val="auto"/>
                <w:kern w:val="2"/>
                <w:sz w:val="24"/>
                <w:szCs w:val="24"/>
                <w:highlight w:val="none"/>
                <w:lang w:val="en-US" w:eastAsia="zh-CN" w:bidi="ar-SA"/>
              </w:rPr>
              <w:t>验收</w:t>
            </w:r>
            <w:r>
              <w:rPr>
                <w:rFonts w:hint="default" w:ascii="Times New Roman" w:hAnsi="Times New Roman" w:eastAsia="宋体" w:cs="Times New Roman"/>
                <w:b/>
                <w:bCs/>
                <w:color w:val="auto"/>
                <w:kern w:val="2"/>
                <w:sz w:val="24"/>
                <w:szCs w:val="24"/>
                <w:highlight w:val="none"/>
                <w:lang w:val="en-US" w:eastAsia="zh-CN" w:bidi="ar-SA"/>
              </w:rPr>
              <w:t>标准</w:t>
            </w:r>
            <w:r>
              <w:rPr>
                <w:rFonts w:hint="default" w:ascii="Times New Roman" w:hAnsi="Times New Roman" w:cs="Times New Roman"/>
                <w:b/>
                <w:bCs/>
                <w:color w:val="auto"/>
                <w:kern w:val="2"/>
                <w:sz w:val="24"/>
                <w:szCs w:val="24"/>
                <w:highlight w:val="none"/>
                <w:lang w:val="en-US" w:eastAsia="zh-CN" w:bidi="ar-SA"/>
              </w:rPr>
              <w:t>》</w:t>
            </w:r>
            <w:r>
              <w:rPr>
                <w:rFonts w:hint="default" w:ascii="Times New Roman" w:hAnsi="Times New Roman" w:eastAsia="宋体" w:cs="Times New Roman"/>
                <w:b/>
                <w:bCs/>
                <w:color w:val="auto"/>
                <w:kern w:val="2"/>
                <w:sz w:val="24"/>
                <w:szCs w:val="24"/>
                <w:highlight w:val="none"/>
                <w:lang w:val="en-US" w:eastAsia="zh-CN" w:bidi="ar-SA"/>
              </w:rPr>
              <w:t>符合性分析</w:t>
            </w:r>
          </w:p>
          <w:tbl>
            <w:tblPr>
              <w:tblStyle w:val="2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53"/>
              <w:gridCol w:w="850"/>
              <w:gridCol w:w="2917"/>
              <w:gridCol w:w="1747"/>
              <w:gridCol w:w="427"/>
            </w:tblGrid>
            <w:tr w14:paraId="042A8F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 w:type="pct"/>
                  <w:noWrap w:val="0"/>
                  <w:vAlign w:val="center"/>
                </w:tcPr>
                <w:p w14:paraId="28D1E8B5">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文号</w:t>
                  </w:r>
                </w:p>
              </w:tc>
              <w:tc>
                <w:tcPr>
                  <w:tcW w:w="2691" w:type="pct"/>
                  <w:gridSpan w:val="2"/>
                  <w:noWrap w:val="0"/>
                  <w:vAlign w:val="center"/>
                </w:tcPr>
                <w:p w14:paraId="7A50B8B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文件要求</w:t>
                  </w:r>
                </w:p>
              </w:tc>
              <w:tc>
                <w:tcPr>
                  <w:tcW w:w="1248" w:type="pct"/>
                  <w:noWrap w:val="0"/>
                  <w:vAlign w:val="center"/>
                </w:tcPr>
                <w:p w14:paraId="4804D42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本项目情况</w:t>
                  </w:r>
                </w:p>
              </w:tc>
              <w:tc>
                <w:tcPr>
                  <w:tcW w:w="305" w:type="pct"/>
                  <w:noWrap w:val="0"/>
                  <w:vAlign w:val="center"/>
                </w:tcPr>
                <w:p w14:paraId="3CF0CEE4">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符合性</w:t>
                  </w:r>
                </w:p>
              </w:tc>
            </w:tr>
            <w:tr w14:paraId="6AD270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 w:type="pct"/>
                  <w:vMerge w:val="restart"/>
                  <w:noWrap w:val="0"/>
                  <w:vAlign w:val="center"/>
                </w:tcPr>
                <w:p w14:paraId="2122DB5E">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鸡西市洗煤厂、储煤厂排查整治工作方案（</w:t>
                  </w:r>
                  <w:r>
                    <w:rPr>
                      <w:rFonts w:hint="default" w:ascii="Times New Roman" w:hAnsi="Times New Roman" w:cs="Times New Roman"/>
                      <w:color w:val="auto"/>
                      <w:szCs w:val="21"/>
                      <w:highlight w:val="none"/>
                      <w:lang w:val="en-US" w:eastAsia="zh-CN"/>
                    </w:rPr>
                    <w:t>鸡环执法</w:t>
                  </w:r>
                  <w:r>
                    <w:rPr>
                      <w:rFonts w:hint="default" w:ascii="Times New Roman" w:hAnsi="Times New Roman" w:cs="Times New Roman"/>
                      <w:color w:val="auto"/>
                      <w:szCs w:val="21"/>
                      <w:highlight w:val="none"/>
                    </w:rPr>
                    <w:t>〔20</w:t>
                  </w:r>
                  <w:r>
                    <w:rPr>
                      <w:rFonts w:hint="default" w:ascii="Times New Roman" w:hAnsi="Times New Roman" w:cs="Times New Roman"/>
                      <w:color w:val="auto"/>
                      <w:szCs w:val="21"/>
                      <w:highlight w:val="none"/>
                      <w:lang w:val="en-US" w:eastAsia="zh-CN"/>
                    </w:rPr>
                    <w:t>23</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7</w:t>
                  </w:r>
                  <w:r>
                    <w:rPr>
                      <w:rFonts w:hint="default" w:ascii="Times New Roman" w:hAnsi="Times New Roman" w:cs="Times New Roman"/>
                      <w:color w:val="auto"/>
                      <w:szCs w:val="21"/>
                      <w:highlight w:val="none"/>
                    </w:rPr>
                    <w:t>号）</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鸡西市洗煤厂、储煤场环境综合整治</w:t>
                  </w:r>
                  <w:r>
                    <w:rPr>
                      <w:rFonts w:hint="default" w:ascii="Times New Roman" w:hAnsi="Times New Roman" w:cs="Times New Roman"/>
                      <w:color w:val="auto"/>
                      <w:szCs w:val="21"/>
                      <w:highlight w:val="none"/>
                      <w:lang w:val="en-US" w:eastAsia="zh-CN"/>
                    </w:rPr>
                    <w:t>验收</w:t>
                  </w:r>
                  <w:r>
                    <w:rPr>
                      <w:rFonts w:hint="default" w:ascii="Times New Roman" w:hAnsi="Times New Roman" w:cs="Times New Roman"/>
                      <w:color w:val="auto"/>
                      <w:szCs w:val="21"/>
                      <w:highlight w:val="none"/>
                    </w:rPr>
                    <w:t>标准（</w:t>
                  </w:r>
                  <w:r>
                    <w:rPr>
                      <w:rFonts w:hint="default" w:ascii="Times New Roman" w:hAnsi="Times New Roman" w:cs="Times New Roman"/>
                      <w:color w:val="auto"/>
                      <w:szCs w:val="21"/>
                      <w:highlight w:val="none"/>
                      <w:lang w:val="en-US" w:eastAsia="zh-CN"/>
                    </w:rPr>
                    <w:t>鸡环保委办发</w:t>
                  </w:r>
                  <w:r>
                    <w:rPr>
                      <w:rFonts w:hint="default" w:ascii="Times New Roman" w:hAnsi="Times New Roman" w:cs="Times New Roman"/>
                      <w:color w:val="auto"/>
                      <w:szCs w:val="21"/>
                      <w:highlight w:val="none"/>
                    </w:rPr>
                    <w:t>〔20</w:t>
                  </w:r>
                  <w:r>
                    <w:rPr>
                      <w:rFonts w:hint="default" w:ascii="Times New Roman" w:hAnsi="Times New Roman" w:cs="Times New Roman"/>
                      <w:color w:val="auto"/>
                      <w:szCs w:val="21"/>
                      <w:highlight w:val="none"/>
                      <w:lang w:val="en-US" w:eastAsia="zh-CN"/>
                    </w:rPr>
                    <w:t>23</w:t>
                  </w:r>
                  <w:r>
                    <w:rPr>
                      <w:rFonts w:hint="default" w:ascii="Times New Roman" w:hAnsi="Times New Roman" w:cs="Times New Roman"/>
                      <w:color w:val="auto"/>
                      <w:szCs w:val="21"/>
                      <w:highlight w:val="none"/>
                    </w:rPr>
                    <w:t>〕1</w:t>
                  </w:r>
                  <w:r>
                    <w:rPr>
                      <w:rFonts w:hint="default" w:ascii="Times New Roman" w:hAnsi="Times New Roman" w:cs="Times New Roman"/>
                      <w:color w:val="auto"/>
                      <w:szCs w:val="21"/>
                      <w:highlight w:val="none"/>
                      <w:lang w:val="en-US" w:eastAsia="zh-CN"/>
                    </w:rPr>
                    <w:t>6</w:t>
                  </w:r>
                  <w:r>
                    <w:rPr>
                      <w:rFonts w:hint="default" w:ascii="Times New Roman" w:hAnsi="Times New Roman" w:cs="Times New Roman"/>
                      <w:color w:val="auto"/>
                      <w:szCs w:val="21"/>
                      <w:highlight w:val="none"/>
                    </w:rPr>
                    <w:t>号）</w:t>
                  </w:r>
                </w:p>
              </w:tc>
              <w:tc>
                <w:tcPr>
                  <w:tcW w:w="607" w:type="pct"/>
                  <w:vMerge w:val="restart"/>
                  <w:noWrap w:val="0"/>
                  <w:vAlign w:val="center"/>
                </w:tcPr>
                <w:p w14:paraId="185D91DC">
                  <w:pP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大气污染防治措施</w:t>
                  </w:r>
                </w:p>
              </w:tc>
              <w:tc>
                <w:tcPr>
                  <w:tcW w:w="2083" w:type="pct"/>
                  <w:noWrap w:val="0"/>
                  <w:vAlign w:val="center"/>
                </w:tcPr>
                <w:p w14:paraId="2BB6BF9B">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储煤厂四周应当建设闭合的防风抑尘网。防风抑尘网高度不得低于物料堆高度，遇到高压线等高空障碍物可适当调整高度。储煤厂堆存物应当使用绿网进行苫盖。</w:t>
                  </w:r>
                </w:p>
              </w:tc>
              <w:tc>
                <w:tcPr>
                  <w:tcW w:w="1248" w:type="pct"/>
                  <w:noWrap w:val="0"/>
                  <w:vAlign w:val="center"/>
                </w:tcPr>
                <w:p w14:paraId="4D31A033">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要求储煤场四周建设闭环防风抑尘网，储煤场内储存煤炭使用绿网苫盖</w:t>
                  </w:r>
                </w:p>
              </w:tc>
              <w:tc>
                <w:tcPr>
                  <w:tcW w:w="305" w:type="pct"/>
                  <w:noWrap w:val="0"/>
                  <w:vAlign w:val="center"/>
                </w:tcPr>
                <w:p w14:paraId="3D758AD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w:t>
                  </w:r>
                </w:p>
              </w:tc>
            </w:tr>
            <w:tr w14:paraId="36BC76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 w:type="pct"/>
                  <w:vMerge w:val="continue"/>
                  <w:noWrap w:val="0"/>
                  <w:vAlign w:val="center"/>
                </w:tcPr>
                <w:p w14:paraId="0323FDFE">
                  <w:pPr>
                    <w:jc w:val="center"/>
                    <w:rPr>
                      <w:rFonts w:hint="default" w:ascii="Times New Roman" w:hAnsi="Times New Roman" w:cs="Times New Roman"/>
                      <w:color w:val="auto"/>
                      <w:szCs w:val="21"/>
                      <w:highlight w:val="none"/>
                    </w:rPr>
                  </w:pPr>
                </w:p>
              </w:tc>
              <w:tc>
                <w:tcPr>
                  <w:tcW w:w="607" w:type="pct"/>
                  <w:vMerge w:val="continue"/>
                  <w:noWrap w:val="0"/>
                  <w:vAlign w:val="center"/>
                </w:tcPr>
                <w:p w14:paraId="143066B1">
                  <w:pPr>
                    <w:rPr>
                      <w:rFonts w:hint="default" w:ascii="Times New Roman" w:hAnsi="Times New Roman" w:cs="Times New Roman"/>
                      <w:color w:val="auto"/>
                      <w:szCs w:val="21"/>
                      <w:highlight w:val="none"/>
                    </w:rPr>
                  </w:pPr>
                </w:p>
              </w:tc>
              <w:tc>
                <w:tcPr>
                  <w:tcW w:w="2083" w:type="pct"/>
                  <w:noWrap w:val="0"/>
                  <w:vAlign w:val="center"/>
                </w:tcPr>
                <w:p w14:paraId="495C8606">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储煤厂在日常作业中应当采取喷淋、洒水等方式进行降尘，并且严禁在重污染天气期间、大风天气时生产作业，以避免造成扬尘污染</w:t>
                  </w:r>
                </w:p>
              </w:tc>
              <w:tc>
                <w:tcPr>
                  <w:tcW w:w="1248" w:type="pct"/>
                  <w:noWrap w:val="0"/>
                  <w:vAlign w:val="center"/>
                </w:tcPr>
                <w:p w14:paraId="2DD9B043">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要求储煤场日常进行洒水降尘，禁止在</w:t>
                  </w:r>
                  <w:r>
                    <w:rPr>
                      <w:rFonts w:hint="default" w:ascii="Times New Roman" w:hAnsi="Times New Roman" w:cs="Times New Roman"/>
                      <w:color w:val="auto"/>
                      <w:szCs w:val="21"/>
                      <w:highlight w:val="none"/>
                    </w:rPr>
                    <w:t>重污染天气期间、大风天气</w:t>
                  </w:r>
                  <w:r>
                    <w:rPr>
                      <w:rFonts w:hint="default" w:ascii="Times New Roman" w:hAnsi="Times New Roman" w:cs="Times New Roman"/>
                      <w:color w:val="auto"/>
                      <w:szCs w:val="21"/>
                      <w:highlight w:val="none"/>
                      <w:lang w:eastAsia="zh-CN"/>
                    </w:rPr>
                    <w:t>时</w:t>
                  </w:r>
                  <w:r>
                    <w:rPr>
                      <w:rFonts w:hint="default" w:ascii="Times New Roman" w:hAnsi="Times New Roman" w:cs="Times New Roman"/>
                      <w:color w:val="auto"/>
                      <w:szCs w:val="21"/>
                      <w:highlight w:val="none"/>
                      <w:lang w:val="en-US" w:eastAsia="zh-CN"/>
                    </w:rPr>
                    <w:t>生产</w:t>
                  </w:r>
                </w:p>
              </w:tc>
              <w:tc>
                <w:tcPr>
                  <w:tcW w:w="305" w:type="pct"/>
                  <w:noWrap w:val="0"/>
                  <w:vAlign w:val="center"/>
                </w:tcPr>
                <w:p w14:paraId="21E1591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符合</w:t>
                  </w:r>
                </w:p>
              </w:tc>
            </w:tr>
            <w:tr w14:paraId="14A3C0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 w:type="pct"/>
                  <w:vMerge w:val="continue"/>
                  <w:noWrap w:val="0"/>
                  <w:vAlign w:val="center"/>
                </w:tcPr>
                <w:p w14:paraId="5361A21A">
                  <w:pPr>
                    <w:jc w:val="center"/>
                    <w:rPr>
                      <w:rFonts w:hint="default" w:ascii="Times New Roman" w:hAnsi="Times New Roman" w:cs="Times New Roman"/>
                      <w:color w:val="auto"/>
                      <w:szCs w:val="21"/>
                      <w:highlight w:val="none"/>
                    </w:rPr>
                  </w:pPr>
                </w:p>
              </w:tc>
              <w:tc>
                <w:tcPr>
                  <w:tcW w:w="607" w:type="pct"/>
                  <w:vMerge w:val="continue"/>
                  <w:noWrap w:val="0"/>
                  <w:vAlign w:val="center"/>
                </w:tcPr>
                <w:p w14:paraId="589392B3">
                  <w:pPr>
                    <w:rPr>
                      <w:rFonts w:hint="default" w:ascii="Times New Roman" w:hAnsi="Times New Roman" w:cs="Times New Roman"/>
                      <w:color w:val="auto"/>
                      <w:szCs w:val="21"/>
                      <w:highlight w:val="none"/>
                    </w:rPr>
                  </w:pPr>
                </w:p>
              </w:tc>
              <w:tc>
                <w:tcPr>
                  <w:tcW w:w="2083" w:type="pct"/>
                  <w:noWrap w:val="0"/>
                  <w:vAlign w:val="center"/>
                </w:tcPr>
                <w:p w14:paraId="4D3C257C">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储煤厂使用的运输车辆应当按照当地城市执法部门的要求进行全面苫盖，并确保车辆清洁</w:t>
                  </w:r>
                </w:p>
              </w:tc>
              <w:tc>
                <w:tcPr>
                  <w:tcW w:w="1248" w:type="pct"/>
                  <w:noWrap w:val="0"/>
                  <w:vAlign w:val="center"/>
                </w:tcPr>
                <w:p w14:paraId="10ED283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进入储煤场运输车辆要求苫盖，定期去外部指定洗车点清洗车辆</w:t>
                  </w:r>
                </w:p>
              </w:tc>
              <w:tc>
                <w:tcPr>
                  <w:tcW w:w="305" w:type="pct"/>
                  <w:noWrap w:val="0"/>
                  <w:vAlign w:val="center"/>
                </w:tcPr>
                <w:p w14:paraId="28E778B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符合</w:t>
                  </w:r>
                </w:p>
              </w:tc>
            </w:tr>
            <w:tr w14:paraId="7C51A2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 w:type="pct"/>
                  <w:vMerge w:val="continue"/>
                  <w:noWrap w:val="0"/>
                  <w:vAlign w:val="center"/>
                </w:tcPr>
                <w:p w14:paraId="059D1A25">
                  <w:pPr>
                    <w:jc w:val="center"/>
                    <w:rPr>
                      <w:rFonts w:hint="default" w:ascii="Times New Roman" w:hAnsi="Times New Roman" w:cs="Times New Roman"/>
                      <w:color w:val="auto"/>
                      <w:szCs w:val="21"/>
                      <w:highlight w:val="none"/>
                    </w:rPr>
                  </w:pPr>
                </w:p>
              </w:tc>
              <w:tc>
                <w:tcPr>
                  <w:tcW w:w="607" w:type="pct"/>
                  <w:vMerge w:val="continue"/>
                  <w:noWrap w:val="0"/>
                  <w:vAlign w:val="center"/>
                </w:tcPr>
                <w:p w14:paraId="7F2D5C1C">
                  <w:pPr>
                    <w:rPr>
                      <w:rFonts w:hint="default" w:ascii="Times New Roman" w:hAnsi="Times New Roman" w:cs="Times New Roman"/>
                      <w:color w:val="auto"/>
                      <w:szCs w:val="21"/>
                      <w:highlight w:val="none"/>
                    </w:rPr>
                  </w:pPr>
                </w:p>
              </w:tc>
              <w:tc>
                <w:tcPr>
                  <w:tcW w:w="2083" w:type="pct"/>
                  <w:noWrap w:val="0"/>
                  <w:vAlign w:val="center"/>
                </w:tcPr>
                <w:p w14:paraId="0D649F96">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储煤厂原则上不得使用燃煤锅炉，应当使用电、天然气等清洁能源取暖。若因条件限制使用燃煤、生物质锅炉的应当配套建设高效除尘设施，并定期检测</w:t>
                  </w:r>
                </w:p>
              </w:tc>
              <w:tc>
                <w:tcPr>
                  <w:tcW w:w="1248" w:type="pct"/>
                  <w:noWrap w:val="0"/>
                  <w:vAlign w:val="center"/>
                </w:tcPr>
                <w:p w14:paraId="4B22BA1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冬季取暖采用电采暖</w:t>
                  </w:r>
                </w:p>
              </w:tc>
              <w:tc>
                <w:tcPr>
                  <w:tcW w:w="305" w:type="pct"/>
                  <w:noWrap w:val="0"/>
                  <w:vAlign w:val="center"/>
                </w:tcPr>
                <w:p w14:paraId="76F3A57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符合</w:t>
                  </w:r>
                </w:p>
              </w:tc>
            </w:tr>
            <w:tr w14:paraId="35F497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 w:type="pct"/>
                  <w:vMerge w:val="continue"/>
                  <w:noWrap w:val="0"/>
                  <w:vAlign w:val="center"/>
                </w:tcPr>
                <w:p w14:paraId="3E50715A">
                  <w:pPr>
                    <w:jc w:val="center"/>
                    <w:rPr>
                      <w:rFonts w:hint="default" w:ascii="Times New Roman" w:hAnsi="Times New Roman" w:cs="Times New Roman"/>
                      <w:color w:val="auto"/>
                      <w:szCs w:val="21"/>
                      <w:highlight w:val="none"/>
                    </w:rPr>
                  </w:pPr>
                </w:p>
              </w:tc>
              <w:tc>
                <w:tcPr>
                  <w:tcW w:w="607" w:type="pct"/>
                  <w:vMerge w:val="continue"/>
                  <w:noWrap w:val="0"/>
                  <w:vAlign w:val="center"/>
                </w:tcPr>
                <w:p w14:paraId="5F5F15C4">
                  <w:pPr>
                    <w:rPr>
                      <w:rFonts w:hint="default" w:ascii="Times New Roman" w:hAnsi="Times New Roman" w:cs="Times New Roman"/>
                      <w:color w:val="auto"/>
                      <w:szCs w:val="21"/>
                      <w:highlight w:val="none"/>
                    </w:rPr>
                  </w:pPr>
                </w:p>
              </w:tc>
              <w:tc>
                <w:tcPr>
                  <w:tcW w:w="2083" w:type="pct"/>
                  <w:noWrap w:val="0"/>
                  <w:vAlign w:val="center"/>
                </w:tcPr>
                <w:p w14:paraId="4B42BFEF">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如有破碎工序或皮带输送作业环节的,须在封闭空间内作业，防止扬尘污染</w:t>
                  </w:r>
                </w:p>
              </w:tc>
              <w:tc>
                <w:tcPr>
                  <w:tcW w:w="1248" w:type="pct"/>
                  <w:noWrap w:val="0"/>
                  <w:vAlign w:val="center"/>
                </w:tcPr>
                <w:p w14:paraId="301A89CF">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项目无</w:t>
                  </w:r>
                  <w:r>
                    <w:rPr>
                      <w:rFonts w:hint="default" w:ascii="Times New Roman" w:hAnsi="Times New Roman" w:cs="Times New Roman"/>
                      <w:color w:val="auto"/>
                      <w:szCs w:val="21"/>
                      <w:highlight w:val="none"/>
                    </w:rPr>
                    <w:t>破碎工序</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皮带输送作业环节</w:t>
                  </w:r>
                </w:p>
              </w:tc>
              <w:tc>
                <w:tcPr>
                  <w:tcW w:w="305" w:type="pct"/>
                  <w:noWrap w:val="0"/>
                  <w:vAlign w:val="center"/>
                </w:tcPr>
                <w:p w14:paraId="33C0C73A">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符合</w:t>
                  </w:r>
                </w:p>
              </w:tc>
            </w:tr>
            <w:tr w14:paraId="1CC4F7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 w:type="pct"/>
                  <w:vMerge w:val="continue"/>
                  <w:noWrap w:val="0"/>
                  <w:vAlign w:val="center"/>
                </w:tcPr>
                <w:p w14:paraId="516FF623">
                  <w:pPr>
                    <w:jc w:val="center"/>
                    <w:rPr>
                      <w:rFonts w:hint="default" w:ascii="Times New Roman" w:hAnsi="Times New Roman" w:cs="Times New Roman"/>
                      <w:color w:val="auto"/>
                      <w:szCs w:val="21"/>
                      <w:highlight w:val="none"/>
                    </w:rPr>
                  </w:pPr>
                </w:p>
              </w:tc>
              <w:tc>
                <w:tcPr>
                  <w:tcW w:w="607" w:type="pct"/>
                  <w:vMerge w:val="restart"/>
                  <w:noWrap w:val="0"/>
                  <w:vAlign w:val="center"/>
                </w:tcPr>
                <w:p w14:paraId="052231AB">
                  <w:pP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水污染防治措施</w:t>
                  </w:r>
                </w:p>
              </w:tc>
              <w:tc>
                <w:tcPr>
                  <w:tcW w:w="2083" w:type="pct"/>
                  <w:noWrap w:val="0"/>
                  <w:vAlign w:val="center"/>
                </w:tcPr>
                <w:p w14:paraId="49F001FF">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储煤厂所应当配套建设雨水导流槽、雨水收集池（雨水收集池应建在厂区地势最低处），收集的雨水沉淀后用于场区洒水降尘和绿化</w:t>
                  </w:r>
                </w:p>
              </w:tc>
              <w:tc>
                <w:tcPr>
                  <w:tcW w:w="1248" w:type="pct"/>
                  <w:noWrap w:val="0"/>
                  <w:vAlign w:val="center"/>
                </w:tcPr>
                <w:p w14:paraId="78B46CC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储煤场建设初期雨水收集池（厂区地势最低处）及导流沟，雨水沉淀后用于厂区洒水降尘</w:t>
                  </w:r>
                </w:p>
              </w:tc>
              <w:tc>
                <w:tcPr>
                  <w:tcW w:w="305" w:type="pct"/>
                  <w:noWrap w:val="0"/>
                  <w:vAlign w:val="center"/>
                </w:tcPr>
                <w:p w14:paraId="210D871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符合</w:t>
                  </w:r>
                </w:p>
              </w:tc>
            </w:tr>
            <w:tr w14:paraId="2C0AF1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 w:type="pct"/>
                  <w:vMerge w:val="continue"/>
                  <w:noWrap w:val="0"/>
                  <w:vAlign w:val="center"/>
                </w:tcPr>
                <w:p w14:paraId="3D2FC528">
                  <w:pPr>
                    <w:jc w:val="center"/>
                    <w:rPr>
                      <w:rFonts w:hint="default" w:ascii="Times New Roman" w:hAnsi="Times New Roman" w:cs="Times New Roman"/>
                      <w:color w:val="auto"/>
                      <w:szCs w:val="21"/>
                      <w:highlight w:val="none"/>
                    </w:rPr>
                  </w:pPr>
                </w:p>
              </w:tc>
              <w:tc>
                <w:tcPr>
                  <w:tcW w:w="607" w:type="pct"/>
                  <w:vMerge w:val="continue"/>
                  <w:noWrap w:val="0"/>
                  <w:vAlign w:val="center"/>
                </w:tcPr>
                <w:p w14:paraId="11735AC2">
                  <w:pPr>
                    <w:rPr>
                      <w:rFonts w:hint="default" w:ascii="Times New Roman" w:hAnsi="Times New Roman" w:cs="Times New Roman"/>
                      <w:color w:val="auto"/>
                      <w:szCs w:val="21"/>
                      <w:highlight w:val="none"/>
                    </w:rPr>
                  </w:pPr>
                </w:p>
              </w:tc>
              <w:tc>
                <w:tcPr>
                  <w:tcW w:w="2083" w:type="pct"/>
                  <w:noWrap w:val="0"/>
                  <w:vAlign w:val="center"/>
                </w:tcPr>
                <w:p w14:paraId="7697800B">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无法接入污水管网的储煤厂应当建设防渗旱厕或防渗化粪池，定期转运至当地生活污水处理厂进行处理或作为肥料进行综合利用，并建立管理台账</w:t>
                  </w:r>
                </w:p>
              </w:tc>
              <w:tc>
                <w:tcPr>
                  <w:tcW w:w="1248" w:type="pct"/>
                  <w:noWrap w:val="0"/>
                  <w:vAlign w:val="center"/>
                </w:tcPr>
                <w:p w14:paraId="7058DC9D">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储煤场设有防渗旱厕，定期外运堆肥</w:t>
                  </w:r>
                </w:p>
              </w:tc>
              <w:tc>
                <w:tcPr>
                  <w:tcW w:w="305" w:type="pct"/>
                  <w:noWrap w:val="0"/>
                  <w:vAlign w:val="center"/>
                </w:tcPr>
                <w:p w14:paraId="732247A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符合</w:t>
                  </w:r>
                </w:p>
              </w:tc>
            </w:tr>
            <w:tr w14:paraId="0035AC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 w:type="pct"/>
                  <w:vMerge w:val="continue"/>
                  <w:noWrap w:val="0"/>
                  <w:vAlign w:val="center"/>
                </w:tcPr>
                <w:p w14:paraId="460A9794">
                  <w:pPr>
                    <w:jc w:val="center"/>
                    <w:rPr>
                      <w:rFonts w:hint="default" w:ascii="Times New Roman" w:hAnsi="Times New Roman" w:cs="Times New Roman"/>
                      <w:color w:val="auto"/>
                      <w:szCs w:val="21"/>
                      <w:highlight w:val="none"/>
                    </w:rPr>
                  </w:pPr>
                </w:p>
              </w:tc>
              <w:tc>
                <w:tcPr>
                  <w:tcW w:w="607" w:type="pct"/>
                  <w:noWrap w:val="0"/>
                  <w:vAlign w:val="center"/>
                </w:tcPr>
                <w:p w14:paraId="6C0D1AAF">
                  <w:pP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土壤污染防治措施</w:t>
                  </w:r>
                </w:p>
              </w:tc>
              <w:tc>
                <w:tcPr>
                  <w:tcW w:w="2083" w:type="pct"/>
                  <w:noWrap w:val="0"/>
                  <w:vAlign w:val="center"/>
                </w:tcPr>
                <w:p w14:paraId="12FE318A">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储煤厂场区地面必须全部硬化，其中车辆进出口及主要运输通道必须使用水泥或柏油进行硬化</w:t>
                  </w:r>
                </w:p>
              </w:tc>
              <w:tc>
                <w:tcPr>
                  <w:tcW w:w="1248" w:type="pct"/>
                  <w:noWrap w:val="0"/>
                  <w:vAlign w:val="center"/>
                </w:tcPr>
                <w:p w14:paraId="5275944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储煤场厂区地面硬化，车辆进出口及主要运输通道使用水泥硬化</w:t>
                  </w:r>
                </w:p>
              </w:tc>
              <w:tc>
                <w:tcPr>
                  <w:tcW w:w="305" w:type="pct"/>
                  <w:noWrap w:val="0"/>
                  <w:vAlign w:val="center"/>
                </w:tcPr>
                <w:p w14:paraId="25EB37C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符合</w:t>
                  </w:r>
                </w:p>
              </w:tc>
            </w:tr>
            <w:tr w14:paraId="5AD0B9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 w:type="pct"/>
                  <w:vMerge w:val="continue"/>
                  <w:noWrap w:val="0"/>
                  <w:vAlign w:val="center"/>
                </w:tcPr>
                <w:p w14:paraId="2B542181">
                  <w:pPr>
                    <w:jc w:val="center"/>
                    <w:rPr>
                      <w:rFonts w:hint="default" w:ascii="Times New Roman" w:hAnsi="Times New Roman" w:cs="Times New Roman"/>
                      <w:color w:val="auto"/>
                      <w:szCs w:val="21"/>
                      <w:highlight w:val="none"/>
                    </w:rPr>
                  </w:pPr>
                </w:p>
              </w:tc>
              <w:tc>
                <w:tcPr>
                  <w:tcW w:w="607" w:type="pct"/>
                  <w:noWrap w:val="0"/>
                  <w:vAlign w:val="center"/>
                </w:tcPr>
                <w:p w14:paraId="0B45C763">
                  <w:pP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噪声污染防治措施</w:t>
                  </w:r>
                </w:p>
              </w:tc>
              <w:tc>
                <w:tcPr>
                  <w:tcW w:w="2083" w:type="pct"/>
                  <w:noWrap w:val="0"/>
                  <w:vAlign w:val="center"/>
                </w:tcPr>
                <w:p w14:paraId="2F755B0C">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储煤厂应当选取低噪声的设备、设施，并严格遵守《中华人民共和国噪声污染防治法》的相关规定，合理规划生产作业时限</w:t>
                  </w:r>
                </w:p>
              </w:tc>
              <w:tc>
                <w:tcPr>
                  <w:tcW w:w="1248" w:type="pct"/>
                  <w:noWrap w:val="0"/>
                  <w:vAlign w:val="center"/>
                </w:tcPr>
                <w:p w14:paraId="65B126A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项目选取低噪声设备，夜间不进行生产</w:t>
                  </w:r>
                </w:p>
              </w:tc>
              <w:tc>
                <w:tcPr>
                  <w:tcW w:w="305" w:type="pct"/>
                  <w:noWrap w:val="0"/>
                  <w:vAlign w:val="center"/>
                </w:tcPr>
                <w:p w14:paraId="4E161E9A">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符合</w:t>
                  </w:r>
                </w:p>
              </w:tc>
            </w:tr>
            <w:tr w14:paraId="197000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 w:type="pct"/>
                  <w:vMerge w:val="continue"/>
                  <w:noWrap w:val="0"/>
                  <w:vAlign w:val="center"/>
                </w:tcPr>
                <w:p w14:paraId="41F69CB4">
                  <w:pPr>
                    <w:jc w:val="center"/>
                    <w:rPr>
                      <w:rFonts w:hint="default" w:ascii="Times New Roman" w:hAnsi="Times New Roman" w:cs="Times New Roman"/>
                      <w:color w:val="auto"/>
                      <w:szCs w:val="21"/>
                      <w:highlight w:val="none"/>
                    </w:rPr>
                  </w:pPr>
                </w:p>
              </w:tc>
              <w:tc>
                <w:tcPr>
                  <w:tcW w:w="607" w:type="pct"/>
                  <w:noWrap w:val="0"/>
                  <w:vAlign w:val="center"/>
                </w:tcPr>
                <w:p w14:paraId="7B90AB7C">
                  <w:pP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危险废物污染防治措施</w:t>
                  </w:r>
                </w:p>
              </w:tc>
              <w:tc>
                <w:tcPr>
                  <w:tcW w:w="2083" w:type="pct"/>
                  <w:noWrap w:val="0"/>
                  <w:vAlign w:val="center"/>
                </w:tcPr>
                <w:p w14:paraId="3881DA5D">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储煤厂应当建设危险废物贮存间，并按照《危险废物识别标志设置技术规范》设置危险废物标识，将产生的废机油等危险废物进行收集贮存，定期由有资质的处置单位转移、处置，执行危险废物转移联单管理制度并做好台账记录</w:t>
                  </w:r>
                </w:p>
              </w:tc>
              <w:tc>
                <w:tcPr>
                  <w:tcW w:w="1248" w:type="pct"/>
                  <w:noWrap w:val="0"/>
                  <w:vAlign w:val="center"/>
                </w:tcPr>
                <w:p w14:paraId="73E6A23A">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项目在厂内设危险废物贮存点，用于贮存储煤场产生的废机油等危险废物，定期交由有资质单位处理</w:t>
                  </w:r>
                </w:p>
              </w:tc>
              <w:tc>
                <w:tcPr>
                  <w:tcW w:w="305" w:type="pct"/>
                  <w:noWrap w:val="0"/>
                  <w:vAlign w:val="center"/>
                </w:tcPr>
                <w:p w14:paraId="234C5CB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符合</w:t>
                  </w:r>
                </w:p>
              </w:tc>
            </w:tr>
            <w:tr w14:paraId="1A79C3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 w:type="pct"/>
                  <w:noWrap w:val="0"/>
                  <w:vAlign w:val="center"/>
                </w:tcPr>
                <w:p w14:paraId="5F26943E">
                  <w:pPr>
                    <w:jc w:val="center"/>
                    <w:rPr>
                      <w:rFonts w:hint="default" w:ascii="Times New Roman" w:hAnsi="Times New Roman" w:cs="Times New Roman"/>
                      <w:color w:val="auto"/>
                      <w:szCs w:val="21"/>
                      <w:highlight w:val="none"/>
                    </w:rPr>
                  </w:pPr>
                </w:p>
              </w:tc>
              <w:tc>
                <w:tcPr>
                  <w:tcW w:w="607" w:type="pct"/>
                  <w:noWrap w:val="0"/>
                  <w:vAlign w:val="center"/>
                </w:tcPr>
                <w:p w14:paraId="71A0AAC5">
                  <w:pP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其他污染防治措施</w:t>
                  </w:r>
                </w:p>
              </w:tc>
              <w:tc>
                <w:tcPr>
                  <w:tcW w:w="2083" w:type="pct"/>
                  <w:noWrap w:val="0"/>
                  <w:vAlign w:val="center"/>
                </w:tcPr>
                <w:p w14:paraId="00F74841">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储煤厂应当定期对厂区及周边进行清理保洁，保持良好的环境卫生面貌，防止出现</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脏、乱、差</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现象。并设置生活垃圾收集箱，定期转运</w:t>
                  </w:r>
                </w:p>
              </w:tc>
              <w:tc>
                <w:tcPr>
                  <w:tcW w:w="1248" w:type="pct"/>
                  <w:noWrap w:val="0"/>
                  <w:vAlign w:val="center"/>
                </w:tcPr>
                <w:p w14:paraId="717DCA0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项目设置生活垃圾箱，定期转运，定期对厂区进行清理，</w:t>
                  </w:r>
                </w:p>
              </w:tc>
              <w:tc>
                <w:tcPr>
                  <w:tcW w:w="305" w:type="pct"/>
                  <w:noWrap w:val="0"/>
                  <w:vAlign w:val="center"/>
                </w:tcPr>
                <w:p w14:paraId="1B9692A5">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符合</w:t>
                  </w:r>
                </w:p>
              </w:tc>
            </w:tr>
          </w:tbl>
          <w:p w14:paraId="4215F098">
            <w:pPr>
              <w:pStyle w:val="31"/>
              <w:spacing w:before="0" w:beforeLines="0" w:after="0" w:afterLines="0" w:line="360" w:lineRule="auto"/>
              <w:ind w:firstLine="480"/>
              <w:textAlignment w:val="baseline"/>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综上，本项目符合《鸡西市洗煤厂、储煤厂排查整治工作方案》《鸡西市洗煤厂、储煤场环境综合整治验收标准》要求。</w:t>
            </w:r>
          </w:p>
          <w:p w14:paraId="53DC640E">
            <w:pPr>
              <w:spacing w:line="360" w:lineRule="auto"/>
              <w:jc w:val="left"/>
              <w:rPr>
                <w:rFonts w:hint="default" w:ascii="Times New Roman" w:hAnsi="Times New Roman" w:cs="Times New Roman"/>
                <w:b/>
                <w:color w:val="auto"/>
                <w:sz w:val="24"/>
                <w:highlight w:val="none"/>
                <w:lang w:val="en-US" w:eastAsia="zh-CN"/>
              </w:rPr>
            </w:pPr>
            <w:r>
              <w:rPr>
                <w:rFonts w:hint="default" w:ascii="Times New Roman" w:hAnsi="Times New Roman" w:cs="Times New Roman"/>
                <w:b/>
                <w:color w:val="auto"/>
                <w:sz w:val="24"/>
                <w:highlight w:val="none"/>
                <w:lang w:val="en-US" w:eastAsia="zh-CN"/>
              </w:rPr>
              <w:t>6、与《黑龙江省人民政府关于印发黑龙江省大气污染防治行动计划实施细则的通知》（黑政发〔2014〕1号）“高污染燃料禁燃区”符合性分析</w:t>
            </w:r>
          </w:p>
          <w:p w14:paraId="69E91BC2">
            <w:pPr>
              <w:pStyle w:val="31"/>
              <w:spacing w:before="0" w:beforeLines="0" w:after="0" w:afterLines="0" w:line="360" w:lineRule="auto"/>
              <w:ind w:firstLine="480"/>
              <w:textAlignment w:val="baseline"/>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为进一步改善城市空气环境质量，保障人民群众身体健康，根据《中华人民共和国大气污染防治法》《黑龙江省人民政府关于印发黑龙江省大气污染防治行动计划实施细则的通知》（黑政发〔2014〕1号）要求，鸡</w:t>
            </w:r>
            <w:r>
              <w:rPr>
                <w:rFonts w:hint="default" w:ascii="Times New Roman" w:hAnsi="Times New Roman" w:eastAsia="宋体" w:cs="Times New Roman"/>
                <w:color w:val="auto"/>
                <w:highlight w:val="none"/>
                <w:lang w:val="en-US" w:eastAsia="zh-CN"/>
              </w:rPr>
              <w:t>西市在重点区域划定了高污染燃料禁燃区。燃区内也禁止销售、燃用高污染燃料；禁止新建、扩建燃用高污染燃料设施，已建成的应在政府规定期限内改用天然气、页岩气、液化石油气、电或者其他清洁能源。</w:t>
            </w:r>
          </w:p>
          <w:p w14:paraId="7A88B474">
            <w:pPr>
              <w:pStyle w:val="31"/>
              <w:spacing w:before="0" w:beforeLines="0" w:after="0" w:afterLines="0" w:line="360" w:lineRule="auto"/>
              <w:ind w:firstLine="480"/>
              <w:textAlignment w:val="baseline"/>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禁燃区的范围涉及北环中路（西）---东山街---兴国东路（蔬菜公司）---电工路---红星路---和平南大街---201国道（体育馆）---兴国西路头---北环中路（休闲广场东），形成的围合区域。</w:t>
            </w:r>
          </w:p>
          <w:p w14:paraId="10F1E570">
            <w:pPr>
              <w:pStyle w:val="31"/>
              <w:spacing w:before="0" w:beforeLines="0" w:after="0" w:afterLines="0" w:line="360" w:lineRule="auto"/>
              <w:ind w:firstLine="480"/>
              <w:textAlignment w:val="baseline"/>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本项目位于鸡西市</w:t>
            </w:r>
            <w:r>
              <w:rPr>
                <w:rFonts w:hint="default" w:ascii="Times New Roman" w:hAnsi="Times New Roman" w:cs="Times New Roman"/>
                <w:color w:val="auto"/>
                <w:highlight w:val="none"/>
                <w:lang w:val="en-US" w:eastAsia="zh-CN"/>
              </w:rPr>
              <w:t>鸡冠区西郊乡团结村</w:t>
            </w:r>
            <w:r>
              <w:rPr>
                <w:rFonts w:hint="default" w:ascii="Times New Roman" w:hAnsi="Times New Roman" w:eastAsia="宋体" w:cs="Times New Roman"/>
                <w:color w:val="auto"/>
                <w:highlight w:val="none"/>
                <w:lang w:val="en-US" w:eastAsia="zh-CN"/>
              </w:rPr>
              <w:t>，不在鸡西市高污染燃料禁燃区范围划定范围内，项目不违背鸡西市高污染燃料禁燃区要求。</w:t>
            </w:r>
          </w:p>
          <w:p w14:paraId="5D9CCAB5">
            <w:pPr>
              <w:rPr>
                <w:rFonts w:hint="default" w:ascii="Times New Roman" w:hAnsi="Times New Roman" w:cs="Times New Roman"/>
                <w:color w:val="auto"/>
                <w:highlight w:val="none"/>
              </w:rPr>
            </w:pPr>
            <w:r>
              <w:rPr>
                <w:rFonts w:hint="default" w:ascii="Times New Roman" w:hAnsi="Times New Roman" w:eastAsia="宋体" w:cs="Times New Roman"/>
                <w:b/>
                <w:bCs/>
                <w:color w:val="auto"/>
                <w:sz w:val="24"/>
                <w:highlight w:val="none"/>
                <w:lang w:eastAsia="zh-CN"/>
              </w:rPr>
              <w:drawing>
                <wp:anchor distT="0" distB="0" distL="114300" distR="114300" simplePos="0" relativeHeight="251677696" behindDoc="0" locked="0" layoutInCell="1" allowOverlap="1">
                  <wp:simplePos x="0" y="0"/>
                  <wp:positionH relativeFrom="column">
                    <wp:posOffset>3974465</wp:posOffset>
                  </wp:positionH>
                  <wp:positionV relativeFrom="paragraph">
                    <wp:posOffset>12065</wp:posOffset>
                  </wp:positionV>
                  <wp:extent cx="457200" cy="450850"/>
                  <wp:effectExtent l="0" t="0" r="0" b="6350"/>
                  <wp:wrapNone/>
                  <wp:docPr id="16" name="图片 16" descr="1719279096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719279096590(1)"/>
                          <pic:cNvPicPr>
                            <a:picLocks noChangeAspect="1"/>
                          </pic:cNvPicPr>
                        </pic:nvPicPr>
                        <pic:blipFill>
                          <a:blip r:embed="rId14"/>
                          <a:stretch>
                            <a:fillRect/>
                          </a:stretch>
                        </pic:blipFill>
                        <pic:spPr>
                          <a:xfrm>
                            <a:off x="0" y="0"/>
                            <a:ext cx="457200" cy="450850"/>
                          </a:xfrm>
                          <a:prstGeom prst="rect">
                            <a:avLst/>
                          </a:prstGeom>
                        </pic:spPr>
                      </pic:pic>
                    </a:graphicData>
                  </a:graphic>
                </wp:anchor>
              </w:drawing>
            </w:r>
            <w:r>
              <w:rPr>
                <w:rFonts w:hint="default" w:ascii="Times New Roman" w:hAnsi="Times New Roman" w:cs="Times New Roman"/>
                <w:color w:val="auto"/>
              </w:rPr>
              <mc:AlternateContent>
                <mc:Choice Requires="wps">
                  <w:drawing>
                    <wp:anchor distT="0" distB="0" distL="114300" distR="114300" simplePos="0" relativeHeight="251676672" behindDoc="0" locked="0" layoutInCell="1" allowOverlap="1">
                      <wp:simplePos x="0" y="0"/>
                      <wp:positionH relativeFrom="column">
                        <wp:posOffset>17145</wp:posOffset>
                      </wp:positionH>
                      <wp:positionV relativeFrom="paragraph">
                        <wp:posOffset>45085</wp:posOffset>
                      </wp:positionV>
                      <wp:extent cx="1102995" cy="386715"/>
                      <wp:effectExtent l="0" t="0" r="0" b="0"/>
                      <wp:wrapNone/>
                      <wp:docPr id="9" name="文本框 9"/>
                      <wp:cNvGraphicFramePr/>
                      <a:graphic xmlns:a="http://schemas.openxmlformats.org/drawingml/2006/main">
                        <a:graphicData uri="http://schemas.microsoft.com/office/word/2010/wordprocessingShape">
                          <wps:wsp>
                            <wps:cNvSpPr txBox="1"/>
                            <wps:spPr>
                              <a:xfrm>
                                <a:off x="0" y="0"/>
                                <a:ext cx="1102995" cy="386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9E8232">
                                  <w:pPr>
                                    <w:rPr>
                                      <w:rFonts w:hint="default"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5pt;margin-top:3.55pt;height:30.45pt;width:86.85pt;z-index:251676672;mso-width-relative:page;mso-height-relative:page;" filled="f" stroked="f" coordsize="21600,21600" o:gfxdata="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5Dokd9YAAAAGAQAADwAAAAAAAAABACAAAAAiAAAAZHJzL2Rv&#10;d25yZXYueG1sUEsBAhQAFAAAAAgAh07iQE8Tqww8AgAAZgQAAA4AAAAAAAAAAQAgAAAAJQEAAGRy&#10;cy9lMm9Eb2MueG1sUEsFBgAAAAAGAAYAWQEAANMFAAAAAA==&#10;">
                      <v:fill on="f" focussize="0,0"/>
                      <v:stroke on="f" weight="0.5pt"/>
                      <v:imagedata o:title=""/>
                      <o:lock v:ext="edit" aspectratio="f"/>
                      <v:textbox>
                        <w:txbxContent>
                          <w:p w14:paraId="7D9E8232">
                            <w:pPr>
                              <w:rPr>
                                <w:rFonts w:hint="default" w:eastAsia="宋体"/>
                                <w:lang w:val="en-US" w:eastAsia="zh-CN"/>
                              </w:rPr>
                            </w:pPr>
                            <w:r>
                              <w:rPr>
                                <w:rFonts w:hint="eastAsia"/>
                                <w:lang w:val="en-US" w:eastAsia="zh-CN"/>
                              </w:rPr>
                              <w:t>本项目位置</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6912" behindDoc="0" locked="0" layoutInCell="1" allowOverlap="1">
                      <wp:simplePos x="0" y="0"/>
                      <wp:positionH relativeFrom="column">
                        <wp:posOffset>205105</wp:posOffset>
                      </wp:positionH>
                      <wp:positionV relativeFrom="paragraph">
                        <wp:posOffset>257810</wp:posOffset>
                      </wp:positionV>
                      <wp:extent cx="102870" cy="231775"/>
                      <wp:effectExtent l="10795" t="2540" r="19685" b="13335"/>
                      <wp:wrapNone/>
                      <wp:docPr id="96" name="直接箭头连接符 96"/>
                      <wp:cNvGraphicFramePr/>
                      <a:graphic xmlns:a="http://schemas.openxmlformats.org/drawingml/2006/main">
                        <a:graphicData uri="http://schemas.microsoft.com/office/word/2010/wordprocessingShape">
                          <wps:wsp>
                            <wps:cNvCnPr/>
                            <wps:spPr>
                              <a:xfrm flipH="1">
                                <a:off x="0" y="0"/>
                                <a:ext cx="102870" cy="23177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6.15pt;margin-top:20.3pt;height:18.25pt;width:8.1pt;z-index:251686912;mso-width-relative:page;mso-height-relative:page;" filled="f" stroked="t" coordsize="21600,21600" o:gfxdata="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pwDQ1dkAAAAHAQAADwAAAAAAAAAB&#10;ACAAAAAiAAAAZHJzL2Rvd25yZXYueG1sUEsBAhQAFAAAAAgAh07iQEFTdXcPAgAA7wMAAA4AAAAA&#10;AAAAAQAgAAAAKAEAAGRycy9lMm9Eb2MueG1sUEsFBgAAAAAGAAYAWQEAAKkFAAAAAA==&#10;">
                      <v:fill on="f" focussize="0,0"/>
                      <v:stroke weight="1pt" color="#000000 [3213]" miterlimit="8" joinstyle="miter" endarrow="open"/>
                      <v:imagedata o:title=""/>
                      <o:lock v:ext="edit" aspectratio="f"/>
                    </v:shape>
                  </w:pict>
                </mc:Fallback>
              </mc:AlternateContent>
            </w:r>
            <w:r>
              <w:rPr>
                <w:rFonts w:hint="default" w:ascii="Times New Roman" w:hAnsi="Times New Roman" w:cs="Times New Roman"/>
              </w:rPr>
              <w:drawing>
                <wp:inline distT="0" distB="0" distL="114300" distR="114300">
                  <wp:extent cx="4439285" cy="2264410"/>
                  <wp:effectExtent l="0" t="0" r="18415" b="2540"/>
                  <wp:docPr id="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pic:cNvPicPr>
                            <a:picLocks noChangeAspect="1"/>
                          </pic:cNvPicPr>
                        </pic:nvPicPr>
                        <pic:blipFill>
                          <a:blip r:embed="rId15"/>
                          <a:stretch>
                            <a:fillRect/>
                          </a:stretch>
                        </pic:blipFill>
                        <pic:spPr>
                          <a:xfrm>
                            <a:off x="0" y="0"/>
                            <a:ext cx="4439285" cy="2264410"/>
                          </a:xfrm>
                          <a:prstGeom prst="rect">
                            <a:avLst/>
                          </a:prstGeom>
                          <a:noFill/>
                          <a:ln>
                            <a:noFill/>
                          </a:ln>
                        </pic:spPr>
                      </pic:pic>
                    </a:graphicData>
                  </a:graphic>
                </wp:inline>
              </w:drawing>
            </w:r>
          </w:p>
          <w:p w14:paraId="0AF7810E">
            <w:pPr>
              <w:adjustRightInd w:val="0"/>
              <w:snapToGrid w:val="0"/>
              <w:jc w:val="center"/>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4"/>
                <w:szCs w:val="24"/>
                <w:highlight w:val="none"/>
                <w:lang w:val="en-US" w:eastAsia="zh-CN" w:bidi="ar-SA"/>
              </w:rPr>
              <w:t>图1-</w:t>
            </w:r>
            <w:r>
              <w:rPr>
                <w:rFonts w:hint="default" w:ascii="Times New Roman" w:hAnsi="Times New Roman" w:cs="Times New Roman"/>
                <w:b/>
                <w:bCs/>
                <w:color w:val="auto"/>
                <w:kern w:val="2"/>
                <w:sz w:val="24"/>
                <w:szCs w:val="24"/>
                <w:highlight w:val="none"/>
                <w:lang w:val="en-US" w:eastAsia="zh-CN" w:bidi="ar-SA"/>
              </w:rPr>
              <w:t>2</w:t>
            </w:r>
            <w:r>
              <w:rPr>
                <w:rFonts w:hint="default" w:ascii="Times New Roman" w:hAnsi="Times New Roman" w:eastAsia="宋体" w:cs="Times New Roman"/>
                <w:b/>
                <w:bCs/>
                <w:color w:val="auto"/>
                <w:kern w:val="2"/>
                <w:sz w:val="24"/>
                <w:szCs w:val="24"/>
                <w:highlight w:val="none"/>
                <w:lang w:val="en-US" w:eastAsia="zh-CN" w:bidi="ar-SA"/>
              </w:rPr>
              <w:t xml:space="preserve"> 鸡西市高污染燃料禁燃区位置图</w:t>
            </w:r>
          </w:p>
          <w:p w14:paraId="149B1315">
            <w:pPr>
              <w:pStyle w:val="39"/>
              <w:spacing w:line="500" w:lineRule="exact"/>
              <w:ind w:firstLine="0" w:firstLineChars="0"/>
              <w:rPr>
                <w:rFonts w:hint="default" w:ascii="Times New Roman" w:hAnsi="Times New Roman" w:eastAsia="宋体" w:cs="Times New Roman"/>
                <w:b/>
                <w:bCs/>
                <w:color w:val="auto"/>
                <w:sz w:val="24"/>
                <w:highlight w:val="none"/>
                <w:lang w:eastAsia="zh-CN"/>
              </w:rPr>
            </w:pPr>
            <w:r>
              <w:rPr>
                <w:rFonts w:hint="default" w:ascii="Times New Roman" w:hAnsi="Times New Roman" w:cs="Times New Roman"/>
                <w:b/>
                <w:bCs/>
                <w:color w:val="auto"/>
                <w:sz w:val="24"/>
                <w:highlight w:val="none"/>
                <w:lang w:val="en-US" w:eastAsia="zh-CN"/>
              </w:rPr>
              <w:t>7、</w:t>
            </w:r>
            <w:r>
              <w:rPr>
                <w:rFonts w:hint="default" w:ascii="Times New Roman" w:hAnsi="Times New Roman" w:cs="Times New Roman"/>
                <w:b/>
                <w:bCs/>
                <w:color w:val="auto"/>
                <w:sz w:val="24"/>
                <w:highlight w:val="none"/>
              </w:rPr>
              <w:t>本项目与《黑龙江省大气污染防治条例》符合性</w:t>
            </w:r>
          </w:p>
          <w:p w14:paraId="5E82D453">
            <w:pPr>
              <w:pStyle w:val="39"/>
              <w:autoSpaceDE w:val="0"/>
              <w:autoSpaceDN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黑龙江省大气污染防治条例提出：</w:t>
            </w:r>
            <w:r>
              <w:rPr>
                <w:rFonts w:hint="default" w:ascii="Times New Roman" w:hAnsi="Times New Roman" w:cs="Times New Roman"/>
                <w:color w:val="auto"/>
                <w:sz w:val="24"/>
                <w:highlight w:val="none"/>
                <w:lang w:val="en-US" w:eastAsia="zh-CN"/>
              </w:rPr>
              <w:t>第五十六条</w:t>
            </w:r>
            <w:r>
              <w:rPr>
                <w:rFonts w:hint="default" w:ascii="Times New Roman" w:hAnsi="Times New Roman" w:cs="Times New Roman"/>
                <w:color w:val="auto"/>
                <w:sz w:val="24"/>
                <w:highlight w:val="none"/>
              </w:rPr>
              <w:t>运输煤炭、垃圾、渣土、砂石、土方、灰浆等散装、流体物料的车辆，应当采取密闭或者其他措施防止物料遗撒、泄漏，并按照规定的路线和时间行驶</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第</w:t>
            </w:r>
            <w:r>
              <w:rPr>
                <w:rFonts w:hint="default" w:ascii="Times New Roman" w:hAnsi="Times New Roman" w:cs="Times New Roman"/>
                <w:color w:val="auto"/>
                <w:sz w:val="24"/>
                <w:highlight w:val="none"/>
              </w:rPr>
              <w:t>五十八条 企业应当按照设计和开发利用方案作业，设置废石、废渣、泥土等专门存放地，并采取围挡、硬化施工道路、洒水降尘、设置防风抑尘网或者防尘布等防尘、降尘措施。开采后应当及时进行生态修复，防治扬尘污染。</w:t>
            </w:r>
          </w:p>
          <w:p w14:paraId="6A532559">
            <w:pPr>
              <w:pStyle w:val="39"/>
              <w:autoSpaceDE w:val="0"/>
              <w:autoSpaceDN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val="en-US" w:eastAsia="zh-CN"/>
              </w:rPr>
              <w:t>为储煤场项目</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储煤场四周设有闭合防风抑尘网，储煤场内堆存煤炭使用绿网进行苫盖；定期对储煤区域进行洒水降尘，禁止在重污染天气、大风天气进行作业；煤场运输车辆进行全面苫盖</w:t>
            </w:r>
            <w:r>
              <w:rPr>
                <w:rFonts w:hint="default" w:ascii="Times New Roman" w:hAnsi="Times New Roman" w:cs="Times New Roman"/>
                <w:color w:val="auto"/>
                <w:sz w:val="24"/>
                <w:highlight w:val="none"/>
              </w:rPr>
              <w:t>。综上，本项目与《黑龙江省大气污染防治条例》是相符合的。</w:t>
            </w:r>
          </w:p>
          <w:p w14:paraId="743C8527">
            <w:pPr>
              <w:pStyle w:val="39"/>
              <w:keepNext w:val="0"/>
              <w:keepLines w:val="0"/>
              <w:pageBreakBefore w:val="0"/>
              <w:widowControl w:val="0"/>
              <w:kinsoku/>
              <w:wordWrap/>
              <w:overflowPunct/>
              <w:topLinePunct w:val="0"/>
              <w:autoSpaceDE w:val="0"/>
              <w:autoSpaceDN w:val="0"/>
              <w:bidi w:val="0"/>
              <w:adjustRightInd/>
              <w:snapToGrid/>
              <w:spacing w:line="360" w:lineRule="auto"/>
              <w:ind w:firstLine="0" w:firstLineChars="0"/>
              <w:textAlignment w:val="auto"/>
              <w:rPr>
                <w:rFonts w:hint="default" w:ascii="Times New Roman" w:hAnsi="Times New Roman" w:cs="Times New Roman"/>
                <w:color w:val="auto"/>
                <w:sz w:val="24"/>
                <w:highlight w:val="none"/>
              </w:rPr>
            </w:pPr>
            <w:r>
              <w:rPr>
                <w:rFonts w:hint="default" w:ascii="Times New Roman" w:hAnsi="Times New Roman" w:cs="Times New Roman"/>
                <w:b/>
                <w:bCs/>
                <w:color w:val="auto"/>
                <w:sz w:val="24"/>
                <w:highlight w:val="none"/>
                <w:lang w:val="en-US" w:eastAsia="zh-CN"/>
              </w:rPr>
              <w:t>8</w:t>
            </w:r>
            <w:r>
              <w:rPr>
                <w:rFonts w:hint="default" w:ascii="Times New Roman" w:hAnsi="Times New Roman" w:cs="Times New Roman"/>
                <w:b/>
                <w:bCs/>
                <w:color w:val="auto"/>
                <w:sz w:val="24"/>
                <w:highlight w:val="none"/>
              </w:rPr>
              <w:t>、本项目与《鸡西市</w:t>
            </w:r>
            <w:r>
              <w:rPr>
                <w:rFonts w:hint="default" w:ascii="Times New Roman" w:hAnsi="Times New Roman" w:cs="Times New Roman"/>
                <w:b/>
                <w:bCs/>
                <w:color w:val="auto"/>
                <w:sz w:val="24"/>
                <w:highlight w:val="none"/>
                <w:lang w:eastAsia="zh-CN"/>
              </w:rPr>
              <w:t>“</w:t>
            </w:r>
            <w:r>
              <w:rPr>
                <w:rFonts w:hint="default" w:ascii="Times New Roman" w:hAnsi="Times New Roman" w:cs="Times New Roman"/>
                <w:b/>
                <w:bCs/>
                <w:color w:val="auto"/>
                <w:sz w:val="24"/>
                <w:highlight w:val="none"/>
              </w:rPr>
              <w:t>十四五</w:t>
            </w:r>
            <w:r>
              <w:rPr>
                <w:rFonts w:hint="default" w:ascii="Times New Roman" w:hAnsi="Times New Roman" w:cs="Times New Roman"/>
                <w:b/>
                <w:bCs/>
                <w:color w:val="auto"/>
                <w:sz w:val="24"/>
                <w:highlight w:val="none"/>
                <w:lang w:eastAsia="zh-CN"/>
              </w:rPr>
              <w:t>”</w:t>
            </w:r>
            <w:r>
              <w:rPr>
                <w:rFonts w:hint="default" w:ascii="Times New Roman" w:hAnsi="Times New Roman" w:cs="Times New Roman"/>
                <w:b/>
                <w:bCs/>
                <w:color w:val="auto"/>
                <w:sz w:val="24"/>
                <w:highlight w:val="none"/>
              </w:rPr>
              <w:t>生态环境保护规划》的符合性</w:t>
            </w:r>
          </w:p>
          <w:p w14:paraId="18C1EC44">
            <w:pPr>
              <w:pStyle w:val="39"/>
              <w:keepNext w:val="0"/>
              <w:keepLines w:val="0"/>
              <w:pageBreakBefore w:val="0"/>
              <w:widowControl w:val="0"/>
              <w:kinsoku/>
              <w:wordWrap/>
              <w:overflowPunct/>
              <w:topLinePunct w:val="0"/>
              <w:autoSpaceDE w:val="0"/>
              <w:autoSpaceDN w:val="0"/>
              <w:bidi w:val="0"/>
              <w:adjustRightInd/>
              <w:snapToGrid/>
              <w:spacing w:line="360" w:lineRule="auto"/>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《鸡西市</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十四五</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生态环境保护规划》提出：推进扬尘精细化管控。全面推行绿色施工，严格落实施工工地扬尘管控责任，加强施工扬尘监管执法。推进低尘机械化湿式清扫作业，加大城市出入口、城乡结合部等重要路段冲洗保洁力度，渣土车实施全密闭运输，强化绿化用地扬尘治理。城市裸露地面、粉粒类物料堆放以及大型煤炭物料堆场，全面完成抑尘设施建设和物料输送系统封闭改造，鼓励有条件的堆场实施全封闭改造。</w:t>
            </w:r>
          </w:p>
          <w:p w14:paraId="00AD0028">
            <w:pPr>
              <w:pStyle w:val="39"/>
              <w:keepNext w:val="0"/>
              <w:keepLines w:val="0"/>
              <w:pageBreakBefore w:val="0"/>
              <w:widowControl w:val="0"/>
              <w:kinsoku/>
              <w:wordWrap/>
              <w:overflowPunct/>
              <w:topLinePunct w:val="0"/>
              <w:autoSpaceDE w:val="0"/>
              <w:autoSpaceDN w:val="0"/>
              <w:bidi w:val="0"/>
              <w:adjustRightInd/>
              <w:snapToGrid/>
              <w:spacing w:line="360" w:lineRule="auto"/>
              <w:ind w:firstLine="480"/>
              <w:textAlignment w:val="auto"/>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val="en-US" w:eastAsia="zh-CN"/>
              </w:rPr>
              <w:t>为储煤场项目，项目内有</w:t>
            </w:r>
            <w:r>
              <w:rPr>
                <w:rFonts w:hint="default" w:ascii="Times New Roman" w:hAnsi="Times New Roman" w:cs="Times New Roman"/>
                <w:color w:val="auto"/>
                <w:sz w:val="24"/>
                <w:highlight w:val="none"/>
              </w:rPr>
              <w:t>大型煤炭物料堆场，</w:t>
            </w:r>
            <w:r>
              <w:rPr>
                <w:rFonts w:hint="default" w:ascii="Times New Roman" w:hAnsi="Times New Roman" w:cs="Times New Roman"/>
                <w:color w:val="auto"/>
                <w:sz w:val="24"/>
                <w:highlight w:val="none"/>
                <w:lang w:val="en-US" w:eastAsia="zh-CN"/>
              </w:rPr>
              <w:t>储煤场四周设有闭合防风抑尘网，储煤场内堆存煤炭使用绿网进行苫盖；定期对储煤区域进行洒水降尘，禁止在重污染天气、大风天气进行作业；煤场运输车辆进行全面苫盖，项目</w:t>
            </w:r>
            <w:r>
              <w:rPr>
                <w:rFonts w:hint="default" w:ascii="Times New Roman" w:hAnsi="Times New Roman" w:cs="Times New Roman"/>
                <w:color w:val="auto"/>
                <w:sz w:val="24"/>
                <w:highlight w:val="none"/>
              </w:rPr>
              <w:t>符合《鸡西市</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十四五</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生态环境保护规划》相关要求</w:t>
            </w:r>
            <w:r>
              <w:rPr>
                <w:rFonts w:hint="default" w:ascii="Times New Roman" w:hAnsi="Times New Roman" w:cs="Times New Roman"/>
                <w:color w:val="auto"/>
                <w:sz w:val="24"/>
                <w:highlight w:val="none"/>
                <w:lang w:eastAsia="zh-CN"/>
              </w:rPr>
              <w:t>。</w:t>
            </w:r>
          </w:p>
          <w:p w14:paraId="35C333FC">
            <w:pPr>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ind w:right="0" w:rightChars="0"/>
              <w:textAlignment w:val="auto"/>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9、与《黑龙江省空气质量持续改善行动计划实施方案》（黑政发〔2023〕19号）符合性分析</w:t>
            </w:r>
          </w:p>
          <w:p w14:paraId="5454E0EC">
            <w:pPr>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ind w:right="0" w:rightChars="0" w:firstLine="480" w:firstLineChars="200"/>
              <w:textAlignment w:val="auto"/>
              <w:rPr>
                <w:rFonts w:hint="default" w:ascii="Times New Roman" w:hAnsi="Times New Roman" w:cs="Times New Roman"/>
                <w:b w:val="0"/>
                <w:bCs w:val="0"/>
                <w:color w:val="auto"/>
                <w:sz w:val="24"/>
                <w:szCs w:val="24"/>
                <w:lang w:val="en-US" w:eastAsia="zh-CN"/>
              </w:rPr>
            </w:pPr>
            <w:r>
              <w:rPr>
                <w:rFonts w:hint="default" w:ascii="Times New Roman" w:hAnsi="Times New Roman" w:cs="Times New Roman"/>
                <w:b w:val="0"/>
                <w:bCs w:val="0"/>
                <w:color w:val="auto"/>
                <w:sz w:val="24"/>
                <w:szCs w:val="24"/>
                <w:lang w:val="en-US" w:eastAsia="zh-CN"/>
              </w:rPr>
              <w:t>《黑龙江省空气质量持续改善行动计划实施方案》（黑政发〔2023〕19号）中要求：（四）严格环境准入要求。新改扩建高耗能、高排放、低水平项目，要严格遵照产业规划和政策、生态环境分区管控、规划环评、项目环评、节能审查以及产能置换、总量控制、区域污染物削减、碳达峰等相关要求执行，原则上采用清洁运输方式。涉及产能置换的项目，被置换产能及其配套设施同步关停后，新建项目方能投产。坚决遏制</w:t>
            </w:r>
            <w:r>
              <w:rPr>
                <w:rFonts w:hint="eastAsia" w:cs="Times New Roman"/>
                <w:b w:val="0"/>
                <w:bCs w:val="0"/>
                <w:color w:val="auto"/>
                <w:sz w:val="24"/>
                <w:szCs w:val="24"/>
                <w:lang w:val="en-US" w:eastAsia="zh-CN"/>
              </w:rPr>
              <w:t>“</w:t>
            </w:r>
            <w:r>
              <w:rPr>
                <w:rFonts w:hint="default" w:ascii="Times New Roman" w:hAnsi="Times New Roman" w:cs="Times New Roman"/>
                <w:b w:val="0"/>
                <w:bCs w:val="0"/>
                <w:color w:val="auto"/>
                <w:sz w:val="24"/>
                <w:szCs w:val="24"/>
                <w:lang w:val="en-US" w:eastAsia="zh-CN"/>
              </w:rPr>
              <w:t>两高一低</w:t>
            </w:r>
            <w:r>
              <w:rPr>
                <w:rFonts w:hint="eastAsia" w:cs="Times New Roman"/>
                <w:b w:val="0"/>
                <w:bCs w:val="0"/>
                <w:color w:val="auto"/>
                <w:sz w:val="24"/>
                <w:szCs w:val="24"/>
                <w:lang w:val="en-US" w:eastAsia="zh-CN"/>
              </w:rPr>
              <w:t>”</w:t>
            </w:r>
            <w:r>
              <w:rPr>
                <w:rFonts w:hint="default" w:ascii="Times New Roman" w:hAnsi="Times New Roman" w:cs="Times New Roman"/>
                <w:b w:val="0"/>
                <w:bCs w:val="0"/>
                <w:color w:val="auto"/>
                <w:sz w:val="24"/>
                <w:szCs w:val="24"/>
                <w:lang w:val="en-US" w:eastAsia="zh-CN"/>
              </w:rPr>
              <w:t>项目盲目上马。　（五）加快重点行业落后产能淘汰退出。严格执行《产业结构调整指导目录》要求，加大退出淘汰类产能、工艺、装备，提高限制类产能、工艺、装备淘汰改造引导力度。（十九）深化扬尘污染综合治理。全面推行绿色施工，严</w:t>
            </w:r>
            <w:r>
              <w:rPr>
                <w:rFonts w:hint="eastAsia" w:ascii="宋体" w:hAnsi="宋体" w:eastAsia="宋体" w:cs="宋体"/>
                <w:b w:val="0"/>
                <w:bCs w:val="0"/>
                <w:color w:val="auto"/>
                <w:sz w:val="24"/>
                <w:szCs w:val="24"/>
                <w:lang w:val="en-US" w:eastAsia="zh-CN"/>
              </w:rPr>
              <w:t>格执行“六个百分之百”</w:t>
            </w:r>
            <w:r>
              <w:rPr>
                <w:rFonts w:hint="default" w:ascii="Times New Roman" w:hAnsi="Times New Roman" w:cs="Times New Roman"/>
                <w:b w:val="0"/>
                <w:bCs w:val="0"/>
                <w:color w:val="auto"/>
                <w:sz w:val="24"/>
                <w:szCs w:val="24"/>
                <w:lang w:val="en-US" w:eastAsia="zh-CN"/>
              </w:rPr>
              <w:t>，将防治扬尘污染费用纳入工程造价。到2025年，装配式建筑占新建建筑面积的比例达到30%；地级及以上城市建成区道路机械化清扫率达80%左右，县城达70%左右。对城市公共裸地进行排查建档并采取防尘措施。城市大型煤炭、矿石等干散货码头物料堆场基本完成抑尘设施建设和物料输送系统封闭改造。</w:t>
            </w:r>
          </w:p>
          <w:p w14:paraId="103D39B8">
            <w:pPr>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ind w:right="0" w:rightChars="0" w:firstLine="480" w:firstLineChars="200"/>
              <w:textAlignment w:val="auto"/>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szCs w:val="24"/>
                <w:highlight w:val="none"/>
                <w:lang w:val="en-US" w:eastAsia="zh-CN"/>
              </w:rPr>
              <w:t>本项目属于</w:t>
            </w:r>
            <w:r>
              <w:rPr>
                <w:rFonts w:hint="default" w:ascii="Times New Roman" w:hAnsi="Times New Roman" w:cs="Times New Roman"/>
                <w:color w:val="auto"/>
                <w:sz w:val="24"/>
                <w:szCs w:val="24"/>
                <w:highlight w:val="none"/>
              </w:rPr>
              <w:t>《产业结构调整指导目录（20</w:t>
            </w:r>
            <w:r>
              <w:rPr>
                <w:rFonts w:hint="default" w:ascii="Times New Roman" w:hAnsi="Times New Roman" w:cs="Times New Roman"/>
                <w:color w:val="auto"/>
                <w:sz w:val="24"/>
                <w:szCs w:val="24"/>
                <w:highlight w:val="none"/>
                <w:lang w:val="en-US" w:eastAsia="zh-CN"/>
              </w:rPr>
              <w:t>24</w:t>
            </w:r>
            <w:r>
              <w:rPr>
                <w:rFonts w:hint="default" w:ascii="Times New Roman" w:hAnsi="Times New Roman" w:cs="Times New Roman"/>
                <w:color w:val="auto"/>
                <w:sz w:val="24"/>
                <w:szCs w:val="24"/>
                <w:highlight w:val="none"/>
              </w:rPr>
              <w:t>年本</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eastAsia="zh-CN"/>
              </w:rPr>
              <w:t>中鼓励类项目，</w:t>
            </w:r>
            <w:r>
              <w:rPr>
                <w:rFonts w:hint="default" w:ascii="Times New Roman" w:hAnsi="Times New Roman" w:cs="Times New Roman"/>
                <w:color w:val="auto"/>
                <w:sz w:val="24"/>
                <w:highlight w:val="none"/>
                <w:lang w:val="en-US" w:eastAsia="zh-CN"/>
              </w:rPr>
              <w:t>项目内有</w:t>
            </w:r>
            <w:r>
              <w:rPr>
                <w:rFonts w:hint="default" w:ascii="Times New Roman" w:hAnsi="Times New Roman" w:cs="Times New Roman"/>
                <w:color w:val="auto"/>
                <w:sz w:val="24"/>
                <w:highlight w:val="none"/>
              </w:rPr>
              <w:t>大型煤炭物料堆场，</w:t>
            </w:r>
            <w:r>
              <w:rPr>
                <w:rFonts w:hint="default" w:ascii="Times New Roman" w:hAnsi="Times New Roman" w:cs="Times New Roman"/>
                <w:color w:val="auto"/>
                <w:sz w:val="24"/>
                <w:highlight w:val="none"/>
                <w:lang w:val="en-US" w:eastAsia="zh-CN"/>
              </w:rPr>
              <w:t>储煤场四周设有闭合防风抑尘网，储煤场内堆存煤炭使用绿网进行苫盖；定期对储煤区域进行洒水降尘，禁止在重污染天气、大风天气进行作业；煤场运输车辆进行全面苫盖，煤场抑尘措施齐全。项目</w:t>
            </w:r>
            <w:r>
              <w:rPr>
                <w:rFonts w:hint="default" w:ascii="Times New Roman" w:hAnsi="Times New Roman" w:cs="Times New Roman"/>
                <w:color w:val="auto"/>
                <w:sz w:val="24"/>
                <w:highlight w:val="none"/>
              </w:rPr>
              <w:t>符合《</w:t>
            </w:r>
            <w:r>
              <w:rPr>
                <w:rFonts w:hint="default" w:ascii="Times New Roman" w:hAnsi="Times New Roman" w:cs="Times New Roman"/>
                <w:color w:val="auto"/>
                <w:sz w:val="24"/>
                <w:highlight w:val="none"/>
                <w:lang w:val="en-US" w:eastAsia="zh-CN"/>
              </w:rPr>
              <w:t>黑龙江省空气质量持续改善行动计划实施方案</w:t>
            </w:r>
            <w:r>
              <w:rPr>
                <w:rFonts w:hint="default" w:ascii="Times New Roman" w:hAnsi="Times New Roman" w:cs="Times New Roman"/>
                <w:color w:val="auto"/>
                <w:sz w:val="24"/>
                <w:highlight w:val="none"/>
              </w:rPr>
              <w:t>》相关要求</w:t>
            </w:r>
            <w:r>
              <w:rPr>
                <w:rFonts w:hint="default" w:ascii="Times New Roman" w:hAnsi="Times New Roman" w:cs="Times New Roman"/>
                <w:color w:val="auto"/>
                <w:sz w:val="24"/>
                <w:highlight w:val="none"/>
                <w:lang w:eastAsia="zh-CN"/>
              </w:rPr>
              <w:t>。</w:t>
            </w:r>
          </w:p>
          <w:p w14:paraId="32DD98CD">
            <w:pPr>
              <w:pStyle w:val="19"/>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left="482" w:leftChars="0" w:right="0" w:rightChars="0" w:hanging="482" w:hangingChars="200"/>
              <w:jc w:val="left"/>
              <w:textAlignment w:val="auto"/>
              <w:rPr>
                <w:rFonts w:hint="default" w:ascii="Times New Roman" w:hAnsi="Times New Roman" w:cs="Times New Roman"/>
                <w:b/>
                <w:bCs/>
                <w:color w:val="auto"/>
                <w:sz w:val="24"/>
                <w:highlight w:val="none"/>
                <w:lang w:val="en-US" w:eastAsia="zh-CN"/>
              </w:rPr>
            </w:pPr>
            <w:r>
              <w:rPr>
                <w:rFonts w:hint="default" w:ascii="Times New Roman" w:hAnsi="Times New Roman" w:eastAsia="宋体" w:cs="Times New Roman"/>
                <w:b/>
                <w:bCs/>
                <w:color w:val="auto"/>
                <w:kern w:val="0"/>
                <w:sz w:val="24"/>
                <w:szCs w:val="20"/>
                <w:lang w:val="en-US" w:eastAsia="zh-CN" w:bidi="ar-SA"/>
              </w:rPr>
              <w:t>10、</w:t>
            </w:r>
            <w:r>
              <w:rPr>
                <w:rFonts w:hint="default" w:ascii="Times New Roman" w:hAnsi="Times New Roman" w:cs="Times New Roman"/>
                <w:b/>
                <w:bCs/>
                <w:color w:val="auto"/>
                <w:sz w:val="24"/>
                <w:highlight w:val="none"/>
                <w:lang w:val="en-US" w:eastAsia="zh-CN"/>
              </w:rPr>
              <w:t>与《环境空气细颗粒物污染综合防治技术政策》符合性分析</w:t>
            </w:r>
          </w:p>
          <w:p w14:paraId="66FF8159">
            <w:pPr>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ind w:right="0" w:rightChars="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环境空气细颗粒物污染综合防治技术政策》中要求：（十一）应加强对各类污染源的监管，确保污染治理设施稳定运行，切实落实企业环保责任。鼓励采用低能耗、低污染的生产工艺，提高各个行业的清洁生产水平，降低污染物产生量。（二十二）扬尘污染源应以道路扬尘、施工扬尘、粉状物料贮存场扬尘、城市裸土起尘等为防治重点。应参照《防治城市扬尘污染技术规范》，开展城市扬尘综合整治，减少城市裸地面积，采取植树种草等措施提高绿化率，或适当采用地面硬化措施，遏止扬尘污染。（二十三）对各种施工工地、各种粉状物料贮存场、各种港口装卸码头等，应采取设置围挡墙、防尘网和喷洒抑尘剂等有效的防尘、抑尘措施，防止颗粒物逸散；设置车辆清洗装置，保持上路行驶车辆的清洁；鼓励各类土建工程使用预搅拌的商品混凝土。（二十四）实行粉状物料及渣土车辆密闭运输，加强监管，防止遗撒。及时进行道路清扫、冲洗、洒水作业，减少道路扬尘。规范园林绿化设计和施工管理，防止园林绿地土壤向道路流失。</w:t>
            </w:r>
          </w:p>
          <w:p w14:paraId="1B73FC6B">
            <w:pPr>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ind w:right="0" w:rightChars="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内有大型煤炭物料堆场，储煤场四周设有闭合防风抑尘网，储煤场内堆存煤炭使用绿网进行苫盖；定期对储煤区域进行洒水降尘，禁止在重污染天气、大风天气进行作业；煤场运输车辆进行全面苫盖，定期去外部指定洗车点清洗车辆。项目符合《环境空气细颗粒物污染综合防治技术政策》相关要求。</w:t>
            </w:r>
          </w:p>
          <w:p w14:paraId="08F4F726">
            <w:pPr>
              <w:pStyle w:val="19"/>
              <w:keepNext w:val="0"/>
              <w:keepLines w:val="0"/>
              <w:pageBreakBefore w:val="0"/>
              <w:numPr>
                <w:ilvl w:val="0"/>
                <w:numId w:val="0"/>
              </w:numPr>
              <w:kinsoku/>
              <w:wordWrap/>
              <w:overflowPunct/>
              <w:topLinePunct w:val="0"/>
              <w:autoSpaceDE/>
              <w:autoSpaceDN/>
              <w:bidi w:val="0"/>
              <w:adjustRightInd/>
              <w:spacing w:before="0" w:after="0" w:line="360" w:lineRule="auto"/>
              <w:ind w:left="0" w:leftChars="0" w:right="0" w:rightChars="0" w:firstLine="0" w:firstLineChars="0"/>
              <w:textAlignment w:val="auto"/>
              <w:rPr>
                <w:rFonts w:hint="default" w:ascii="Times New Roman" w:hAnsi="Times New Roman" w:cs="Times New Roman"/>
                <w:b/>
                <w:bCs/>
                <w:color w:val="auto"/>
                <w:sz w:val="24"/>
                <w:highlight w:val="none"/>
                <w:lang w:val="en-US" w:eastAsia="zh-CN"/>
              </w:rPr>
            </w:pPr>
            <w:r>
              <w:rPr>
                <w:rFonts w:hint="default" w:ascii="Times New Roman" w:hAnsi="Times New Roman" w:eastAsia="宋体" w:cs="Times New Roman"/>
                <w:b/>
                <w:bCs/>
                <w:color w:val="auto"/>
                <w:kern w:val="0"/>
                <w:sz w:val="24"/>
                <w:szCs w:val="20"/>
                <w:lang w:val="en-US" w:eastAsia="zh-CN" w:bidi="ar-SA"/>
              </w:rPr>
              <w:t>11、</w:t>
            </w:r>
            <w:r>
              <w:rPr>
                <w:rFonts w:hint="default" w:ascii="Times New Roman" w:hAnsi="Times New Roman" w:cs="Times New Roman"/>
                <w:b/>
                <w:bCs/>
                <w:color w:val="auto"/>
                <w:sz w:val="24"/>
                <w:highlight w:val="none"/>
                <w:lang w:val="en-US" w:eastAsia="zh-CN"/>
              </w:rPr>
              <w:t>与《鸡西市空气质量持续改善行动计划贯彻落实方案》符合性分析</w:t>
            </w:r>
          </w:p>
          <w:p w14:paraId="6B4933B7">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《鸡西市空气质量持续改善行动计划贯彻落实方案》中要求：</w:t>
            </w:r>
          </w:p>
          <w:p w14:paraId="1DB2F7F2">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加快退出重点行业落后产能。严格执行《产业结构调整指导目录》要求，加快退出淘汰类产能、工艺、装备，提高限制类产能、工艺、装备淘汰改造引导力度。</w:t>
            </w:r>
            <w:r>
              <w:rPr>
                <w:rFonts w:hint="default" w:ascii="Times New Roman" w:hAnsi="Times New Roman" w:cs="Times New Roman"/>
                <w:color w:val="auto"/>
                <w:sz w:val="24"/>
                <w:highlight w:val="none"/>
                <w:lang w:val="en-US" w:eastAsia="zh-CN"/>
              </w:rPr>
              <w:t>城市大型煤炭、矿石等干散货码头物料堆场基本完成抑尘设施建设和物料输送系统封闭改造。</w:t>
            </w:r>
          </w:p>
          <w:p w14:paraId="40FB54C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本项目储煤场堆高2米，四周建设闭合防风抑尘网高3m、长623m（孔隙率50</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储煤场内堆存煤炭使用绿网进行苫盖；装卸过程中装车使用洒水车对装车过程进行降尘，卸料过程尽量减少煤炭落料过程中高差，另外洒水车定期对储煤区域进行洒水降尘并防止自燃，定期去外部指定洗车点对车辆进行清洗。禁止在重污染天气、大风天气进行作业；煤场运输车辆进行全面苫盖。</w:t>
            </w:r>
            <w:r>
              <w:rPr>
                <w:rFonts w:hint="default" w:ascii="Times New Roman" w:hAnsi="Times New Roman" w:eastAsia="宋体" w:cs="Times New Roman"/>
                <w:color w:val="auto"/>
                <w:sz w:val="24"/>
                <w:highlight w:val="none"/>
                <w:lang w:val="en-US" w:eastAsia="zh-CN"/>
              </w:rPr>
              <w:t>项目生产过程中</w:t>
            </w:r>
            <w:r>
              <w:rPr>
                <w:rFonts w:hint="default" w:ascii="Times New Roman" w:hAnsi="Times New Roman" w:cs="Times New Roman"/>
                <w:color w:val="auto"/>
                <w:sz w:val="24"/>
                <w:highlight w:val="none"/>
                <w:lang w:val="en-US" w:eastAsia="zh-CN"/>
              </w:rPr>
              <w:t>不使用</w:t>
            </w:r>
            <w:r>
              <w:rPr>
                <w:rFonts w:hint="default" w:ascii="Times New Roman" w:hAnsi="Times New Roman" w:eastAsia="宋体" w:cs="Times New Roman"/>
                <w:color w:val="auto"/>
                <w:sz w:val="24"/>
                <w:highlight w:val="none"/>
                <w:lang w:val="en-US" w:eastAsia="zh-CN"/>
              </w:rPr>
              <w:t>国家明令禁止的淘汰类和限制类的工艺和设备，</w:t>
            </w:r>
            <w:r>
              <w:rPr>
                <w:rFonts w:hint="default" w:ascii="Times New Roman" w:hAnsi="Times New Roman" w:cs="Times New Roman"/>
                <w:color w:val="auto"/>
                <w:sz w:val="24"/>
                <w:highlight w:val="none"/>
                <w:lang w:val="en-US" w:eastAsia="zh-CN"/>
              </w:rPr>
              <w:t>符合《鸡西市空气质量持续改善行动计划贯彻落实方案》中相关要求。</w:t>
            </w:r>
          </w:p>
          <w:p w14:paraId="02ECC3B0">
            <w:pPr>
              <w:pStyle w:val="39"/>
              <w:keepNext w:val="0"/>
              <w:keepLines w:val="0"/>
              <w:pageBreakBefore w:val="0"/>
              <w:kinsoku/>
              <w:wordWrap/>
              <w:overflowPunct/>
              <w:topLinePunct w:val="0"/>
              <w:autoSpaceDE w:val="0"/>
              <w:autoSpaceDN w:val="0"/>
              <w:bidi w:val="0"/>
              <w:adjustRightInd/>
              <w:spacing w:line="360" w:lineRule="auto"/>
              <w:ind w:firstLine="0" w:firstLineChars="0"/>
              <w:textAlignment w:val="auto"/>
              <w:rPr>
                <w:rFonts w:hint="default" w:ascii="Times New Roman" w:hAnsi="Times New Roman" w:eastAsia="宋体" w:cs="Times New Roman"/>
                <w:b/>
                <w:bCs/>
                <w:color w:val="auto"/>
                <w:kern w:val="0"/>
                <w:sz w:val="24"/>
                <w:szCs w:val="20"/>
                <w:highlight w:val="none"/>
                <w:lang w:val="en-US" w:eastAsia="zh-CN" w:bidi="ar-SA"/>
              </w:rPr>
            </w:pPr>
            <w:r>
              <w:rPr>
                <w:rFonts w:hint="default" w:ascii="Times New Roman" w:hAnsi="Times New Roman" w:eastAsia="宋体" w:cs="Times New Roman"/>
                <w:b/>
                <w:bCs/>
                <w:color w:val="auto"/>
                <w:kern w:val="0"/>
                <w:sz w:val="24"/>
                <w:szCs w:val="20"/>
                <w:highlight w:val="none"/>
                <w:lang w:val="en-US" w:eastAsia="zh-CN" w:bidi="ar-SA"/>
              </w:rPr>
              <w:t>12、本项目与《黑龙江</w:t>
            </w:r>
            <w:r>
              <w:rPr>
                <w:rFonts w:hint="eastAsia" w:ascii="宋体" w:hAnsi="宋体" w:eastAsia="宋体" w:cs="宋体"/>
                <w:b/>
                <w:bCs/>
                <w:color w:val="auto"/>
                <w:kern w:val="0"/>
                <w:sz w:val="24"/>
                <w:szCs w:val="20"/>
                <w:highlight w:val="none"/>
                <w:lang w:val="en-US" w:eastAsia="zh-CN" w:bidi="ar-SA"/>
              </w:rPr>
              <w:t>省“十四五”生态环</w:t>
            </w:r>
            <w:r>
              <w:rPr>
                <w:rFonts w:hint="default" w:ascii="Times New Roman" w:hAnsi="Times New Roman" w:eastAsia="宋体" w:cs="Times New Roman"/>
                <w:b/>
                <w:bCs/>
                <w:color w:val="auto"/>
                <w:kern w:val="0"/>
                <w:sz w:val="24"/>
                <w:szCs w:val="20"/>
                <w:highlight w:val="none"/>
                <w:lang w:val="en-US" w:eastAsia="zh-CN" w:bidi="ar-SA"/>
              </w:rPr>
              <w:t>境保护规划》的符合性</w:t>
            </w:r>
            <w:r>
              <w:rPr>
                <w:rFonts w:hint="default" w:ascii="Times New Roman" w:hAnsi="Times New Roman" w:cs="Times New Roman"/>
                <w:b/>
                <w:bCs/>
                <w:color w:val="auto"/>
                <w:kern w:val="0"/>
                <w:sz w:val="24"/>
                <w:szCs w:val="20"/>
                <w:highlight w:val="none"/>
                <w:lang w:val="en-US" w:eastAsia="zh-CN" w:bidi="ar-SA"/>
              </w:rPr>
              <w:t>分析</w:t>
            </w:r>
          </w:p>
          <w:p w14:paraId="7B6CE07C">
            <w:pPr>
              <w:pStyle w:val="39"/>
              <w:keepNext w:val="0"/>
              <w:keepLines w:val="0"/>
              <w:pageBreakBefore w:val="0"/>
              <w:kinsoku/>
              <w:wordWrap/>
              <w:overflowPunct/>
              <w:topLinePunct w:val="0"/>
              <w:autoSpaceDE w:val="0"/>
              <w:autoSpaceDN w:val="0"/>
              <w:bidi w:val="0"/>
              <w:adjustRightInd/>
              <w:spacing w:line="360" w:lineRule="auto"/>
              <w:ind w:firstLine="480" w:firstLineChars="200"/>
              <w:textAlignment w:val="auto"/>
              <w:rPr>
                <w:rFonts w:hint="default" w:ascii="Times New Roman" w:hAnsi="Times New Roman" w:cs="Times New Roman"/>
                <w:lang w:val="en-US" w:eastAsia="zh-CN"/>
              </w:rPr>
            </w:pPr>
            <w:r>
              <w:rPr>
                <w:rFonts w:hint="default" w:ascii="Times New Roman" w:hAnsi="Times New Roman" w:cs="Times New Roman"/>
                <w:color w:val="000000" w:themeColor="text1"/>
                <w:sz w:val="24"/>
                <w:highlight w:val="none"/>
                <w14:textFill>
                  <w14:solidFill>
                    <w14:schemeClr w14:val="tx1"/>
                  </w14:solidFill>
                </w14:textFill>
              </w:rPr>
              <w:t>本项目</w:t>
            </w:r>
            <w:r>
              <w:rPr>
                <w:rFonts w:hint="default" w:ascii="Times New Roman" w:hAnsi="Times New Roman" w:cs="Times New Roman"/>
                <w:color w:val="000000" w:themeColor="text1"/>
                <w:sz w:val="24"/>
                <w:highlight w:val="none"/>
                <w:lang w:val="en-US" w:eastAsia="zh-CN"/>
                <w14:textFill>
                  <w14:solidFill>
                    <w14:schemeClr w14:val="tx1"/>
                  </w14:solidFill>
                </w14:textFill>
              </w:rPr>
              <w:t>为储煤场项目，项目内有</w:t>
            </w:r>
            <w:r>
              <w:rPr>
                <w:rFonts w:hint="default" w:ascii="Times New Roman" w:hAnsi="Times New Roman" w:cs="Times New Roman"/>
                <w:color w:val="000000" w:themeColor="text1"/>
                <w:sz w:val="24"/>
                <w:highlight w:val="none"/>
                <w14:textFill>
                  <w14:solidFill>
                    <w14:schemeClr w14:val="tx1"/>
                  </w14:solidFill>
                </w14:textFill>
              </w:rPr>
              <w:t>大型煤炭物料堆场，</w:t>
            </w:r>
            <w:r>
              <w:rPr>
                <w:rFonts w:hint="default" w:ascii="Times New Roman" w:hAnsi="Times New Roman" w:cs="Times New Roman"/>
                <w:color w:val="000000" w:themeColor="text1"/>
                <w:sz w:val="24"/>
                <w:highlight w:val="none"/>
                <w:lang w:val="en-US" w:eastAsia="zh-CN"/>
                <w14:textFill>
                  <w14:solidFill>
                    <w14:schemeClr w14:val="tx1"/>
                  </w14:solidFill>
                </w14:textFill>
              </w:rPr>
              <w:t>储煤场四周设有闭合防风抑尘网，储煤场内堆存煤炭使用绿网进行苫盖；定期对储煤区域进行洒水降尘，禁止在重污染天气、大风天气进行作业；煤场运输车辆进行全面苫盖。不属于《</w:t>
            </w:r>
            <w:r>
              <w:rPr>
                <w:rFonts w:hint="eastAsia" w:ascii="宋体" w:hAnsi="宋体" w:eastAsia="宋体" w:cs="宋体"/>
                <w:color w:val="000000" w:themeColor="text1"/>
                <w:sz w:val="24"/>
                <w:highlight w:val="none"/>
                <w:lang w:val="en-US" w:eastAsia="zh-CN"/>
                <w14:textFill>
                  <w14:solidFill>
                    <w14:schemeClr w14:val="tx1"/>
                  </w14:solidFill>
                </w14:textFill>
              </w:rPr>
              <w:t>黑龙江省“十四五”生</w:t>
            </w:r>
            <w:r>
              <w:rPr>
                <w:rFonts w:hint="default" w:ascii="Times New Roman" w:hAnsi="Times New Roman" w:cs="Times New Roman"/>
                <w:color w:val="000000" w:themeColor="text1"/>
                <w:sz w:val="24"/>
                <w:highlight w:val="none"/>
                <w:lang w:val="en-US" w:eastAsia="zh-CN"/>
                <w14:textFill>
                  <w14:solidFill>
                    <w14:schemeClr w14:val="tx1"/>
                  </w14:solidFill>
                </w14:textFill>
              </w:rPr>
              <w:t>态环境保护规划</w:t>
            </w:r>
            <w:r>
              <w:rPr>
                <w:rFonts w:hint="eastAsia" w:ascii="宋体" w:hAnsi="宋体" w:eastAsia="宋体" w:cs="宋体"/>
                <w:color w:val="000000" w:themeColor="text1"/>
                <w:sz w:val="24"/>
                <w:highlight w:val="none"/>
                <w:lang w:val="en-US" w:eastAsia="zh-CN"/>
                <w14:textFill>
                  <w14:solidFill>
                    <w14:schemeClr w14:val="tx1"/>
                  </w14:solidFill>
                </w14:textFill>
              </w:rPr>
              <w:t>》中“重点行业大气污染治理工程、水生态环境提升重大工程、土壤和地下水污染治理重大工程”中要求内容，项目建设符合《黑龙江省“十四五”生态环境保护规划》要</w:t>
            </w:r>
            <w:r>
              <w:rPr>
                <w:rFonts w:hint="default" w:ascii="Times New Roman" w:hAnsi="Times New Roman" w:cs="Times New Roman"/>
                <w:color w:val="000000" w:themeColor="text1"/>
                <w:sz w:val="24"/>
                <w:highlight w:val="none"/>
                <w:lang w:val="en-US" w:eastAsia="zh-CN"/>
                <w14:textFill>
                  <w14:solidFill>
                    <w14:schemeClr w14:val="tx1"/>
                  </w14:solidFill>
                </w14:textFill>
              </w:rPr>
              <w:t>求。</w:t>
            </w:r>
          </w:p>
        </w:tc>
      </w:tr>
    </w:tbl>
    <w:p w14:paraId="0EE9FF08">
      <w:pPr>
        <w:pStyle w:val="18"/>
        <w:jc w:val="center"/>
        <w:outlineLvl w:val="9"/>
        <w:rPr>
          <w:rFonts w:hint="default" w:ascii="Times New Roman" w:hAnsi="Times New Roman" w:eastAsia="黑体" w:cs="Times New Roman"/>
          <w:snapToGrid w:val="0"/>
          <w:color w:val="auto"/>
          <w:sz w:val="30"/>
          <w:szCs w:val="30"/>
          <w:highlight w:val="none"/>
        </w:rPr>
        <w:sectPr>
          <w:footerReference r:id="rId6" w:type="default"/>
          <w:pgSz w:w="11906" w:h="16838"/>
          <w:pgMar w:top="1701" w:right="1531" w:bottom="1701" w:left="1531" w:header="851" w:footer="851" w:gutter="0"/>
          <w:pgBorders>
            <w:top w:val="none" w:sz="0" w:space="0"/>
            <w:left w:val="none" w:sz="0" w:space="0"/>
            <w:bottom w:val="none" w:sz="0" w:space="0"/>
            <w:right w:val="none" w:sz="0" w:space="0"/>
          </w:pgBorders>
          <w:pgNumType w:start="1"/>
          <w:cols w:space="720" w:num="1"/>
          <w:docGrid w:linePitch="312" w:charSpace="0"/>
        </w:sectPr>
      </w:pPr>
    </w:p>
    <w:p w14:paraId="3FF596E5">
      <w:pPr>
        <w:pStyle w:val="18"/>
        <w:jc w:val="center"/>
        <w:outlineLvl w:val="0"/>
        <w:rPr>
          <w:rFonts w:hint="eastAsia" w:ascii="宋体" w:hAnsi="宋体" w:eastAsia="宋体" w:cs="宋体"/>
          <w:snapToGrid w:val="0"/>
          <w:color w:val="auto"/>
          <w:sz w:val="30"/>
          <w:szCs w:val="30"/>
          <w:highlight w:val="none"/>
        </w:rPr>
      </w:pPr>
      <w:bookmarkStart w:id="19" w:name="_Toc3820"/>
      <w:bookmarkStart w:id="20" w:name="_Toc26157"/>
      <w:bookmarkStart w:id="21" w:name="_Toc23289"/>
      <w:bookmarkStart w:id="22" w:name="_Toc21690"/>
      <w:r>
        <w:rPr>
          <w:rFonts w:hint="eastAsia" w:ascii="宋体" w:hAnsi="宋体" w:eastAsia="宋体" w:cs="宋体"/>
          <w:snapToGrid w:val="0"/>
          <w:color w:val="auto"/>
          <w:sz w:val="30"/>
          <w:szCs w:val="30"/>
          <w:highlight w:val="none"/>
        </w:rPr>
        <w:t>二、建设项目工程分析</w:t>
      </w:r>
      <w:bookmarkEnd w:id="19"/>
      <w:bookmarkEnd w:id="20"/>
      <w:bookmarkEnd w:id="21"/>
      <w:bookmarkEnd w:id="22"/>
    </w:p>
    <w:tbl>
      <w:tblPr>
        <w:tblStyle w:val="20"/>
        <w:tblW w:w="943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85" w:type="dxa"/>
          <w:bottom w:w="0" w:type="dxa"/>
          <w:right w:w="85" w:type="dxa"/>
        </w:tblCellMar>
      </w:tblPr>
      <w:tblGrid>
        <w:gridCol w:w="731"/>
        <w:gridCol w:w="8705"/>
      </w:tblGrid>
      <w:tr w14:paraId="01ECA9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204" w:hRule="atLeast"/>
          <w:jc w:val="center"/>
        </w:trPr>
        <w:tc>
          <w:tcPr>
            <w:tcW w:w="731" w:type="dxa"/>
            <w:vAlign w:val="center"/>
          </w:tcPr>
          <w:p w14:paraId="2AB36C32">
            <w:pPr>
              <w:pStyle w:val="18"/>
              <w:adjustRightInd w:val="0"/>
              <w:snapToGrid w:val="0"/>
              <w:spacing w:before="0" w:beforeAutospacing="0" w:after="0" w:afterAutospacing="0"/>
              <w:jc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建设内容</w:t>
            </w:r>
          </w:p>
        </w:tc>
        <w:tc>
          <w:tcPr>
            <w:tcW w:w="8705" w:type="dxa"/>
          </w:tcPr>
          <w:p w14:paraId="0F2A3AD1">
            <w:pPr>
              <w:pStyle w:val="31"/>
              <w:spacing w:before="0" w:beforeLines="0" w:after="0" w:afterLines="0" w:line="360" w:lineRule="auto"/>
              <w:ind w:firstLine="0" w:firstLineChars="0"/>
              <w:textAlignment w:val="baseline"/>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1、</w:t>
            </w:r>
            <w:r>
              <w:rPr>
                <w:rFonts w:hint="default" w:ascii="Times New Roman" w:hAnsi="Times New Roman" w:cs="Times New Roman"/>
                <w:b/>
                <w:bCs/>
                <w:color w:val="auto"/>
                <w:highlight w:val="none"/>
                <w:lang w:val="en-US" w:eastAsia="zh-CN"/>
              </w:rPr>
              <w:t>建设内容</w:t>
            </w:r>
          </w:p>
          <w:p w14:paraId="1ACED264">
            <w:pPr>
              <w:pStyle w:val="31"/>
              <w:spacing w:before="0" w:beforeLines="0" w:after="0" w:afterLines="0" w:line="360" w:lineRule="auto"/>
              <w:ind w:firstLine="480"/>
              <w:textAlignment w:val="baseline"/>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highlight w:val="none"/>
                <w:lang w:val="en-US" w:eastAsia="zh-CN"/>
              </w:rPr>
              <w:t>本项目位于</w:t>
            </w:r>
            <w:r>
              <w:rPr>
                <w:rFonts w:hint="default" w:ascii="Times New Roman" w:hAnsi="Times New Roman" w:cs="Times New Roman"/>
                <w:color w:val="auto"/>
                <w:sz w:val="24"/>
                <w:highlight w:val="none"/>
                <w:lang w:val="en-US" w:eastAsia="zh-CN"/>
              </w:rPr>
              <w:t>黑龙江省鸡西市鸡冠区西郊乡团结村</w:t>
            </w:r>
            <w:r>
              <w:rPr>
                <w:rFonts w:hint="default" w:ascii="Times New Roman" w:hAnsi="Times New Roman" w:cs="Times New Roman"/>
                <w:bCs/>
                <w:color w:val="auto"/>
                <w:highlight w:val="none"/>
                <w:lang w:val="en-US" w:eastAsia="zh-CN"/>
              </w:rPr>
              <w:t>。总占地面积20700m</w:t>
            </w:r>
            <w:r>
              <w:rPr>
                <w:rFonts w:hint="default" w:ascii="Times New Roman" w:hAnsi="Times New Roman" w:cs="Times New Roman"/>
                <w:bCs/>
                <w:color w:val="auto"/>
                <w:highlight w:val="none"/>
                <w:vertAlign w:val="superscript"/>
                <w:lang w:val="en-US" w:eastAsia="zh-CN"/>
              </w:rPr>
              <w:t>2</w:t>
            </w:r>
            <w:r>
              <w:rPr>
                <w:rFonts w:hint="default" w:ascii="Times New Roman" w:hAnsi="Times New Roman" w:cs="Times New Roman"/>
                <w:bCs/>
                <w:color w:val="auto"/>
                <w:highlight w:val="none"/>
                <w:lang w:val="en-US" w:eastAsia="zh-CN"/>
              </w:rPr>
              <w:t>，建筑面积200m</w:t>
            </w:r>
            <w:r>
              <w:rPr>
                <w:rFonts w:hint="default" w:ascii="Times New Roman" w:hAnsi="Times New Roman" w:cs="Times New Roman"/>
                <w:bCs/>
                <w:color w:val="auto"/>
                <w:highlight w:val="none"/>
                <w:vertAlign w:val="superscript"/>
                <w:lang w:val="en-US" w:eastAsia="zh-CN"/>
              </w:rPr>
              <w:t>2</w:t>
            </w:r>
            <w:r>
              <w:rPr>
                <w:rFonts w:hint="default" w:ascii="Times New Roman" w:hAnsi="Times New Roman" w:cs="Times New Roman"/>
                <w:bCs/>
                <w:color w:val="auto"/>
                <w:highlight w:val="none"/>
                <w:lang w:val="en-US" w:eastAsia="zh-CN"/>
              </w:rPr>
              <w:t>，主要建设内容为办公室，危险废物贮存点，储煤场，年周转煤炭4.5万</w:t>
            </w:r>
            <w:r>
              <w:rPr>
                <w:rFonts w:hint="eastAsia" w:cs="Times New Roman"/>
                <w:bCs/>
                <w:color w:val="auto"/>
                <w:highlight w:val="none"/>
                <w:lang w:val="en-US" w:eastAsia="zh-CN"/>
              </w:rPr>
              <w:t>t</w:t>
            </w:r>
            <w:r>
              <w:rPr>
                <w:rFonts w:hint="default" w:ascii="Times New Roman" w:hAnsi="Times New Roman" w:cs="Times New Roman"/>
                <w:bCs/>
                <w:color w:val="auto"/>
                <w:highlight w:val="none"/>
                <w:lang w:val="en-US" w:eastAsia="zh-CN"/>
              </w:rPr>
              <w:t>。项目主要建设内容见表2-1。</w:t>
            </w:r>
          </w:p>
          <w:p w14:paraId="3F98AF48">
            <w:pPr>
              <w:adjustRightInd w:val="0"/>
              <w:snapToGrid w:val="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表2-1  主要建设内容一览表</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5"/>
              <w:gridCol w:w="1092"/>
              <w:gridCol w:w="5949"/>
              <w:gridCol w:w="856"/>
            </w:tblGrid>
            <w:tr w14:paraId="66D307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tcBorders>
                    <w:tl2br w:val="nil"/>
                    <w:tr2bl w:val="nil"/>
                  </w:tcBorders>
                  <w:vAlign w:val="center"/>
                </w:tcPr>
                <w:p w14:paraId="1C971770">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工程</w:t>
                  </w:r>
                </w:p>
                <w:p w14:paraId="7E883E84">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类型</w:t>
                  </w:r>
                </w:p>
              </w:tc>
              <w:tc>
                <w:tcPr>
                  <w:tcW w:w="639" w:type="pct"/>
                  <w:tcBorders>
                    <w:tl2br w:val="nil"/>
                    <w:tr2bl w:val="nil"/>
                  </w:tcBorders>
                  <w:vAlign w:val="center"/>
                </w:tcPr>
                <w:p w14:paraId="3320E641">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工程名称</w:t>
                  </w:r>
                </w:p>
              </w:tc>
              <w:tc>
                <w:tcPr>
                  <w:tcW w:w="3486" w:type="pct"/>
                  <w:tcBorders>
                    <w:tl2br w:val="nil"/>
                    <w:tr2bl w:val="nil"/>
                  </w:tcBorders>
                  <w:vAlign w:val="center"/>
                </w:tcPr>
                <w:p w14:paraId="70888F52">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工程建设内容</w:t>
                  </w:r>
                </w:p>
              </w:tc>
              <w:tc>
                <w:tcPr>
                  <w:tcW w:w="501" w:type="pct"/>
                  <w:tcBorders>
                    <w:tl2br w:val="nil"/>
                    <w:tr2bl w:val="nil"/>
                  </w:tcBorders>
                  <w:vAlign w:val="center"/>
                </w:tcPr>
                <w:p w14:paraId="662F1102">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备注</w:t>
                  </w:r>
                </w:p>
              </w:tc>
            </w:tr>
            <w:tr w14:paraId="5669A2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tcBorders>
                    <w:tl2br w:val="nil"/>
                    <w:tr2bl w:val="nil"/>
                  </w:tcBorders>
                  <w:vAlign w:val="center"/>
                </w:tcPr>
                <w:p w14:paraId="38230535">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主体</w:t>
                  </w:r>
                </w:p>
                <w:p w14:paraId="5FDCC8C9">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工程</w:t>
                  </w:r>
                </w:p>
              </w:tc>
              <w:tc>
                <w:tcPr>
                  <w:tcW w:w="639" w:type="pct"/>
                  <w:tcBorders>
                    <w:tl2br w:val="nil"/>
                    <w:tr2bl w:val="nil"/>
                  </w:tcBorders>
                  <w:vAlign w:val="center"/>
                </w:tcPr>
                <w:p w14:paraId="221E816B">
                  <w:pPr>
                    <w:pStyle w:val="3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煤炭堆场</w:t>
                  </w:r>
                </w:p>
              </w:tc>
              <w:tc>
                <w:tcPr>
                  <w:tcW w:w="3486" w:type="pct"/>
                  <w:tcBorders>
                    <w:tl2br w:val="nil"/>
                    <w:tr2bl w:val="nil"/>
                  </w:tcBorders>
                  <w:vAlign w:val="center"/>
                </w:tcPr>
                <w:p w14:paraId="7AE44E46">
                  <w:pPr>
                    <w:pStyle w:val="32"/>
                    <w:jc w:val="lef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煤炭堆场面积14000m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，最大堆高2</w:t>
                  </w:r>
                  <w:r>
                    <w:rPr>
                      <w:rFonts w:hint="eastAsia" w:cs="Times New Roman"/>
                      <w:color w:val="auto"/>
                      <w:highlight w:val="none"/>
                      <w:lang w:val="en-US" w:eastAsia="zh-CN"/>
                    </w:rPr>
                    <w:t>m</w:t>
                  </w:r>
                  <w:r>
                    <w:rPr>
                      <w:rFonts w:hint="default" w:ascii="Times New Roman" w:hAnsi="Times New Roman" w:cs="Times New Roman"/>
                      <w:color w:val="auto"/>
                      <w:highlight w:val="none"/>
                      <w:lang w:val="en-US" w:eastAsia="zh-CN"/>
                    </w:rPr>
                    <w:t>，可容纳3.5万</w:t>
                  </w:r>
                  <w:r>
                    <w:rPr>
                      <w:rFonts w:hint="eastAsia" w:cs="Times New Roman"/>
                      <w:color w:val="auto"/>
                      <w:highlight w:val="none"/>
                      <w:lang w:val="en-US" w:eastAsia="zh-CN"/>
                    </w:rPr>
                    <w:t>t</w:t>
                  </w:r>
                  <w:r>
                    <w:rPr>
                      <w:rFonts w:hint="default" w:ascii="Times New Roman" w:hAnsi="Times New Roman" w:cs="Times New Roman"/>
                      <w:color w:val="auto"/>
                      <w:highlight w:val="none"/>
                      <w:lang w:val="en-US" w:eastAsia="zh-CN"/>
                    </w:rPr>
                    <w:t>煤炭，本项目年周转</w:t>
                  </w:r>
                  <w:r>
                    <w:rPr>
                      <w:rFonts w:hint="default" w:ascii="Times New Roman" w:hAnsi="Times New Roman" w:cs="Times New Roman"/>
                      <w:bCs/>
                      <w:color w:val="auto"/>
                      <w:highlight w:val="none"/>
                      <w:lang w:val="en-US" w:eastAsia="zh-CN"/>
                    </w:rPr>
                    <w:t>4.5万吨。</w:t>
                  </w:r>
                </w:p>
              </w:tc>
              <w:tc>
                <w:tcPr>
                  <w:tcW w:w="501" w:type="pct"/>
                  <w:tcBorders>
                    <w:tl2br w:val="nil"/>
                    <w:tr2bl w:val="nil"/>
                  </w:tcBorders>
                  <w:vAlign w:val="center"/>
                </w:tcPr>
                <w:p w14:paraId="407AB92A">
                  <w:pPr>
                    <w:jc w:val="center"/>
                    <w:rPr>
                      <w:rFonts w:hint="default" w:ascii="Times New Roman" w:hAnsi="Times New Roman" w:cs="Times New Roman"/>
                      <w:color w:val="auto"/>
                      <w:highlight w:val="none"/>
                      <w:lang w:val="en-US"/>
                    </w:rPr>
                  </w:pPr>
                  <w:r>
                    <w:rPr>
                      <w:rFonts w:hint="default" w:ascii="Times New Roman" w:hAnsi="Times New Roman" w:cs="Times New Roman"/>
                      <w:color w:val="auto"/>
                      <w:szCs w:val="21"/>
                      <w:highlight w:val="none"/>
                      <w:lang w:val="en-US" w:eastAsia="zh-CN"/>
                    </w:rPr>
                    <w:t>新建</w:t>
                  </w:r>
                </w:p>
              </w:tc>
            </w:tr>
            <w:tr w14:paraId="2A5222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tcBorders>
                    <w:tl2br w:val="nil"/>
                    <w:tr2bl w:val="nil"/>
                  </w:tcBorders>
                  <w:vAlign w:val="center"/>
                </w:tcPr>
                <w:p w14:paraId="1192A409">
                  <w:pPr>
                    <w:pStyle w:val="32"/>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辅助工程</w:t>
                  </w:r>
                </w:p>
              </w:tc>
              <w:tc>
                <w:tcPr>
                  <w:tcW w:w="639" w:type="pct"/>
                  <w:tcBorders>
                    <w:tl2br w:val="nil"/>
                    <w:tr2bl w:val="nil"/>
                  </w:tcBorders>
                  <w:vAlign w:val="center"/>
                </w:tcPr>
                <w:p w14:paraId="7A04A0A0">
                  <w:pPr>
                    <w:pStyle w:val="32"/>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办公室</w:t>
                  </w:r>
                </w:p>
              </w:tc>
              <w:tc>
                <w:tcPr>
                  <w:tcW w:w="3486" w:type="pct"/>
                  <w:tcBorders>
                    <w:tl2br w:val="nil"/>
                    <w:tr2bl w:val="nil"/>
                  </w:tcBorders>
                  <w:vAlign w:val="center"/>
                </w:tcPr>
                <w:p w14:paraId="78D10C6A">
                  <w:pPr>
                    <w:pStyle w:val="32"/>
                    <w:jc w:val="lef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1座单层砖混结构，建筑面积200m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，用于企业办公。</w:t>
                  </w:r>
                </w:p>
              </w:tc>
              <w:tc>
                <w:tcPr>
                  <w:tcW w:w="501" w:type="pct"/>
                  <w:tcBorders>
                    <w:tl2br w:val="nil"/>
                    <w:tr2bl w:val="nil"/>
                  </w:tcBorders>
                  <w:vAlign w:val="center"/>
                </w:tcPr>
                <w:p w14:paraId="40288060">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新建</w:t>
                  </w:r>
                </w:p>
              </w:tc>
            </w:tr>
            <w:tr w14:paraId="026D46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restart"/>
                  <w:tcBorders>
                    <w:tl2br w:val="nil"/>
                    <w:tr2bl w:val="nil"/>
                  </w:tcBorders>
                  <w:vAlign w:val="center"/>
                </w:tcPr>
                <w:p w14:paraId="38652800">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公用</w:t>
                  </w:r>
                </w:p>
                <w:p w14:paraId="5BAF0CB5">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工程</w:t>
                  </w:r>
                </w:p>
              </w:tc>
              <w:tc>
                <w:tcPr>
                  <w:tcW w:w="639" w:type="pct"/>
                  <w:tcBorders>
                    <w:tl2br w:val="nil"/>
                    <w:tr2bl w:val="nil"/>
                  </w:tcBorders>
                  <w:vAlign w:val="center"/>
                </w:tcPr>
                <w:p w14:paraId="3EAD0C97">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给水工程</w:t>
                  </w:r>
                </w:p>
              </w:tc>
              <w:tc>
                <w:tcPr>
                  <w:tcW w:w="3486" w:type="pct"/>
                  <w:tcBorders>
                    <w:tl2br w:val="nil"/>
                    <w:tr2bl w:val="nil"/>
                  </w:tcBorders>
                  <w:vAlign w:val="center"/>
                </w:tcPr>
                <w:p w14:paraId="79EB2490">
                  <w:pPr>
                    <w:pStyle w:val="32"/>
                    <w:jc w:val="left"/>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项目</w:t>
                  </w:r>
                  <w:r>
                    <w:rPr>
                      <w:rFonts w:hint="default" w:ascii="Times New Roman" w:hAnsi="Times New Roman" w:cs="Times New Roman"/>
                      <w:color w:val="auto"/>
                      <w:highlight w:val="none"/>
                      <w:lang w:val="en-US" w:eastAsia="zh-CN"/>
                    </w:rPr>
                    <w:t>生活</w:t>
                  </w:r>
                  <w:r>
                    <w:rPr>
                      <w:rFonts w:hint="default" w:ascii="Times New Roman" w:hAnsi="Times New Roman" w:cs="Times New Roman"/>
                      <w:color w:val="auto"/>
                      <w:highlight w:val="none"/>
                    </w:rPr>
                    <w:t>用水</w:t>
                  </w:r>
                  <w:r>
                    <w:rPr>
                      <w:rFonts w:hint="default" w:ascii="Times New Roman" w:hAnsi="Times New Roman" w:cs="Times New Roman"/>
                      <w:color w:val="auto"/>
                      <w:highlight w:val="none"/>
                      <w:lang w:val="en-US" w:eastAsia="zh-CN"/>
                    </w:rPr>
                    <w:t>来源为外购桶装水，生产用水主要由沉淀后回用的雨水提供（雨水不够时临时外购水源）。</w:t>
                  </w:r>
                </w:p>
              </w:tc>
              <w:tc>
                <w:tcPr>
                  <w:tcW w:w="501" w:type="pct"/>
                  <w:tcBorders>
                    <w:tl2br w:val="nil"/>
                    <w:tr2bl w:val="nil"/>
                  </w:tcBorders>
                  <w:vAlign w:val="center"/>
                </w:tcPr>
                <w:p w14:paraId="4BD97F64">
                  <w:pPr>
                    <w:pStyle w:val="32"/>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新建</w:t>
                  </w:r>
                </w:p>
              </w:tc>
            </w:tr>
            <w:tr w14:paraId="0CAD19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36762551">
                  <w:pPr>
                    <w:pStyle w:val="32"/>
                    <w:rPr>
                      <w:rFonts w:hint="default" w:ascii="Times New Roman" w:hAnsi="Times New Roman" w:cs="Times New Roman"/>
                      <w:color w:val="auto"/>
                      <w:highlight w:val="none"/>
                    </w:rPr>
                  </w:pPr>
                </w:p>
              </w:tc>
              <w:tc>
                <w:tcPr>
                  <w:tcW w:w="639" w:type="pct"/>
                  <w:tcBorders>
                    <w:tl2br w:val="nil"/>
                    <w:tr2bl w:val="nil"/>
                  </w:tcBorders>
                  <w:vAlign w:val="center"/>
                </w:tcPr>
                <w:p w14:paraId="080B1019">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排水工程</w:t>
                  </w:r>
                </w:p>
              </w:tc>
              <w:tc>
                <w:tcPr>
                  <w:tcW w:w="3486" w:type="pct"/>
                  <w:tcBorders>
                    <w:tl2br w:val="nil"/>
                    <w:tr2bl w:val="nil"/>
                  </w:tcBorders>
                  <w:vAlign w:val="center"/>
                </w:tcPr>
                <w:p w14:paraId="19CAA76E">
                  <w:pPr>
                    <w:pStyle w:val="32"/>
                    <w:jc w:val="left"/>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项目无生产废水</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生活污水</w:t>
                  </w:r>
                  <w:r>
                    <w:rPr>
                      <w:rFonts w:hint="default" w:ascii="Times New Roman" w:hAnsi="Times New Roman" w:cs="Times New Roman"/>
                      <w:color w:val="auto"/>
                      <w:highlight w:val="none"/>
                      <w:lang w:val="en-US" w:eastAsia="zh-CN"/>
                    </w:rPr>
                    <w:t>排入防渗旱厕。</w:t>
                  </w:r>
                </w:p>
              </w:tc>
              <w:tc>
                <w:tcPr>
                  <w:tcW w:w="501" w:type="pct"/>
                  <w:tcBorders>
                    <w:tl2br w:val="nil"/>
                    <w:tr2bl w:val="nil"/>
                  </w:tcBorders>
                  <w:vAlign w:val="center"/>
                </w:tcPr>
                <w:p w14:paraId="135546C2">
                  <w:pPr>
                    <w:pStyle w:val="32"/>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新建</w:t>
                  </w:r>
                </w:p>
              </w:tc>
            </w:tr>
            <w:tr w14:paraId="5E3A68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26B7C3E9">
                  <w:pPr>
                    <w:pStyle w:val="32"/>
                    <w:rPr>
                      <w:rFonts w:hint="default" w:ascii="Times New Roman" w:hAnsi="Times New Roman" w:cs="Times New Roman"/>
                      <w:color w:val="auto"/>
                      <w:highlight w:val="none"/>
                    </w:rPr>
                  </w:pPr>
                </w:p>
              </w:tc>
              <w:tc>
                <w:tcPr>
                  <w:tcW w:w="639" w:type="pct"/>
                  <w:tcBorders>
                    <w:tl2br w:val="nil"/>
                    <w:tr2bl w:val="nil"/>
                  </w:tcBorders>
                  <w:vAlign w:val="center"/>
                </w:tcPr>
                <w:p w14:paraId="022256F4">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供电工程</w:t>
                  </w:r>
                </w:p>
              </w:tc>
              <w:tc>
                <w:tcPr>
                  <w:tcW w:w="3486" w:type="pct"/>
                  <w:tcBorders>
                    <w:tl2br w:val="nil"/>
                    <w:tr2bl w:val="nil"/>
                  </w:tcBorders>
                  <w:vAlign w:val="center"/>
                </w:tcPr>
                <w:p w14:paraId="2F8233C6">
                  <w:pPr>
                    <w:pStyle w:val="32"/>
                    <w:jc w:val="left"/>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由市政电网提供</w:t>
                  </w:r>
                  <w:r>
                    <w:rPr>
                      <w:rFonts w:hint="default" w:ascii="Times New Roman" w:hAnsi="Times New Roman" w:cs="Times New Roman"/>
                      <w:color w:val="auto"/>
                      <w:highlight w:val="none"/>
                      <w:lang w:eastAsia="zh-CN"/>
                    </w:rPr>
                    <w:t>。</w:t>
                  </w:r>
                </w:p>
              </w:tc>
              <w:tc>
                <w:tcPr>
                  <w:tcW w:w="501" w:type="pct"/>
                  <w:tcBorders>
                    <w:tl2br w:val="nil"/>
                    <w:tr2bl w:val="nil"/>
                  </w:tcBorders>
                  <w:vAlign w:val="center"/>
                </w:tcPr>
                <w:p w14:paraId="7410E296">
                  <w:pPr>
                    <w:pStyle w:val="32"/>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新建</w:t>
                  </w:r>
                </w:p>
              </w:tc>
            </w:tr>
            <w:tr w14:paraId="6602C7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29D0BE8F">
                  <w:pPr>
                    <w:pStyle w:val="32"/>
                    <w:rPr>
                      <w:rFonts w:hint="default" w:ascii="Times New Roman" w:hAnsi="Times New Roman" w:cs="Times New Roman"/>
                      <w:color w:val="auto"/>
                      <w:highlight w:val="none"/>
                    </w:rPr>
                  </w:pPr>
                </w:p>
              </w:tc>
              <w:tc>
                <w:tcPr>
                  <w:tcW w:w="639" w:type="pct"/>
                  <w:tcBorders>
                    <w:tl2br w:val="nil"/>
                    <w:tr2bl w:val="nil"/>
                  </w:tcBorders>
                  <w:vAlign w:val="center"/>
                </w:tcPr>
                <w:p w14:paraId="1C60C359">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供热工程</w:t>
                  </w:r>
                </w:p>
              </w:tc>
              <w:tc>
                <w:tcPr>
                  <w:tcW w:w="3486" w:type="pct"/>
                  <w:tcBorders>
                    <w:tl2br w:val="nil"/>
                    <w:tr2bl w:val="nil"/>
                  </w:tcBorders>
                  <w:vAlign w:val="center"/>
                </w:tcPr>
                <w:p w14:paraId="2E4A6A16">
                  <w:pPr>
                    <w:pStyle w:val="32"/>
                    <w:jc w:val="left"/>
                    <w:rPr>
                      <w:rFonts w:hint="default" w:ascii="Times New Roman" w:hAnsi="Times New Roman" w:cs="Times New Roman"/>
                      <w:color w:val="auto"/>
                      <w:highlight w:val="none"/>
                      <w:lang w:val="en-US"/>
                    </w:rPr>
                  </w:pPr>
                  <w:r>
                    <w:rPr>
                      <w:rFonts w:hint="default" w:ascii="Times New Roman" w:hAnsi="Times New Roman" w:cs="Times New Roman"/>
                      <w:color w:val="auto"/>
                      <w:szCs w:val="21"/>
                      <w:highlight w:val="none"/>
                    </w:rPr>
                    <w:t>本项目</w:t>
                  </w:r>
                  <w:r>
                    <w:rPr>
                      <w:rFonts w:hint="default" w:ascii="Times New Roman" w:hAnsi="Times New Roman" w:cs="Times New Roman"/>
                      <w:color w:val="auto"/>
                      <w:szCs w:val="21"/>
                      <w:highlight w:val="none"/>
                      <w:lang w:val="en-US" w:eastAsia="zh-CN"/>
                    </w:rPr>
                    <w:t>冬季取暖采用电采暖。</w:t>
                  </w:r>
                </w:p>
              </w:tc>
              <w:tc>
                <w:tcPr>
                  <w:tcW w:w="501" w:type="pct"/>
                  <w:tcBorders>
                    <w:tl2br w:val="nil"/>
                    <w:tr2bl w:val="nil"/>
                  </w:tcBorders>
                  <w:vAlign w:val="center"/>
                </w:tcPr>
                <w:p w14:paraId="525E4C9F">
                  <w:pPr>
                    <w:pStyle w:val="32"/>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新建</w:t>
                  </w:r>
                </w:p>
              </w:tc>
            </w:tr>
            <w:tr w14:paraId="7BD6DE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restart"/>
                  <w:tcBorders>
                    <w:tl2br w:val="nil"/>
                    <w:tr2bl w:val="nil"/>
                  </w:tcBorders>
                  <w:vAlign w:val="center"/>
                </w:tcPr>
                <w:p w14:paraId="07DF6153">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环保</w:t>
                  </w:r>
                </w:p>
                <w:p w14:paraId="402BC93E">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工程</w:t>
                  </w:r>
                </w:p>
              </w:tc>
              <w:tc>
                <w:tcPr>
                  <w:tcW w:w="639" w:type="pct"/>
                  <w:tcBorders>
                    <w:tl2br w:val="nil"/>
                    <w:tr2bl w:val="nil"/>
                  </w:tcBorders>
                  <w:vAlign w:val="center"/>
                </w:tcPr>
                <w:p w14:paraId="6A531471">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污水防治措施</w:t>
                  </w:r>
                </w:p>
              </w:tc>
              <w:tc>
                <w:tcPr>
                  <w:tcW w:w="3486" w:type="pct"/>
                  <w:tcBorders>
                    <w:tl2br w:val="nil"/>
                    <w:tr2bl w:val="nil"/>
                  </w:tcBorders>
                  <w:vAlign w:val="center"/>
                </w:tcPr>
                <w:p w14:paraId="511096F9">
                  <w:pPr>
                    <w:pStyle w:val="32"/>
                    <w:jc w:val="left"/>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项目无生产废水</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生活污水</w:t>
                  </w:r>
                  <w:r>
                    <w:rPr>
                      <w:rFonts w:hint="default" w:ascii="Times New Roman" w:hAnsi="Times New Roman" w:cs="Times New Roman"/>
                      <w:color w:val="auto"/>
                      <w:highlight w:val="none"/>
                      <w:lang w:val="en-US" w:eastAsia="zh-CN"/>
                    </w:rPr>
                    <w:t>排入防渗旱厕。储煤厂建设雨水导流沟（长623m，宽0.2m，深0.2m）。设置初期雨水收集池1座，位于厂区南侧（厂区地势最低处），收集整体厂区雨水。收集的雨水沉淀后用于场区洒水降尘，储煤场初期雨水收集池体积300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eastAsia="zh-CN"/>
                    </w:rPr>
                    <w:t>。</w:t>
                  </w:r>
                </w:p>
              </w:tc>
              <w:tc>
                <w:tcPr>
                  <w:tcW w:w="501" w:type="pct"/>
                  <w:tcBorders>
                    <w:tl2br w:val="nil"/>
                    <w:tr2bl w:val="nil"/>
                  </w:tcBorders>
                  <w:vAlign w:val="center"/>
                </w:tcPr>
                <w:p w14:paraId="3554669E">
                  <w:pPr>
                    <w:pStyle w:val="32"/>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新建</w:t>
                  </w:r>
                </w:p>
              </w:tc>
            </w:tr>
            <w:tr w14:paraId="6304AF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71E242CF">
                  <w:pPr>
                    <w:pStyle w:val="32"/>
                    <w:rPr>
                      <w:rFonts w:hint="default" w:ascii="Times New Roman" w:hAnsi="Times New Roman" w:cs="Times New Roman"/>
                      <w:color w:val="auto"/>
                      <w:highlight w:val="none"/>
                    </w:rPr>
                  </w:pPr>
                </w:p>
              </w:tc>
              <w:tc>
                <w:tcPr>
                  <w:tcW w:w="639" w:type="pct"/>
                  <w:tcBorders>
                    <w:tl2br w:val="nil"/>
                    <w:tr2bl w:val="nil"/>
                  </w:tcBorders>
                  <w:vAlign w:val="center"/>
                </w:tcPr>
                <w:p w14:paraId="26F839E7">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固体废物防治措施</w:t>
                  </w:r>
                </w:p>
              </w:tc>
              <w:tc>
                <w:tcPr>
                  <w:tcW w:w="3486" w:type="pct"/>
                  <w:tcBorders>
                    <w:tl2br w:val="nil"/>
                    <w:tr2bl w:val="nil"/>
                  </w:tcBorders>
                  <w:vAlign w:val="center"/>
                </w:tcPr>
                <w:p w14:paraId="54E8F1B0">
                  <w:pPr>
                    <w:widowControl/>
                    <w:jc w:val="left"/>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储煤场内设置垃圾收集箱、危险废物贮存点，垃圾收集箱用于</w:t>
                  </w:r>
                  <w:r>
                    <w:rPr>
                      <w:rFonts w:hint="default" w:ascii="Times New Roman" w:hAnsi="Times New Roman" w:eastAsia="宋体" w:cs="Times New Roman"/>
                      <w:color w:val="auto"/>
                      <w:szCs w:val="21"/>
                      <w:highlight w:val="none"/>
                    </w:rPr>
                    <w:t>生活垃圾收集，由当地环卫部门统一处理；</w:t>
                  </w:r>
                  <w:r>
                    <w:rPr>
                      <w:rFonts w:hint="default" w:ascii="Times New Roman" w:hAnsi="Times New Roman" w:cs="Times New Roman"/>
                      <w:color w:val="auto"/>
                      <w:szCs w:val="21"/>
                      <w:highlight w:val="none"/>
                      <w:lang w:val="en-US" w:eastAsia="zh-CN"/>
                    </w:rPr>
                    <w:t>初期雨水收集池沉渣暂存煤炭堆场，与煤炭一同外售。危险废物贮存点位于办公室旁，建筑面积4m</w:t>
                  </w:r>
                  <w:r>
                    <w:rPr>
                      <w:rFonts w:hint="default" w:ascii="Times New Roman" w:hAnsi="Times New Roman" w:cs="Times New Roman"/>
                      <w:color w:val="auto"/>
                      <w:szCs w:val="21"/>
                      <w:highlight w:val="none"/>
                      <w:vertAlign w:val="superscript"/>
                      <w:lang w:val="en-US" w:eastAsia="zh-CN"/>
                    </w:rPr>
                    <w:t>2</w:t>
                  </w:r>
                  <w:r>
                    <w:rPr>
                      <w:rFonts w:hint="default" w:ascii="Times New Roman" w:hAnsi="Times New Roman" w:cs="Times New Roman"/>
                      <w:color w:val="auto"/>
                      <w:szCs w:val="21"/>
                      <w:highlight w:val="none"/>
                      <w:lang w:val="en-US" w:eastAsia="zh-CN"/>
                    </w:rPr>
                    <w:t>，采取</w:t>
                  </w:r>
                  <w:r>
                    <w:rPr>
                      <w:rFonts w:hint="default" w:ascii="Times New Roman" w:hAnsi="Times New Roman" w:eastAsia="宋体" w:cs="Times New Roman"/>
                      <w:color w:val="auto"/>
                      <w:sz w:val="21"/>
                      <w:szCs w:val="21"/>
                      <w:highlight w:val="none"/>
                      <w:lang w:val="en-US" w:eastAsia="zh-CN"/>
                    </w:rPr>
                    <w:t>重点防渗</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防渗层为至少2mm厚的防渗人工材料，防渗系数≤10</w:t>
                  </w:r>
                  <w:r>
                    <w:rPr>
                      <w:rFonts w:hint="default" w:ascii="Times New Roman" w:hAnsi="Times New Roman" w:eastAsia="宋体" w:cs="Times New Roman"/>
                      <w:color w:val="auto"/>
                      <w:sz w:val="21"/>
                      <w:szCs w:val="21"/>
                      <w:highlight w:val="none"/>
                      <w:vertAlign w:val="superscript"/>
                      <w:lang w:val="en-US" w:eastAsia="zh-CN"/>
                    </w:rPr>
                    <w:t>-10</w:t>
                  </w:r>
                  <w:r>
                    <w:rPr>
                      <w:rFonts w:hint="default" w:ascii="Times New Roman" w:hAnsi="Times New Roman" w:eastAsia="宋体" w:cs="Times New Roman"/>
                      <w:color w:val="auto"/>
                      <w:sz w:val="21"/>
                      <w:szCs w:val="21"/>
                      <w:highlight w:val="none"/>
                      <w:lang w:val="en-US" w:eastAsia="zh-CN"/>
                    </w:rPr>
                    <w:t>cm/s。</w:t>
                  </w:r>
                  <w:r>
                    <w:rPr>
                      <w:rFonts w:hint="default" w:ascii="Times New Roman" w:hAnsi="Times New Roman" w:cs="Times New Roman"/>
                      <w:color w:val="auto"/>
                      <w:szCs w:val="21"/>
                      <w:highlight w:val="none"/>
                      <w:lang w:val="en-US" w:eastAsia="zh-CN"/>
                    </w:rPr>
                    <w:t>用于暂存</w:t>
                  </w:r>
                  <w:r>
                    <w:rPr>
                      <w:rFonts w:hint="default" w:ascii="Times New Roman" w:hAnsi="Times New Roman" w:eastAsia="宋体" w:cs="Times New Roman"/>
                      <w:color w:val="auto"/>
                      <w:szCs w:val="21"/>
                      <w:highlight w:val="none"/>
                    </w:rPr>
                    <w:t>废机油</w:t>
                  </w:r>
                  <w:r>
                    <w:rPr>
                      <w:rFonts w:hint="default" w:ascii="Times New Roman" w:hAnsi="Times New Roman" w:cs="Times New Roman"/>
                      <w:color w:val="auto"/>
                      <w:szCs w:val="21"/>
                      <w:highlight w:val="none"/>
                      <w:lang w:val="en-US" w:eastAsia="zh-CN"/>
                    </w:rPr>
                    <w:t>等</w:t>
                  </w:r>
                  <w:r>
                    <w:rPr>
                      <w:rFonts w:hint="default" w:ascii="Times New Roman" w:hAnsi="Times New Roman" w:eastAsia="宋体" w:cs="Times New Roman"/>
                      <w:color w:val="auto"/>
                      <w:szCs w:val="21"/>
                      <w:highlight w:val="none"/>
                      <w:lang w:val="en-US" w:eastAsia="zh-CN"/>
                    </w:rPr>
                    <w:t>危险废物</w:t>
                  </w:r>
                  <w:r>
                    <w:rPr>
                      <w:rFonts w:hint="default" w:ascii="Times New Roman" w:hAnsi="Times New Roman" w:eastAsia="宋体" w:cs="Times New Roman"/>
                      <w:color w:val="auto"/>
                      <w:szCs w:val="21"/>
                      <w:highlight w:val="none"/>
                    </w:rPr>
                    <w:t>，</w:t>
                  </w:r>
                  <w:r>
                    <w:rPr>
                      <w:rFonts w:hint="default" w:ascii="Times New Roman" w:hAnsi="Times New Roman" w:cs="Times New Roman"/>
                      <w:color w:val="auto"/>
                      <w:szCs w:val="21"/>
                      <w:highlight w:val="none"/>
                      <w:lang w:val="en-US" w:eastAsia="zh-CN"/>
                    </w:rPr>
                    <w:t>定期</w:t>
                  </w:r>
                  <w:r>
                    <w:rPr>
                      <w:rFonts w:hint="default" w:ascii="Times New Roman" w:hAnsi="Times New Roman" w:eastAsia="宋体" w:cs="Times New Roman"/>
                      <w:color w:val="auto"/>
                      <w:szCs w:val="21"/>
                      <w:highlight w:val="none"/>
                    </w:rPr>
                    <w:t>委托有资质单位处置。</w:t>
                  </w:r>
                </w:p>
              </w:tc>
              <w:tc>
                <w:tcPr>
                  <w:tcW w:w="501" w:type="pct"/>
                  <w:tcBorders>
                    <w:tl2br w:val="nil"/>
                    <w:tr2bl w:val="nil"/>
                  </w:tcBorders>
                  <w:vAlign w:val="center"/>
                </w:tcPr>
                <w:p w14:paraId="45D62124">
                  <w:pPr>
                    <w:pStyle w:val="32"/>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新建</w:t>
                  </w:r>
                </w:p>
              </w:tc>
            </w:tr>
            <w:tr w14:paraId="29EE56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0A9E34C2">
                  <w:pPr>
                    <w:pStyle w:val="32"/>
                    <w:rPr>
                      <w:rFonts w:hint="default" w:ascii="Times New Roman" w:hAnsi="Times New Roman" w:cs="Times New Roman"/>
                      <w:color w:val="auto"/>
                      <w:highlight w:val="none"/>
                    </w:rPr>
                  </w:pPr>
                </w:p>
              </w:tc>
              <w:tc>
                <w:tcPr>
                  <w:tcW w:w="639" w:type="pct"/>
                  <w:tcBorders>
                    <w:tl2br w:val="nil"/>
                    <w:tr2bl w:val="nil"/>
                  </w:tcBorders>
                  <w:vAlign w:val="center"/>
                </w:tcPr>
                <w:p w14:paraId="155215DD">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废气防治措施</w:t>
                  </w:r>
                </w:p>
              </w:tc>
              <w:tc>
                <w:tcPr>
                  <w:tcW w:w="3486" w:type="pct"/>
                  <w:tcBorders>
                    <w:tl2br w:val="nil"/>
                    <w:tr2bl w:val="nil"/>
                  </w:tcBorders>
                  <w:vAlign w:val="center"/>
                </w:tcPr>
                <w:p w14:paraId="1AA2177A">
                  <w:pPr>
                    <w:widowControl/>
                    <w:jc w:val="left"/>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储煤场堆高2米，四周建设闭合防风抑尘网高3m、长623m（孔隙率5</w:t>
                  </w:r>
                  <w:r>
                    <w:rPr>
                      <w:rFonts w:hint="default" w:ascii="Times New Roman" w:hAnsi="Times New Roman" w:eastAsia="宋体" w:cs="Times New Roman"/>
                      <w:color w:val="auto"/>
                      <w:szCs w:val="21"/>
                      <w:highlight w:val="none"/>
                      <w:lang w:val="en-US" w:eastAsia="zh-CN"/>
                    </w:rPr>
                    <w:t>0％</w:t>
                  </w:r>
                  <w:r>
                    <w:rPr>
                      <w:rFonts w:hint="default" w:ascii="Times New Roman" w:hAnsi="Times New Roman" w:cs="Times New Roman"/>
                      <w:color w:val="auto"/>
                      <w:szCs w:val="21"/>
                      <w:highlight w:val="none"/>
                      <w:lang w:val="en-US" w:eastAsia="zh-CN"/>
                    </w:rPr>
                    <w:t>），储煤场内堆存煤炭使用绿网进行苫盖；装卸过程中装车使用洒水车对装车过程进行降尘，卸料过程尽量减少煤炭落料过程中高差，洒水车定期对储煤区域进行洒水降尘并防止自燃，定期去外部指定洗车点对车辆进行清洗。禁止在重污染天气、大风天气进行作业；煤场运输车辆进行全面苫盖</w:t>
                  </w:r>
                  <w:r>
                    <w:rPr>
                      <w:rFonts w:hint="default" w:ascii="Times New Roman" w:hAnsi="Times New Roman" w:cs="Times New Roman"/>
                      <w:color w:val="auto"/>
                      <w:szCs w:val="21"/>
                      <w:highlight w:val="none"/>
                      <w:lang w:eastAsia="zh-CN"/>
                    </w:rPr>
                    <w:t>。</w:t>
                  </w:r>
                </w:p>
              </w:tc>
              <w:tc>
                <w:tcPr>
                  <w:tcW w:w="501" w:type="pct"/>
                  <w:tcBorders>
                    <w:tl2br w:val="nil"/>
                    <w:tr2bl w:val="nil"/>
                  </w:tcBorders>
                  <w:vAlign w:val="center"/>
                </w:tcPr>
                <w:p w14:paraId="2F93389D">
                  <w:pPr>
                    <w:pStyle w:val="32"/>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新建</w:t>
                  </w:r>
                </w:p>
              </w:tc>
            </w:tr>
            <w:tr w14:paraId="670A5C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64C895B9">
                  <w:pPr>
                    <w:pStyle w:val="32"/>
                    <w:rPr>
                      <w:rFonts w:hint="default" w:ascii="Times New Roman" w:hAnsi="Times New Roman" w:cs="Times New Roman"/>
                      <w:color w:val="auto"/>
                      <w:highlight w:val="none"/>
                    </w:rPr>
                  </w:pPr>
                </w:p>
              </w:tc>
              <w:tc>
                <w:tcPr>
                  <w:tcW w:w="639" w:type="pct"/>
                  <w:tcBorders>
                    <w:tl2br w:val="nil"/>
                    <w:tr2bl w:val="nil"/>
                  </w:tcBorders>
                  <w:vAlign w:val="center"/>
                </w:tcPr>
                <w:p w14:paraId="4D4E6AFF">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噪声防治措施</w:t>
                  </w:r>
                </w:p>
              </w:tc>
              <w:tc>
                <w:tcPr>
                  <w:tcW w:w="3486" w:type="pct"/>
                  <w:tcBorders>
                    <w:tl2br w:val="nil"/>
                    <w:tr2bl w:val="nil"/>
                  </w:tcBorders>
                  <w:vAlign w:val="center"/>
                </w:tcPr>
                <w:p w14:paraId="242C103B">
                  <w:pPr>
                    <w:widowControl/>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采用</w:t>
                  </w:r>
                  <w:r>
                    <w:rPr>
                      <w:rFonts w:hint="default" w:ascii="Times New Roman" w:hAnsi="Times New Roman" w:cs="Times New Roman"/>
                      <w:color w:val="auto"/>
                      <w:szCs w:val="21"/>
                      <w:highlight w:val="none"/>
                      <w:lang w:val="en-US" w:eastAsia="zh-CN"/>
                    </w:rPr>
                    <w:t>低噪声设备、减振设施</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场内运输车辆低速、禁鸣措施，</w:t>
                  </w:r>
                  <w:r>
                    <w:rPr>
                      <w:rFonts w:hint="default" w:ascii="Times New Roman" w:hAnsi="Times New Roman" w:cs="Times New Roman"/>
                      <w:color w:val="auto"/>
                      <w:szCs w:val="21"/>
                      <w:highlight w:val="none"/>
                    </w:rPr>
                    <w:t>厂界外满足《工业企业厂界环境噪声排放标准》（GB12348-2008）中</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类标准。</w:t>
                  </w:r>
                </w:p>
              </w:tc>
              <w:tc>
                <w:tcPr>
                  <w:tcW w:w="501" w:type="pct"/>
                  <w:tcBorders>
                    <w:tl2br w:val="nil"/>
                    <w:tr2bl w:val="nil"/>
                  </w:tcBorders>
                  <w:vAlign w:val="center"/>
                </w:tcPr>
                <w:p w14:paraId="0846F850">
                  <w:pPr>
                    <w:pStyle w:val="32"/>
                    <w:jc w:val="center"/>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cs="Times New Roman"/>
                      <w:color w:val="auto"/>
                      <w:szCs w:val="21"/>
                      <w:highlight w:val="none"/>
                      <w:lang w:val="en-US" w:eastAsia="zh-CN"/>
                    </w:rPr>
                    <w:t>新建</w:t>
                  </w:r>
                </w:p>
              </w:tc>
            </w:tr>
            <w:tr w14:paraId="79A129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643AB24E">
                  <w:pPr>
                    <w:pStyle w:val="32"/>
                    <w:rPr>
                      <w:rFonts w:hint="default" w:ascii="Times New Roman" w:hAnsi="Times New Roman" w:cs="Times New Roman"/>
                      <w:color w:val="auto"/>
                      <w:highlight w:val="none"/>
                    </w:rPr>
                  </w:pPr>
                </w:p>
              </w:tc>
              <w:tc>
                <w:tcPr>
                  <w:tcW w:w="1092" w:type="dxa"/>
                  <w:tcBorders>
                    <w:tl2br w:val="nil"/>
                    <w:tr2bl w:val="nil"/>
                  </w:tcBorders>
                  <w:vAlign w:val="center"/>
                </w:tcPr>
                <w:p w14:paraId="28DA5DEF">
                  <w:pPr>
                    <w:pStyle w:val="3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地下水、土壤保护措施</w:t>
                  </w:r>
                </w:p>
              </w:tc>
              <w:tc>
                <w:tcPr>
                  <w:tcW w:w="5949" w:type="dxa"/>
                  <w:tcBorders>
                    <w:tl2br w:val="nil"/>
                    <w:tr2bl w:val="nil"/>
                  </w:tcBorders>
                  <w:vAlign w:val="center"/>
                </w:tcPr>
                <w:p w14:paraId="5966DAE3">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Cs w:val="21"/>
                      <w:highlight w:val="none"/>
                      <w:lang w:val="en-US" w:eastAsia="zh-CN"/>
                    </w:rPr>
                    <w:t>车辆进出口及主要通道使用水泥硬化，</w:t>
                  </w:r>
                  <w:r>
                    <w:rPr>
                      <w:rFonts w:hint="default" w:ascii="Times New Roman" w:hAnsi="Times New Roman" w:eastAsia="宋体" w:cs="Times New Roman"/>
                      <w:color w:val="auto"/>
                      <w:sz w:val="21"/>
                      <w:szCs w:val="21"/>
                      <w:highlight w:val="none"/>
                      <w:lang w:val="en-US" w:eastAsia="zh-CN"/>
                    </w:rPr>
                    <w:t>对</w:t>
                  </w:r>
                  <w:r>
                    <w:rPr>
                      <w:rFonts w:hint="default" w:ascii="Times New Roman" w:hAnsi="Times New Roman" w:cs="Times New Roman"/>
                      <w:color w:val="auto"/>
                      <w:sz w:val="21"/>
                      <w:szCs w:val="21"/>
                      <w:highlight w:val="none"/>
                      <w:lang w:val="en-US" w:eastAsia="zh-CN"/>
                    </w:rPr>
                    <w:t>煤炭堆场、初期雨水收集池</w:t>
                  </w:r>
                  <w:r>
                    <w:rPr>
                      <w:rFonts w:hint="default" w:ascii="Times New Roman" w:hAnsi="Times New Roman" w:eastAsia="宋体" w:cs="Times New Roman"/>
                      <w:color w:val="auto"/>
                      <w:sz w:val="21"/>
                      <w:szCs w:val="21"/>
                      <w:highlight w:val="none"/>
                      <w:lang w:val="en-US" w:eastAsia="zh-CN"/>
                    </w:rPr>
                    <w:t>、旱厕进行一般防渗</w:t>
                  </w:r>
                  <w:r>
                    <w:rPr>
                      <w:rFonts w:hint="default" w:ascii="Times New Roman" w:hAnsi="Times New Roman" w:cs="Times New Roman"/>
                      <w:color w:val="auto"/>
                      <w:sz w:val="21"/>
                      <w:szCs w:val="21"/>
                      <w:highlight w:val="none"/>
                      <w:lang w:val="en-US" w:eastAsia="zh-CN"/>
                    </w:rPr>
                    <w:t>，防渗层为</w:t>
                  </w:r>
                  <w:r>
                    <w:rPr>
                      <w:rFonts w:hint="default" w:ascii="Times New Roman" w:hAnsi="Times New Roman" w:cs="Times New Roman"/>
                      <w:color w:val="auto"/>
                      <w:szCs w:val="21"/>
                    </w:rPr>
                    <w:t>等效黏土防渗层Mb≥1.5m，渗透系数≤10</w:t>
                  </w:r>
                  <w:r>
                    <w:rPr>
                      <w:rFonts w:hint="default" w:ascii="Times New Roman" w:hAnsi="Times New Roman" w:cs="Times New Roman"/>
                      <w:color w:val="auto"/>
                      <w:szCs w:val="21"/>
                      <w:vertAlign w:val="superscript"/>
                    </w:rPr>
                    <w:t>-7</w:t>
                  </w:r>
                  <w:r>
                    <w:rPr>
                      <w:rFonts w:hint="default" w:ascii="Times New Roman" w:hAnsi="Times New Roman" w:cs="Times New Roman"/>
                      <w:color w:val="auto"/>
                      <w:szCs w:val="21"/>
                    </w:rPr>
                    <w:t>cm/s）</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危险废物贮存点</w:t>
                  </w:r>
                  <w:r>
                    <w:rPr>
                      <w:rFonts w:hint="default" w:ascii="Times New Roman" w:hAnsi="Times New Roman" w:eastAsia="宋体" w:cs="Times New Roman"/>
                      <w:color w:val="auto"/>
                      <w:sz w:val="21"/>
                      <w:szCs w:val="21"/>
                      <w:highlight w:val="none"/>
                      <w:lang w:val="en-US" w:eastAsia="zh-CN"/>
                    </w:rPr>
                    <w:t>进行重点防渗</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防渗层为至少2mm厚的防渗人工材料，防渗系数≤10</w:t>
                  </w:r>
                  <w:r>
                    <w:rPr>
                      <w:rFonts w:hint="default" w:ascii="Times New Roman" w:hAnsi="Times New Roman" w:eastAsia="宋体" w:cs="Times New Roman"/>
                      <w:color w:val="auto"/>
                      <w:sz w:val="21"/>
                      <w:szCs w:val="21"/>
                      <w:highlight w:val="none"/>
                      <w:vertAlign w:val="superscript"/>
                      <w:lang w:val="en-US" w:eastAsia="zh-CN"/>
                    </w:rPr>
                    <w:t>-10</w:t>
                  </w:r>
                  <w:r>
                    <w:rPr>
                      <w:rFonts w:hint="default" w:ascii="Times New Roman" w:hAnsi="Times New Roman" w:eastAsia="宋体" w:cs="Times New Roman"/>
                      <w:color w:val="auto"/>
                      <w:sz w:val="21"/>
                      <w:szCs w:val="21"/>
                      <w:highlight w:val="none"/>
                      <w:lang w:val="en-US" w:eastAsia="zh-CN"/>
                    </w:rPr>
                    <w:t>cm/s。</w:t>
                  </w:r>
                </w:p>
              </w:tc>
              <w:tc>
                <w:tcPr>
                  <w:tcW w:w="501" w:type="pct"/>
                  <w:tcBorders>
                    <w:tl2br w:val="nil"/>
                    <w:tr2bl w:val="nil"/>
                  </w:tcBorders>
                  <w:vAlign w:val="center"/>
                </w:tcPr>
                <w:p w14:paraId="30C43753">
                  <w:pPr>
                    <w:pStyle w:val="32"/>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新建</w:t>
                  </w:r>
                </w:p>
              </w:tc>
            </w:tr>
          </w:tbl>
          <w:p w14:paraId="53F9266C">
            <w:pPr>
              <w:autoSpaceDE w:val="0"/>
              <w:autoSpaceDN w:val="0"/>
              <w:adjustRightInd w:val="0"/>
              <w:spacing w:line="360" w:lineRule="auto"/>
              <w:rPr>
                <w:rFonts w:hint="default" w:ascii="Times New Roman" w:hAnsi="Times New Roman" w:cs="Times New Roman"/>
                <w:color w:val="auto"/>
                <w:sz w:val="24"/>
                <w:highlight w:val="none"/>
              </w:rPr>
            </w:pPr>
            <w:r>
              <w:rPr>
                <w:rFonts w:hint="default" w:ascii="Times New Roman" w:hAnsi="Times New Roman" w:cs="Times New Roman"/>
                <w:b/>
                <w:bCs/>
                <w:color w:val="auto"/>
                <w:sz w:val="24"/>
                <w:highlight w:val="none"/>
                <w:lang w:val="en-US" w:eastAsia="zh-CN"/>
              </w:rPr>
              <w:t>3</w:t>
            </w:r>
            <w:r>
              <w:rPr>
                <w:rFonts w:hint="default" w:ascii="Times New Roman" w:hAnsi="Times New Roman" w:cs="Times New Roman"/>
                <w:b/>
                <w:bCs/>
                <w:color w:val="auto"/>
                <w:sz w:val="24"/>
                <w:highlight w:val="none"/>
              </w:rPr>
              <w:t>、主要设备</w:t>
            </w:r>
          </w:p>
          <w:p w14:paraId="00B7192F">
            <w:pPr>
              <w:autoSpaceDE w:val="0"/>
              <w:autoSpaceDN w:val="0"/>
              <w:adjustRightInd w:val="0"/>
              <w:spacing w:line="360" w:lineRule="auto"/>
              <w:ind w:firstLine="480" w:firstLineChars="200"/>
              <w:rPr>
                <w:rFonts w:hint="default" w:ascii="Times New Roman" w:hAnsi="Times New Roman" w:eastAsia="宋体" w:cs="Times New Roman"/>
                <w:b/>
                <w:bCs/>
                <w:color w:val="auto"/>
                <w:sz w:val="24"/>
                <w:szCs w:val="24"/>
                <w:highlight w:val="none"/>
              </w:rPr>
            </w:pPr>
            <w:r>
              <w:rPr>
                <w:rFonts w:hint="default" w:ascii="Times New Roman" w:hAnsi="Times New Roman" w:cs="Times New Roman"/>
                <w:color w:val="auto"/>
                <w:sz w:val="24"/>
                <w:highlight w:val="none"/>
              </w:rPr>
              <w:t>本项目主要设备清单见下表2-2。</w:t>
            </w:r>
          </w:p>
          <w:p w14:paraId="31FA1D1A">
            <w:pPr>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表2-2设备明细一览表</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4"/>
              <w:gridCol w:w="4174"/>
              <w:gridCol w:w="1094"/>
              <w:gridCol w:w="2050"/>
            </w:tblGrid>
            <w:tr w14:paraId="66E315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pct"/>
                  <w:vAlign w:val="center"/>
                </w:tcPr>
                <w:p w14:paraId="41E3618F">
                  <w:pPr>
                    <w:jc w:val="center"/>
                    <w:rPr>
                      <w:rStyle w:val="33"/>
                      <w:rFonts w:hint="default" w:ascii="Times New Roman" w:hAnsi="Times New Roman" w:cs="Times New Roman"/>
                      <w:color w:val="auto"/>
                      <w:szCs w:val="21"/>
                      <w:highlight w:val="none"/>
                    </w:rPr>
                  </w:pPr>
                  <w:r>
                    <w:rPr>
                      <w:rStyle w:val="33"/>
                      <w:rFonts w:hint="default" w:ascii="Times New Roman" w:hAnsi="Times New Roman" w:cs="Times New Roman"/>
                      <w:color w:val="auto"/>
                      <w:szCs w:val="21"/>
                      <w:highlight w:val="none"/>
                    </w:rPr>
                    <w:t>序号</w:t>
                  </w:r>
                </w:p>
              </w:tc>
              <w:tc>
                <w:tcPr>
                  <w:tcW w:w="2446" w:type="pct"/>
                  <w:vAlign w:val="center"/>
                </w:tcPr>
                <w:p w14:paraId="4D6A4AE5">
                  <w:pPr>
                    <w:jc w:val="center"/>
                    <w:rPr>
                      <w:rStyle w:val="33"/>
                      <w:rFonts w:hint="default" w:ascii="Times New Roman" w:hAnsi="Times New Roman" w:cs="Times New Roman"/>
                      <w:color w:val="auto"/>
                      <w:szCs w:val="21"/>
                      <w:highlight w:val="none"/>
                    </w:rPr>
                  </w:pPr>
                  <w:r>
                    <w:rPr>
                      <w:rStyle w:val="33"/>
                      <w:rFonts w:hint="default" w:ascii="Times New Roman" w:hAnsi="Times New Roman" w:cs="Times New Roman"/>
                      <w:color w:val="auto"/>
                      <w:szCs w:val="21"/>
                      <w:highlight w:val="none"/>
                    </w:rPr>
                    <w:t>名称</w:t>
                  </w:r>
                </w:p>
              </w:tc>
              <w:tc>
                <w:tcPr>
                  <w:tcW w:w="641" w:type="pct"/>
                  <w:vAlign w:val="center"/>
                </w:tcPr>
                <w:p w14:paraId="6C7397CE">
                  <w:pPr>
                    <w:jc w:val="center"/>
                    <w:rPr>
                      <w:rStyle w:val="33"/>
                      <w:rFonts w:hint="default" w:ascii="Times New Roman" w:hAnsi="Times New Roman" w:cs="Times New Roman"/>
                      <w:color w:val="auto"/>
                      <w:szCs w:val="21"/>
                      <w:highlight w:val="none"/>
                    </w:rPr>
                  </w:pPr>
                  <w:r>
                    <w:rPr>
                      <w:rStyle w:val="33"/>
                      <w:rFonts w:hint="default" w:ascii="Times New Roman" w:hAnsi="Times New Roman" w:cs="Times New Roman"/>
                      <w:color w:val="auto"/>
                      <w:szCs w:val="21"/>
                      <w:highlight w:val="none"/>
                    </w:rPr>
                    <w:t>数量</w:t>
                  </w:r>
                </w:p>
              </w:tc>
              <w:tc>
                <w:tcPr>
                  <w:tcW w:w="1201" w:type="pct"/>
                  <w:vAlign w:val="center"/>
                </w:tcPr>
                <w:p w14:paraId="64DB79FD">
                  <w:pPr>
                    <w:jc w:val="center"/>
                    <w:rPr>
                      <w:rStyle w:val="33"/>
                      <w:rFonts w:hint="default" w:ascii="Times New Roman" w:hAnsi="Times New Roman" w:cs="Times New Roman"/>
                      <w:color w:val="auto"/>
                      <w:szCs w:val="21"/>
                      <w:highlight w:val="none"/>
                    </w:rPr>
                  </w:pPr>
                  <w:r>
                    <w:rPr>
                      <w:rStyle w:val="33"/>
                      <w:rFonts w:hint="default" w:ascii="Times New Roman" w:hAnsi="Times New Roman" w:cs="Times New Roman"/>
                      <w:color w:val="auto"/>
                      <w:szCs w:val="21"/>
                      <w:highlight w:val="none"/>
                      <w:lang w:val="en-US"/>
                    </w:rPr>
                    <w:t>备注</w:t>
                  </w:r>
                </w:p>
              </w:tc>
            </w:tr>
            <w:tr w14:paraId="2F31CF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pct"/>
                  <w:vAlign w:val="center"/>
                </w:tcPr>
                <w:p w14:paraId="1F27667B">
                  <w:pPr>
                    <w:jc w:val="center"/>
                    <w:rPr>
                      <w:rStyle w:val="33"/>
                      <w:rFonts w:hint="default" w:ascii="Times New Roman" w:hAnsi="Times New Roman" w:cs="Times New Roman"/>
                      <w:color w:val="auto"/>
                      <w:szCs w:val="21"/>
                      <w:highlight w:val="none"/>
                    </w:rPr>
                  </w:pPr>
                  <w:r>
                    <w:rPr>
                      <w:rStyle w:val="33"/>
                      <w:rFonts w:hint="default" w:ascii="Times New Roman" w:hAnsi="Times New Roman" w:cs="Times New Roman"/>
                      <w:color w:val="auto"/>
                      <w:szCs w:val="21"/>
                      <w:highlight w:val="none"/>
                    </w:rPr>
                    <w:t>1</w:t>
                  </w:r>
                </w:p>
              </w:tc>
              <w:tc>
                <w:tcPr>
                  <w:tcW w:w="2446" w:type="pct"/>
                  <w:vAlign w:val="center"/>
                </w:tcPr>
                <w:p w14:paraId="652E671A">
                  <w:pPr>
                    <w:jc w:val="center"/>
                    <w:rPr>
                      <w:rStyle w:val="33"/>
                      <w:rFonts w:hint="default" w:ascii="Times New Roman" w:hAnsi="Times New Roman" w:cs="Times New Roman"/>
                      <w:color w:val="auto"/>
                      <w:szCs w:val="21"/>
                      <w:highlight w:val="none"/>
                    </w:rPr>
                  </w:pPr>
                  <w:r>
                    <w:rPr>
                      <w:rStyle w:val="33"/>
                      <w:rFonts w:hint="default" w:ascii="Times New Roman" w:hAnsi="Times New Roman" w:cs="Times New Roman"/>
                      <w:color w:val="auto"/>
                      <w:szCs w:val="21"/>
                      <w:highlight w:val="none"/>
                      <w:lang w:val="en-US"/>
                    </w:rPr>
                    <w:t>铲车</w:t>
                  </w:r>
                </w:p>
              </w:tc>
              <w:tc>
                <w:tcPr>
                  <w:tcW w:w="641" w:type="pct"/>
                  <w:vAlign w:val="center"/>
                </w:tcPr>
                <w:p w14:paraId="23968838">
                  <w:pPr>
                    <w:jc w:val="center"/>
                    <w:rPr>
                      <w:rStyle w:val="33"/>
                      <w:rFonts w:hint="default" w:ascii="Times New Roman" w:hAnsi="Times New Roman" w:cs="Times New Roman"/>
                      <w:color w:val="auto"/>
                      <w:szCs w:val="21"/>
                      <w:highlight w:val="none"/>
                      <w:lang w:val="en-US"/>
                    </w:rPr>
                  </w:pPr>
                  <w:r>
                    <w:rPr>
                      <w:rStyle w:val="33"/>
                      <w:rFonts w:hint="default" w:ascii="Times New Roman" w:hAnsi="Times New Roman" w:cs="Times New Roman"/>
                      <w:color w:val="auto"/>
                      <w:szCs w:val="21"/>
                      <w:highlight w:val="none"/>
                      <w:lang w:val="en-US"/>
                    </w:rPr>
                    <w:t>3台</w:t>
                  </w:r>
                </w:p>
              </w:tc>
              <w:tc>
                <w:tcPr>
                  <w:tcW w:w="1201" w:type="pct"/>
                  <w:vAlign w:val="center"/>
                </w:tcPr>
                <w:p w14:paraId="06F9FC94">
                  <w:pPr>
                    <w:jc w:val="center"/>
                    <w:rPr>
                      <w:rStyle w:val="33"/>
                      <w:rFonts w:hint="default" w:ascii="Times New Roman" w:hAnsi="Times New Roman" w:cs="Times New Roman"/>
                      <w:color w:val="auto"/>
                      <w:szCs w:val="21"/>
                      <w:highlight w:val="none"/>
                      <w:lang w:val="en-US"/>
                    </w:rPr>
                  </w:pPr>
                  <w:r>
                    <w:rPr>
                      <w:rStyle w:val="33"/>
                      <w:rFonts w:hint="default" w:ascii="Times New Roman" w:hAnsi="Times New Roman" w:cs="Times New Roman"/>
                      <w:color w:val="auto"/>
                      <w:szCs w:val="21"/>
                      <w:highlight w:val="none"/>
                      <w:lang w:val="en-US"/>
                    </w:rPr>
                    <w:t>/</w:t>
                  </w:r>
                </w:p>
              </w:tc>
            </w:tr>
            <w:tr w14:paraId="6E9E25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pct"/>
                  <w:vAlign w:val="center"/>
                </w:tcPr>
                <w:p w14:paraId="484BB6E2">
                  <w:pPr>
                    <w:jc w:val="center"/>
                    <w:rPr>
                      <w:rStyle w:val="33"/>
                      <w:rFonts w:hint="default" w:ascii="Times New Roman" w:hAnsi="Times New Roman" w:cs="Times New Roman"/>
                      <w:color w:val="auto"/>
                      <w:szCs w:val="21"/>
                      <w:highlight w:val="none"/>
                      <w:lang w:val="en-US"/>
                    </w:rPr>
                  </w:pPr>
                  <w:r>
                    <w:rPr>
                      <w:rStyle w:val="33"/>
                      <w:rFonts w:hint="default" w:ascii="Times New Roman" w:hAnsi="Times New Roman" w:cs="Times New Roman"/>
                      <w:color w:val="auto"/>
                      <w:szCs w:val="21"/>
                      <w:highlight w:val="none"/>
                      <w:lang w:val="en-US"/>
                    </w:rPr>
                    <w:t>2</w:t>
                  </w:r>
                </w:p>
              </w:tc>
              <w:tc>
                <w:tcPr>
                  <w:tcW w:w="2446" w:type="pct"/>
                  <w:vAlign w:val="center"/>
                </w:tcPr>
                <w:p w14:paraId="21AF5A6D">
                  <w:pPr>
                    <w:jc w:val="center"/>
                    <w:rPr>
                      <w:rStyle w:val="33"/>
                      <w:rFonts w:hint="default" w:ascii="Times New Roman" w:hAnsi="Times New Roman" w:cs="Times New Roman"/>
                      <w:color w:val="auto"/>
                      <w:szCs w:val="21"/>
                      <w:highlight w:val="none"/>
                      <w:lang w:val="en-US"/>
                    </w:rPr>
                  </w:pPr>
                  <w:r>
                    <w:rPr>
                      <w:rStyle w:val="33"/>
                      <w:rFonts w:hint="default" w:ascii="Times New Roman" w:hAnsi="Times New Roman" w:cs="Times New Roman"/>
                      <w:color w:val="auto"/>
                      <w:szCs w:val="21"/>
                      <w:highlight w:val="none"/>
                      <w:lang w:val="en-US"/>
                    </w:rPr>
                    <w:t>洒水车</w:t>
                  </w:r>
                </w:p>
              </w:tc>
              <w:tc>
                <w:tcPr>
                  <w:tcW w:w="641" w:type="pct"/>
                  <w:vAlign w:val="center"/>
                </w:tcPr>
                <w:p w14:paraId="09337A92">
                  <w:pPr>
                    <w:jc w:val="center"/>
                    <w:rPr>
                      <w:rStyle w:val="33"/>
                      <w:rFonts w:hint="default" w:ascii="Times New Roman" w:hAnsi="Times New Roman" w:cs="Times New Roman"/>
                      <w:color w:val="auto"/>
                      <w:szCs w:val="21"/>
                      <w:highlight w:val="none"/>
                      <w:lang w:val="en-US"/>
                    </w:rPr>
                  </w:pPr>
                  <w:r>
                    <w:rPr>
                      <w:rStyle w:val="33"/>
                      <w:rFonts w:hint="default" w:ascii="Times New Roman" w:hAnsi="Times New Roman" w:cs="Times New Roman"/>
                      <w:color w:val="auto"/>
                      <w:szCs w:val="21"/>
                      <w:highlight w:val="none"/>
                      <w:lang w:val="en-US"/>
                    </w:rPr>
                    <w:t>1台</w:t>
                  </w:r>
                </w:p>
              </w:tc>
              <w:tc>
                <w:tcPr>
                  <w:tcW w:w="1201" w:type="pct"/>
                  <w:vAlign w:val="center"/>
                </w:tcPr>
                <w:p w14:paraId="743EE5B1">
                  <w:pPr>
                    <w:jc w:val="center"/>
                    <w:rPr>
                      <w:rStyle w:val="33"/>
                      <w:rFonts w:hint="default" w:ascii="Times New Roman" w:hAnsi="Times New Roman" w:cs="Times New Roman"/>
                      <w:color w:val="auto"/>
                      <w:szCs w:val="21"/>
                      <w:highlight w:val="none"/>
                      <w:lang w:val="en-US"/>
                    </w:rPr>
                  </w:pPr>
                  <w:r>
                    <w:rPr>
                      <w:rStyle w:val="33"/>
                      <w:rFonts w:hint="default" w:ascii="Times New Roman" w:hAnsi="Times New Roman" w:cs="Times New Roman"/>
                      <w:color w:val="auto"/>
                      <w:szCs w:val="21"/>
                      <w:highlight w:val="none"/>
                      <w:lang w:val="en-US"/>
                    </w:rPr>
                    <w:t>/</w:t>
                  </w:r>
                </w:p>
              </w:tc>
            </w:tr>
            <w:tr w14:paraId="7A649D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pct"/>
                  <w:vAlign w:val="center"/>
                </w:tcPr>
                <w:p w14:paraId="01B73962">
                  <w:pPr>
                    <w:jc w:val="center"/>
                    <w:rPr>
                      <w:rStyle w:val="33"/>
                      <w:rFonts w:hint="default" w:ascii="Times New Roman" w:hAnsi="Times New Roman" w:cs="Times New Roman"/>
                      <w:color w:val="auto"/>
                      <w:szCs w:val="21"/>
                      <w:highlight w:val="none"/>
                      <w:lang w:val="en-US"/>
                    </w:rPr>
                  </w:pPr>
                  <w:r>
                    <w:rPr>
                      <w:rStyle w:val="33"/>
                      <w:rFonts w:hint="default" w:ascii="Times New Roman" w:hAnsi="Times New Roman" w:cs="Times New Roman"/>
                      <w:color w:val="auto"/>
                      <w:szCs w:val="21"/>
                      <w:highlight w:val="none"/>
                      <w:lang w:val="en-US"/>
                    </w:rPr>
                    <w:t>3</w:t>
                  </w:r>
                </w:p>
              </w:tc>
              <w:tc>
                <w:tcPr>
                  <w:tcW w:w="2446" w:type="pct"/>
                  <w:vAlign w:val="center"/>
                </w:tcPr>
                <w:p w14:paraId="1166AFB7">
                  <w:pPr>
                    <w:jc w:val="center"/>
                    <w:rPr>
                      <w:rStyle w:val="33"/>
                      <w:rFonts w:hint="default" w:ascii="Times New Roman" w:hAnsi="Times New Roman" w:cs="Times New Roman"/>
                      <w:color w:val="auto"/>
                      <w:szCs w:val="21"/>
                      <w:highlight w:val="none"/>
                      <w:lang w:val="en-US"/>
                    </w:rPr>
                  </w:pPr>
                  <w:r>
                    <w:rPr>
                      <w:rStyle w:val="33"/>
                      <w:rFonts w:hint="default" w:ascii="Times New Roman" w:hAnsi="Times New Roman" w:cs="Times New Roman"/>
                      <w:color w:val="auto"/>
                      <w:szCs w:val="21"/>
                      <w:highlight w:val="none"/>
                      <w:lang w:val="en-US"/>
                    </w:rPr>
                    <w:t>水泵</w:t>
                  </w:r>
                </w:p>
              </w:tc>
              <w:tc>
                <w:tcPr>
                  <w:tcW w:w="641" w:type="pct"/>
                  <w:vAlign w:val="center"/>
                </w:tcPr>
                <w:p w14:paraId="09671B8A">
                  <w:pPr>
                    <w:jc w:val="center"/>
                    <w:rPr>
                      <w:rStyle w:val="33"/>
                      <w:rFonts w:hint="default" w:ascii="Times New Roman" w:hAnsi="Times New Roman" w:cs="Times New Roman"/>
                      <w:color w:val="auto"/>
                      <w:szCs w:val="21"/>
                      <w:highlight w:val="none"/>
                      <w:lang w:val="en-US"/>
                    </w:rPr>
                  </w:pPr>
                  <w:r>
                    <w:rPr>
                      <w:rStyle w:val="33"/>
                      <w:rFonts w:hint="default" w:ascii="Times New Roman" w:hAnsi="Times New Roman" w:cs="Times New Roman"/>
                      <w:color w:val="auto"/>
                      <w:szCs w:val="21"/>
                      <w:highlight w:val="none"/>
                      <w:lang w:val="en-US"/>
                    </w:rPr>
                    <w:t>1台</w:t>
                  </w:r>
                </w:p>
              </w:tc>
              <w:tc>
                <w:tcPr>
                  <w:tcW w:w="1201" w:type="pct"/>
                  <w:vAlign w:val="center"/>
                </w:tcPr>
                <w:p w14:paraId="486FA3AF">
                  <w:pPr>
                    <w:jc w:val="center"/>
                    <w:rPr>
                      <w:rStyle w:val="33"/>
                      <w:rFonts w:hint="default" w:ascii="Times New Roman" w:hAnsi="Times New Roman" w:cs="Times New Roman"/>
                      <w:color w:val="auto"/>
                      <w:szCs w:val="21"/>
                      <w:highlight w:val="none"/>
                      <w:lang w:val="en-US"/>
                    </w:rPr>
                  </w:pPr>
                  <w:r>
                    <w:rPr>
                      <w:rStyle w:val="33"/>
                      <w:rFonts w:hint="default" w:ascii="Times New Roman" w:hAnsi="Times New Roman" w:cs="Times New Roman"/>
                      <w:color w:val="auto"/>
                      <w:szCs w:val="21"/>
                      <w:highlight w:val="none"/>
                      <w:lang w:val="en-US"/>
                    </w:rPr>
                    <w:t>/</w:t>
                  </w:r>
                </w:p>
              </w:tc>
            </w:tr>
          </w:tbl>
          <w:p w14:paraId="6078467E">
            <w:pPr>
              <w:adjustRightInd w:val="0"/>
              <w:spacing w:line="360" w:lineRule="auto"/>
              <w:rPr>
                <w:rFonts w:hint="default" w:ascii="Times New Roman" w:hAnsi="Times New Roman" w:eastAsia="仿宋_GB2312" w:cs="Times New Roman"/>
                <w:color w:val="auto"/>
                <w:sz w:val="28"/>
                <w:szCs w:val="28"/>
                <w:highlight w:val="none"/>
              </w:rPr>
            </w:pPr>
            <w:r>
              <w:rPr>
                <w:rFonts w:hint="default" w:ascii="Times New Roman" w:hAnsi="Times New Roman" w:cs="Times New Roman"/>
                <w:b/>
                <w:bCs/>
                <w:color w:val="auto"/>
                <w:sz w:val="24"/>
                <w:highlight w:val="none"/>
                <w:lang w:val="en-US" w:eastAsia="zh-CN"/>
              </w:rPr>
              <w:t>4</w:t>
            </w:r>
            <w:r>
              <w:rPr>
                <w:rFonts w:hint="default" w:ascii="Times New Roman" w:hAnsi="Times New Roman" w:cs="Times New Roman"/>
                <w:b/>
                <w:bCs/>
                <w:color w:val="auto"/>
                <w:sz w:val="24"/>
                <w:highlight w:val="none"/>
              </w:rPr>
              <w:t>、工作制度及劳动定员</w:t>
            </w:r>
          </w:p>
          <w:p w14:paraId="5170FCC4">
            <w:pPr>
              <w:tabs>
                <w:tab w:val="left" w:pos="630"/>
              </w:tabs>
              <w:spacing w:line="360" w:lineRule="auto"/>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eastAsia="宋体" w:cs="Times New Roman"/>
                <w:color w:val="auto"/>
                <w:sz w:val="24"/>
                <w:highlight w:val="none"/>
              </w:rPr>
              <w:t>本项目年工作</w:t>
            </w:r>
            <w:r>
              <w:rPr>
                <w:rFonts w:hint="default" w:ascii="Times New Roman" w:hAnsi="Times New Roman" w:cs="Times New Roman"/>
                <w:color w:val="auto"/>
                <w:sz w:val="24"/>
                <w:highlight w:val="none"/>
                <w:lang w:val="en-US" w:eastAsia="zh-CN"/>
              </w:rPr>
              <w:t>300</w:t>
            </w:r>
            <w:r>
              <w:rPr>
                <w:rFonts w:hint="default" w:ascii="Times New Roman" w:hAnsi="Times New Roman" w:eastAsia="宋体" w:cs="Times New Roman"/>
                <w:color w:val="auto"/>
                <w:sz w:val="24"/>
                <w:highlight w:val="none"/>
              </w:rPr>
              <w:t>天，每天工作</w:t>
            </w:r>
            <w:r>
              <w:rPr>
                <w:rFonts w:hint="default" w:ascii="Times New Roman" w:hAnsi="Times New Roman" w:cs="Times New Roman"/>
                <w:color w:val="auto"/>
                <w:sz w:val="24"/>
                <w:highlight w:val="none"/>
                <w:lang w:val="en-US" w:eastAsia="zh-CN"/>
              </w:rPr>
              <w:t>8</w:t>
            </w:r>
            <w:r>
              <w:rPr>
                <w:rFonts w:hint="default" w:ascii="Times New Roman" w:hAnsi="Times New Roman" w:eastAsia="宋体" w:cs="Times New Roman"/>
                <w:color w:val="auto"/>
                <w:sz w:val="24"/>
                <w:highlight w:val="none"/>
              </w:rPr>
              <w:t>h，</w:t>
            </w:r>
            <w:r>
              <w:rPr>
                <w:rFonts w:hint="default" w:ascii="Times New Roman" w:hAnsi="Times New Roman" w:cs="Times New Roman"/>
                <w:color w:val="auto"/>
                <w:sz w:val="24"/>
                <w:highlight w:val="none"/>
                <w:lang w:val="en-US" w:eastAsia="zh-CN"/>
              </w:rPr>
              <w:t>储煤场</w:t>
            </w:r>
            <w:r>
              <w:rPr>
                <w:rFonts w:hint="default" w:ascii="Times New Roman" w:hAnsi="Times New Roman" w:eastAsia="宋体" w:cs="Times New Roman"/>
                <w:color w:val="auto"/>
                <w:sz w:val="24"/>
                <w:highlight w:val="none"/>
                <w:lang w:val="en-US" w:eastAsia="zh-CN"/>
              </w:rPr>
              <w:t>劳动定员</w:t>
            </w:r>
            <w:r>
              <w:rPr>
                <w:rFonts w:hint="default" w:ascii="Times New Roman" w:hAnsi="Times New Roman" w:cs="Times New Roman"/>
                <w:color w:val="auto"/>
                <w:sz w:val="24"/>
                <w:highlight w:val="none"/>
                <w:lang w:val="en-US" w:eastAsia="zh-CN"/>
              </w:rPr>
              <w:t>5</w:t>
            </w:r>
            <w:r>
              <w:rPr>
                <w:rFonts w:hint="default" w:ascii="Times New Roman" w:hAnsi="Times New Roman" w:eastAsia="宋体" w:cs="Times New Roman"/>
                <w:color w:val="auto"/>
                <w:sz w:val="24"/>
                <w:highlight w:val="none"/>
                <w:lang w:val="en-US" w:eastAsia="zh-CN"/>
              </w:rPr>
              <w:t>人，项目</w:t>
            </w:r>
            <w:r>
              <w:rPr>
                <w:rFonts w:hint="default" w:ascii="Times New Roman" w:hAnsi="Times New Roman" w:eastAsia="宋体" w:cs="Times New Roman"/>
                <w:color w:val="auto"/>
                <w:sz w:val="24"/>
                <w:highlight w:val="none"/>
              </w:rPr>
              <w:t>不</w:t>
            </w:r>
            <w:r>
              <w:rPr>
                <w:rFonts w:hint="default" w:ascii="Times New Roman" w:hAnsi="Times New Roman" w:eastAsia="宋体" w:cs="Times New Roman"/>
                <w:color w:val="auto"/>
                <w:sz w:val="24"/>
                <w:highlight w:val="none"/>
                <w:lang w:val="en-US" w:eastAsia="zh-CN"/>
              </w:rPr>
              <w:t>设置</w:t>
            </w:r>
            <w:r>
              <w:rPr>
                <w:rFonts w:hint="default" w:ascii="Times New Roman" w:hAnsi="Times New Roman" w:eastAsia="宋体" w:cs="Times New Roman"/>
                <w:color w:val="auto"/>
                <w:sz w:val="24"/>
                <w:highlight w:val="none"/>
              </w:rPr>
              <w:t>食堂和宿舍</w:t>
            </w:r>
            <w:r>
              <w:rPr>
                <w:rFonts w:hint="default" w:ascii="Times New Roman" w:hAnsi="Times New Roman" w:cs="Times New Roman"/>
                <w:snapToGrid w:val="0"/>
                <w:color w:val="auto"/>
                <w:kern w:val="0"/>
                <w:sz w:val="24"/>
                <w:highlight w:val="none"/>
              </w:rPr>
              <w:t>。</w:t>
            </w:r>
          </w:p>
          <w:p w14:paraId="3432782D">
            <w:pPr>
              <w:pStyle w:val="19"/>
              <w:widowControl w:val="0"/>
              <w:snapToGrid/>
              <w:spacing w:before="0" w:after="0" w:line="360" w:lineRule="auto"/>
              <w:ind w:right="0" w:firstLine="0" w:firstLineChars="0"/>
              <w:rPr>
                <w:rFonts w:hint="default" w:ascii="Times New Roman" w:hAnsi="Times New Roman" w:cs="Times New Roman"/>
                <w:color w:val="auto"/>
                <w:sz w:val="24"/>
                <w:szCs w:val="24"/>
                <w:highlight w:val="none"/>
              </w:rPr>
            </w:pPr>
            <w:r>
              <w:rPr>
                <w:rFonts w:hint="default" w:ascii="Times New Roman" w:hAnsi="Times New Roman" w:cs="Times New Roman"/>
                <w:b/>
                <w:bCs/>
                <w:color w:val="auto"/>
                <w:sz w:val="24"/>
                <w:szCs w:val="24"/>
                <w:highlight w:val="none"/>
                <w:lang w:val="en-US" w:eastAsia="zh-CN"/>
              </w:rPr>
              <w:t>5</w:t>
            </w:r>
            <w:r>
              <w:rPr>
                <w:rFonts w:hint="default" w:ascii="Times New Roman" w:hAnsi="Times New Roman" w:cs="Times New Roman"/>
                <w:b/>
                <w:bCs/>
                <w:color w:val="auto"/>
                <w:sz w:val="24"/>
                <w:szCs w:val="24"/>
                <w:highlight w:val="none"/>
              </w:rPr>
              <w:t>、公用工程</w:t>
            </w:r>
            <w:r>
              <w:rPr>
                <w:rFonts w:hint="default" w:ascii="Times New Roman" w:hAnsi="Times New Roman" w:cs="Times New Roman"/>
                <w:color w:val="auto"/>
                <w:sz w:val="24"/>
                <w:szCs w:val="24"/>
                <w:highlight w:val="none"/>
              </w:rPr>
              <w:t xml:space="preserve">  </w:t>
            </w:r>
          </w:p>
          <w:p w14:paraId="259A7CDE">
            <w:pPr>
              <w:tabs>
                <w:tab w:val="left" w:pos="630"/>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给水</w:t>
            </w:r>
          </w:p>
          <w:p w14:paraId="78E436CF">
            <w:pPr>
              <w:tabs>
                <w:tab w:val="left" w:pos="630"/>
              </w:tabs>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eastAsia="宋体" w:cs="Times New Roman"/>
                <w:color w:val="auto"/>
                <w:sz w:val="24"/>
                <w:highlight w:val="none"/>
              </w:rPr>
              <w:t>本项目</w:t>
            </w:r>
            <w:r>
              <w:rPr>
                <w:rFonts w:hint="default" w:ascii="Times New Roman" w:hAnsi="Times New Roman" w:cs="Times New Roman"/>
                <w:color w:val="auto"/>
                <w:sz w:val="24"/>
                <w:highlight w:val="none"/>
                <w:lang w:val="en-US" w:eastAsia="zh-CN"/>
              </w:rPr>
              <w:t>生活及生产</w:t>
            </w:r>
            <w:r>
              <w:rPr>
                <w:rFonts w:hint="default" w:ascii="Times New Roman" w:hAnsi="Times New Roman" w:eastAsia="宋体" w:cs="Times New Roman"/>
                <w:color w:val="auto"/>
                <w:sz w:val="24"/>
                <w:highlight w:val="none"/>
              </w:rPr>
              <w:t>用水</w:t>
            </w:r>
            <w:r>
              <w:rPr>
                <w:rFonts w:hint="default" w:ascii="Times New Roman" w:hAnsi="Times New Roman" w:cs="Times New Roman"/>
                <w:color w:val="auto"/>
                <w:sz w:val="24"/>
                <w:highlight w:val="none"/>
                <w:lang w:val="en-US" w:eastAsia="zh-CN"/>
              </w:rPr>
              <w:t>来源主要为外购用水和初期雨水收集池收集的雨水。</w:t>
            </w:r>
          </w:p>
          <w:p w14:paraId="5931F2AF">
            <w:pPr>
              <w:tabs>
                <w:tab w:val="left" w:pos="630"/>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生活用水：</w:t>
            </w:r>
            <w:r>
              <w:rPr>
                <w:rFonts w:hint="default" w:ascii="Times New Roman" w:hAnsi="Times New Roman" w:cs="Times New Roman"/>
                <w:color w:val="auto"/>
                <w:sz w:val="24"/>
                <w:highlight w:val="none"/>
                <w:lang w:val="en-US" w:eastAsia="zh-CN"/>
              </w:rPr>
              <w:t>本项目劳动定员5人，</w:t>
            </w:r>
            <w:r>
              <w:rPr>
                <w:rFonts w:hint="default" w:ascii="Times New Roman" w:hAnsi="Times New Roman" w:eastAsia="宋体" w:cs="Times New Roman"/>
                <w:bCs/>
                <w:color w:val="auto"/>
                <w:sz w:val="24"/>
                <w:highlight w:val="none"/>
              </w:rPr>
              <w:t>根据《黑龙江省地方标准用水定额》（BD23/T727-2021），员工用水量为80（L/人·d），生活用水量</w:t>
            </w:r>
            <w:r>
              <w:rPr>
                <w:rFonts w:hint="default" w:ascii="Times New Roman" w:hAnsi="Times New Roman" w:eastAsia="宋体" w:cs="Times New Roman"/>
                <w:bCs/>
                <w:color w:val="auto"/>
                <w:sz w:val="24"/>
                <w:highlight w:val="none"/>
                <w:lang w:val="en-US" w:eastAsia="zh-CN"/>
              </w:rPr>
              <w:t>0.</w:t>
            </w:r>
            <w:r>
              <w:rPr>
                <w:rFonts w:hint="default" w:ascii="Times New Roman" w:hAnsi="Times New Roman" w:cs="Times New Roman"/>
                <w:bCs/>
                <w:color w:val="auto"/>
                <w:sz w:val="24"/>
                <w:highlight w:val="none"/>
                <w:lang w:val="en-US" w:eastAsia="zh-CN"/>
              </w:rPr>
              <w:t>4</w:t>
            </w:r>
            <w:r>
              <w:rPr>
                <w:rFonts w:hint="default" w:ascii="Times New Roman" w:hAnsi="Times New Roman" w:eastAsia="宋体" w:cs="Times New Roman"/>
                <w:bCs/>
                <w:color w:val="auto"/>
                <w:sz w:val="24"/>
                <w:highlight w:val="none"/>
              </w:rPr>
              <w:t>/d，</w:t>
            </w:r>
            <w:r>
              <w:rPr>
                <w:rFonts w:hint="default" w:ascii="Times New Roman" w:hAnsi="Times New Roman" w:cs="Times New Roman"/>
                <w:bCs/>
                <w:color w:val="auto"/>
                <w:sz w:val="24"/>
                <w:highlight w:val="none"/>
                <w:lang w:val="en-US" w:eastAsia="zh-CN"/>
              </w:rPr>
              <w:t>120</w:t>
            </w:r>
            <w:r>
              <w:rPr>
                <w:rFonts w:hint="default" w:ascii="Times New Roman" w:hAnsi="Times New Roman" w:eastAsia="宋体" w:cs="Times New Roman"/>
                <w:bCs/>
                <w:color w:val="auto"/>
                <w:sz w:val="24"/>
                <w:highlight w:val="none"/>
              </w:rPr>
              <w:t>t/a，产生的生活污水排入防渗旱厕，定期清掏，外运堆肥</w:t>
            </w:r>
            <w:r>
              <w:rPr>
                <w:rFonts w:hint="default" w:ascii="Times New Roman" w:hAnsi="Times New Roman" w:eastAsia="宋体" w:cs="Times New Roman"/>
                <w:color w:val="auto"/>
                <w:sz w:val="24"/>
                <w:highlight w:val="none"/>
              </w:rPr>
              <w:t>。</w:t>
            </w:r>
          </w:p>
          <w:p w14:paraId="0D3D4892">
            <w:pPr>
              <w:tabs>
                <w:tab w:val="left" w:pos="630"/>
              </w:tabs>
              <w:spacing w:line="360" w:lineRule="auto"/>
              <w:ind w:firstLine="480" w:firstLineChars="200"/>
              <w:rPr>
                <w:rFonts w:hint="default" w:ascii="Times New Roman" w:hAnsi="Times New Roman" w:cs="Times New Roman"/>
                <w:color w:val="auto"/>
                <w:lang w:val="en-US" w:eastAsia="zh-CN"/>
              </w:rPr>
            </w:pPr>
            <w:r>
              <w:rPr>
                <w:rFonts w:hint="default" w:ascii="Times New Roman" w:hAnsi="Times New Roman" w:eastAsia="宋体" w:cs="Times New Roman"/>
                <w:color w:val="auto"/>
                <w:sz w:val="24"/>
                <w:highlight w:val="none"/>
                <w:lang w:val="en-US" w:eastAsia="zh-CN"/>
              </w:rPr>
              <w:t>堆场及道路洒水</w:t>
            </w:r>
            <w:r>
              <w:rPr>
                <w:rFonts w:hint="default" w:ascii="Times New Roman" w:hAnsi="Times New Roman" w:eastAsia="宋体" w:cs="Times New Roman"/>
                <w:color w:val="auto"/>
                <w:sz w:val="24"/>
                <w:highlight w:val="none"/>
              </w:rPr>
              <w:t>：</w:t>
            </w:r>
            <w:r>
              <w:rPr>
                <w:rFonts w:hint="default" w:ascii="Times New Roman" w:hAnsi="Times New Roman" w:cs="Times New Roman"/>
                <w:color w:val="auto"/>
                <w:sz w:val="24"/>
                <w:highlight w:val="none"/>
                <w:lang w:val="en-US" w:eastAsia="zh-CN"/>
              </w:rPr>
              <w:t>储煤场总面积20700m</w:t>
            </w:r>
            <w:r>
              <w:rPr>
                <w:rFonts w:hint="default" w:ascii="Times New Roman" w:hAnsi="Times New Roman" w:cs="Times New Roman"/>
                <w:color w:val="auto"/>
                <w:sz w:val="24"/>
                <w:highlight w:val="none"/>
                <w:vertAlign w:val="superscript"/>
                <w:lang w:val="en-US" w:eastAsia="zh-CN"/>
              </w:rPr>
              <w:t>2</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szCs w:val="24"/>
              </w:rPr>
              <w:t>根据《煤炭洗选工程设计规范》（GB50359-2016）中道路浇洒用水，用水定额为2.0~3.0L/（m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·d），本项目取2.0L/（m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·d）</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堆场及道路洒水量为</w:t>
            </w:r>
            <w:r>
              <w:rPr>
                <w:rFonts w:hint="default" w:ascii="Times New Roman" w:hAnsi="Times New Roman" w:cs="Times New Roman"/>
                <w:color w:val="auto"/>
                <w:sz w:val="24"/>
                <w:highlight w:val="none"/>
                <w:lang w:val="en-US" w:eastAsia="zh-CN"/>
              </w:rPr>
              <w:t>41.4</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/d、</w:t>
            </w:r>
            <w:r>
              <w:rPr>
                <w:rFonts w:hint="default" w:ascii="Times New Roman" w:hAnsi="Times New Roman" w:cs="Times New Roman"/>
                <w:color w:val="auto"/>
                <w:sz w:val="24"/>
                <w:highlight w:val="none"/>
                <w:lang w:val="en-US" w:eastAsia="zh-CN"/>
              </w:rPr>
              <w:t>7452</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/a（全年洒水以18</w:t>
            </w:r>
            <w:r>
              <w:rPr>
                <w:rFonts w:hint="default" w:ascii="Times New Roman" w:hAnsi="Times New Roman" w:cs="Times New Roman"/>
                <w:color w:val="auto"/>
                <w:sz w:val="24"/>
                <w:highlight w:val="none"/>
                <w:lang w:val="en-US" w:eastAsia="zh-CN"/>
              </w:rPr>
              <w:t>0</w:t>
            </w:r>
            <w:r>
              <w:rPr>
                <w:rFonts w:hint="default" w:ascii="Times New Roman" w:hAnsi="Times New Roman" w:eastAsia="宋体" w:cs="Times New Roman"/>
                <w:color w:val="auto"/>
                <w:sz w:val="24"/>
                <w:highlight w:val="none"/>
                <w:lang w:val="en-US" w:eastAsia="zh-CN"/>
              </w:rPr>
              <w:t>天计）</w:t>
            </w:r>
            <w:r>
              <w:rPr>
                <w:rFonts w:hint="default" w:ascii="Times New Roman" w:hAnsi="Times New Roman" w:cs="Times New Roman"/>
                <w:color w:val="auto"/>
                <w:sz w:val="24"/>
                <w:highlight w:val="none"/>
                <w:lang w:val="en-US" w:eastAsia="zh-CN"/>
              </w:rPr>
              <w:t>，初期雨水产生量约为</w:t>
            </w:r>
            <w:r>
              <w:rPr>
                <w:rFonts w:hint="default" w:ascii="Times New Roman" w:hAnsi="Times New Roman" w:cs="Times New Roman"/>
                <w:color w:val="auto"/>
                <w:sz w:val="24"/>
                <w:szCs w:val="22"/>
                <w:highlight w:val="none"/>
                <w:lang w:val="en-US" w:eastAsia="zh-CN"/>
              </w:rPr>
              <w:t>867.85</w:t>
            </w:r>
            <w:r>
              <w:rPr>
                <w:rFonts w:hint="default" w:ascii="Times New Roman" w:hAnsi="Times New Roman" w:cs="Times New Roman"/>
                <w:color w:val="auto"/>
                <w:sz w:val="24"/>
                <w:highlight w:val="none"/>
                <w:lang w:val="en-US" w:eastAsia="zh-CN"/>
              </w:rPr>
              <w:t>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/a，全部用于洒水降尘，其余6584.15m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/a由外购水提供。</w:t>
            </w:r>
          </w:p>
          <w:p w14:paraId="0393BF39">
            <w:pPr>
              <w:tabs>
                <w:tab w:val="left" w:pos="630"/>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排水</w:t>
            </w:r>
          </w:p>
          <w:p w14:paraId="7210D99C">
            <w:pPr>
              <w:tabs>
                <w:tab w:val="left" w:pos="630"/>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生活废水：生活废水产生量按用水量的80%计，</w:t>
            </w:r>
            <w:r>
              <w:rPr>
                <w:rFonts w:hint="default" w:ascii="Times New Roman" w:hAnsi="Times New Roman" w:cs="Times New Roman"/>
                <w:color w:val="auto"/>
                <w:sz w:val="24"/>
                <w:highlight w:val="none"/>
                <w:lang w:val="en-US" w:eastAsia="zh-CN"/>
              </w:rPr>
              <w:t>生活污水产生量0.32t/d，96t/a产生的</w:t>
            </w:r>
            <w:r>
              <w:rPr>
                <w:rFonts w:hint="default" w:ascii="Times New Roman" w:hAnsi="Times New Roman" w:eastAsia="宋体" w:cs="Times New Roman"/>
                <w:color w:val="auto"/>
                <w:sz w:val="24"/>
                <w:highlight w:val="none"/>
              </w:rPr>
              <w:t>生活污水排入防渗旱厕，定期清掏，外运堆肥。</w:t>
            </w:r>
          </w:p>
          <w:p w14:paraId="2C979D29">
            <w:pPr>
              <w:tabs>
                <w:tab w:val="left" w:pos="630"/>
              </w:tabs>
              <w:spacing w:line="360" w:lineRule="auto"/>
              <w:ind w:firstLine="480" w:firstLineChars="200"/>
              <w:rPr>
                <w:rFonts w:hint="default" w:ascii="Times New Roman" w:hAnsi="Times New Roman" w:cs="Times New Roman"/>
                <w:b/>
                <w:bCs/>
                <w:color w:val="auto"/>
                <w:kern w:val="2"/>
                <w:sz w:val="24"/>
                <w:szCs w:val="24"/>
                <w:highlight w:val="yellow"/>
                <w:lang w:val="en-US" w:eastAsia="zh-CN" w:bidi="ar-SA"/>
              </w:rPr>
            </w:pPr>
            <w:r>
              <w:rPr>
                <w:rFonts w:hint="default" w:ascii="Times New Roman" w:hAnsi="Times New Roman" w:eastAsia="宋体" w:cs="Times New Roman"/>
                <w:color w:val="auto"/>
                <w:sz w:val="24"/>
                <w:highlight w:val="none"/>
              </w:rPr>
              <w:t>生产废水：</w:t>
            </w:r>
            <w:r>
              <w:rPr>
                <w:rFonts w:hint="default" w:ascii="Times New Roman" w:hAnsi="Times New Roman" w:cs="Times New Roman"/>
                <w:color w:val="auto"/>
                <w:sz w:val="24"/>
                <w:highlight w:val="none"/>
                <w:lang w:val="en-US" w:eastAsia="zh-CN"/>
              </w:rPr>
              <w:t>本项目生产用水仅有堆场及道路洒水，堆场及道路洒水全部蒸发，</w:t>
            </w:r>
            <w:r>
              <w:rPr>
                <w:rFonts w:hint="default" w:ascii="Times New Roman" w:hAnsi="Times New Roman" w:eastAsia="宋体" w:cs="Times New Roman"/>
                <w:color w:val="auto"/>
                <w:sz w:val="24"/>
                <w:highlight w:val="none"/>
              </w:rPr>
              <w:t>项目无</w:t>
            </w:r>
            <w:r>
              <w:rPr>
                <w:rFonts w:hint="default" w:ascii="Times New Roman" w:hAnsi="Times New Roman" w:cs="Times New Roman"/>
                <w:color w:val="auto"/>
                <w:sz w:val="24"/>
                <w:highlight w:val="none"/>
                <w:lang w:val="en-US" w:eastAsia="zh-CN"/>
              </w:rPr>
              <w:t>生产</w:t>
            </w:r>
            <w:r>
              <w:rPr>
                <w:rFonts w:hint="default" w:ascii="Times New Roman" w:hAnsi="Times New Roman" w:eastAsia="宋体" w:cs="Times New Roman"/>
                <w:color w:val="auto"/>
                <w:sz w:val="24"/>
                <w:highlight w:val="none"/>
              </w:rPr>
              <w:t>废水产生。</w:t>
            </w:r>
          </w:p>
          <w:p w14:paraId="02AC2052">
            <w:pPr>
              <w:pStyle w:val="30"/>
              <w:spacing w:line="360" w:lineRule="auto"/>
              <w:ind w:left="0" w:leftChars="0" w:firstLine="0" w:firstLineChars="0"/>
              <w:jc w:val="center"/>
              <w:rPr>
                <w:rFonts w:hint="default" w:ascii="Times New Roman" w:hAnsi="Times New Roman" w:cs="Times New Roman"/>
                <w:color w:val="FF0000"/>
                <w:highlight w:val="none"/>
              </w:rPr>
            </w:pPr>
            <w:r>
              <w:rPr>
                <w:rFonts w:hint="default" w:ascii="Times New Roman" w:hAnsi="Times New Roman" w:cs="Times New Roman"/>
                <w:color w:val="FF0000"/>
              </w:rPr>
              <w:drawing>
                <wp:inline distT="0" distB="0" distL="114300" distR="114300">
                  <wp:extent cx="4810125" cy="2514600"/>
                  <wp:effectExtent l="0" t="0" r="9525" b="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16"/>
                          <a:stretch>
                            <a:fillRect/>
                          </a:stretch>
                        </pic:blipFill>
                        <pic:spPr>
                          <a:xfrm>
                            <a:off x="0" y="0"/>
                            <a:ext cx="4810125" cy="2514600"/>
                          </a:xfrm>
                          <a:prstGeom prst="rect">
                            <a:avLst/>
                          </a:prstGeom>
                          <a:noFill/>
                          <a:ln>
                            <a:noFill/>
                          </a:ln>
                        </pic:spPr>
                      </pic:pic>
                    </a:graphicData>
                  </a:graphic>
                </wp:inline>
              </w:drawing>
            </w:r>
          </w:p>
          <w:p w14:paraId="30DE41A5">
            <w:pPr>
              <w:jc w:val="center"/>
              <w:rPr>
                <w:rFonts w:hint="default" w:ascii="Times New Roman" w:hAnsi="Times New Roman" w:cs="Times New Roman"/>
                <w:color w:val="auto"/>
                <w:highlight w:val="none"/>
              </w:rPr>
            </w:pPr>
            <w:r>
              <w:rPr>
                <w:rFonts w:hint="default" w:ascii="Times New Roman" w:hAnsi="Times New Roman" w:cs="Times New Roman"/>
                <w:b/>
                <w:bCs/>
                <w:color w:val="FF0000"/>
                <w:sz w:val="24"/>
                <w:szCs w:val="24"/>
                <w:highlight w:val="none"/>
                <w:lang w:val="en-US" w:eastAsia="zh-CN"/>
              </w:rPr>
              <w:t xml:space="preserve">   </w:t>
            </w:r>
            <w:r>
              <w:rPr>
                <w:rFonts w:hint="default" w:ascii="Times New Roman" w:hAnsi="Times New Roman" w:eastAsia="宋体" w:cs="Times New Roman"/>
                <w:b/>
                <w:bCs/>
                <w:color w:val="auto"/>
                <w:sz w:val="24"/>
                <w:szCs w:val="24"/>
                <w:highlight w:val="none"/>
                <w:lang w:val="en-US" w:eastAsia="zh-CN"/>
              </w:rPr>
              <w:t>图2-1水平衡图</w:t>
            </w:r>
            <w:r>
              <w:rPr>
                <w:rFonts w:hint="default" w:ascii="Times New Roman" w:hAnsi="Times New Roman"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1"/>
                <w:szCs w:val="21"/>
                <w:highlight w:val="none"/>
                <w:lang w:val="en-US" w:eastAsia="zh-CN"/>
              </w:rPr>
              <w:t>单位：m</w:t>
            </w:r>
            <w:r>
              <w:rPr>
                <w:rFonts w:hint="default" w:ascii="Times New Roman" w:hAnsi="Times New Roman" w:eastAsia="宋体" w:cs="Times New Roman"/>
                <w:b/>
                <w:bCs/>
                <w:color w:val="auto"/>
                <w:sz w:val="21"/>
                <w:szCs w:val="21"/>
                <w:highlight w:val="none"/>
                <w:vertAlign w:val="superscript"/>
                <w:lang w:val="en-US" w:eastAsia="zh-CN"/>
              </w:rPr>
              <w:t>3</w:t>
            </w:r>
            <w:r>
              <w:rPr>
                <w:rFonts w:hint="default" w:ascii="Times New Roman" w:hAnsi="Times New Roman" w:eastAsia="宋体"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a</w:t>
            </w:r>
          </w:p>
          <w:p w14:paraId="03D40B25">
            <w:pPr>
              <w:pStyle w:val="30"/>
              <w:spacing w:line="360" w:lineRule="auto"/>
              <w:ind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（3）供热</w:t>
            </w:r>
          </w:p>
          <w:p w14:paraId="24C5D57B">
            <w:pPr>
              <w:pStyle w:val="30"/>
              <w:spacing w:line="360" w:lineRule="auto"/>
              <w:ind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冬季供暖为电采暖</w:t>
            </w:r>
            <w:r>
              <w:rPr>
                <w:rFonts w:hint="default" w:ascii="Times New Roman" w:hAnsi="Times New Roman" w:cs="Times New Roman"/>
                <w:color w:val="auto"/>
                <w:highlight w:val="none"/>
              </w:rPr>
              <w:t>。</w:t>
            </w:r>
          </w:p>
          <w:p w14:paraId="6FC8DE90">
            <w:pPr>
              <w:pStyle w:val="30"/>
              <w:numPr>
                <w:ilvl w:val="0"/>
                <w:numId w:val="0"/>
              </w:num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供电</w:t>
            </w:r>
          </w:p>
          <w:p w14:paraId="001B332D">
            <w:pPr>
              <w:pStyle w:val="30"/>
              <w:numPr>
                <w:ilvl w:val="0"/>
                <w:numId w:val="0"/>
              </w:numPr>
              <w:spacing w:line="360" w:lineRule="auto"/>
              <w:ind w:firstLine="480" w:firstLineChars="20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本项目供电由当地供电局提供</w:t>
            </w:r>
            <w:r>
              <w:rPr>
                <w:rFonts w:hint="default" w:ascii="Times New Roman" w:hAnsi="Times New Roman" w:cs="Times New Roman"/>
                <w:color w:val="auto"/>
                <w:highlight w:val="none"/>
                <w:lang w:eastAsia="zh-CN"/>
              </w:rPr>
              <w:t>。</w:t>
            </w:r>
          </w:p>
          <w:p w14:paraId="661128ED">
            <w:pPr>
              <w:widowControl/>
              <w:numPr>
                <w:ilvl w:val="0"/>
                <w:numId w:val="0"/>
              </w:numPr>
              <w:spacing w:line="360" w:lineRule="auto"/>
              <w:jc w:val="left"/>
              <w:rPr>
                <w:rFonts w:hint="default" w:ascii="Times New Roman" w:hAnsi="Times New Roman" w:cs="Times New Roman"/>
                <w:b/>
                <w:color w:val="auto"/>
                <w:kern w:val="0"/>
                <w:sz w:val="24"/>
                <w:highlight w:val="none"/>
                <w:lang w:val="en-US" w:eastAsia="zh-CN" w:bidi="ar"/>
              </w:rPr>
            </w:pPr>
            <w:r>
              <w:rPr>
                <w:rFonts w:hint="default" w:ascii="Times New Roman" w:hAnsi="Times New Roman" w:cs="Times New Roman"/>
                <w:b/>
                <w:color w:val="auto"/>
                <w:kern w:val="0"/>
                <w:sz w:val="24"/>
                <w:highlight w:val="none"/>
                <w:lang w:val="en-US" w:eastAsia="zh-CN" w:bidi="ar"/>
              </w:rPr>
              <w:t>6、平面布置</w:t>
            </w:r>
          </w:p>
          <w:p w14:paraId="6C66AA8E">
            <w:pPr>
              <w:pStyle w:val="30"/>
              <w:numPr>
                <w:ilvl w:val="0"/>
                <w:numId w:val="0"/>
              </w:numPr>
              <w:spacing w:line="360" w:lineRule="auto"/>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本项目厂区呈东西走向的长方形形状，项目总占地</w:t>
            </w:r>
            <w:r>
              <w:rPr>
                <w:rFonts w:hint="default" w:ascii="Times New Roman" w:hAnsi="Times New Roman" w:cs="Times New Roman"/>
                <w:color w:val="auto"/>
                <w:highlight w:val="none"/>
                <w:lang w:val="en-US" w:eastAsia="zh-CN"/>
              </w:rPr>
              <w:t>20700</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，厂区四周建设闭合的防风抑尘网，</w:t>
            </w:r>
            <w:r>
              <w:rPr>
                <w:rFonts w:hint="default" w:ascii="Times New Roman" w:hAnsi="Times New Roman" w:cs="Times New Roman"/>
                <w:color w:val="auto"/>
                <w:highlight w:val="none"/>
                <w:lang w:val="en-US" w:eastAsia="zh-CN"/>
              </w:rPr>
              <w:t>初期雨水收集池</w:t>
            </w:r>
            <w:r>
              <w:rPr>
                <w:rFonts w:hint="default" w:ascii="Times New Roman" w:hAnsi="Times New Roman" w:eastAsia="宋体" w:cs="Times New Roman"/>
                <w:color w:val="auto"/>
                <w:highlight w:val="none"/>
                <w:lang w:val="en-US" w:eastAsia="zh-CN"/>
              </w:rPr>
              <w:t>建设</w:t>
            </w:r>
            <w:r>
              <w:rPr>
                <w:rFonts w:hint="default" w:ascii="Times New Roman" w:hAnsi="Times New Roman" w:cs="Times New Roman"/>
                <w:color w:val="auto"/>
                <w:highlight w:val="none"/>
                <w:lang w:val="en-US" w:eastAsia="zh-CN"/>
              </w:rPr>
              <w:t>于</w:t>
            </w:r>
            <w:r>
              <w:rPr>
                <w:rFonts w:hint="default" w:ascii="Times New Roman" w:hAnsi="Times New Roman" w:eastAsia="宋体" w:cs="Times New Roman"/>
                <w:color w:val="auto"/>
                <w:highlight w:val="none"/>
                <w:lang w:val="en-US" w:eastAsia="zh-CN"/>
              </w:rPr>
              <w:t>厂区</w:t>
            </w:r>
            <w:r>
              <w:rPr>
                <w:rFonts w:hint="default" w:ascii="Times New Roman" w:hAnsi="Times New Roman" w:cs="Times New Roman"/>
                <w:color w:val="auto"/>
                <w:highlight w:val="none"/>
                <w:lang w:val="en-US" w:eastAsia="zh-CN"/>
              </w:rPr>
              <w:t>南侧</w:t>
            </w:r>
            <w:r>
              <w:rPr>
                <w:rFonts w:hint="default" w:ascii="Times New Roman" w:hAnsi="Times New Roman" w:eastAsia="宋体" w:cs="Times New Roman"/>
                <w:color w:val="auto"/>
                <w:highlight w:val="none"/>
                <w:lang w:val="en-US" w:eastAsia="zh-CN"/>
              </w:rPr>
              <w:t>，项目厂区设置合理。厂区目前为闲置</w:t>
            </w:r>
            <w:r>
              <w:rPr>
                <w:rFonts w:hint="default" w:ascii="Times New Roman" w:hAnsi="Times New Roman" w:cs="Times New Roman"/>
                <w:color w:val="auto"/>
                <w:highlight w:val="none"/>
                <w:lang w:val="en-US" w:eastAsia="zh-CN"/>
              </w:rPr>
              <w:t>工业用地</w:t>
            </w:r>
            <w:r>
              <w:rPr>
                <w:rFonts w:hint="default" w:ascii="Times New Roman" w:hAnsi="Times New Roman" w:eastAsia="宋体" w:cs="Times New Roman"/>
                <w:color w:val="auto"/>
                <w:highlight w:val="none"/>
                <w:lang w:val="en-US" w:eastAsia="zh-CN"/>
              </w:rPr>
              <w:t>。</w:t>
            </w:r>
          </w:p>
          <w:p w14:paraId="4624C234">
            <w:pPr>
              <w:widowControl/>
              <w:spacing w:line="360" w:lineRule="auto"/>
              <w:jc w:val="left"/>
              <w:rPr>
                <w:rFonts w:hint="default" w:ascii="Times New Roman" w:hAnsi="Times New Roman" w:cs="Times New Roman"/>
                <w:color w:val="auto"/>
                <w:sz w:val="24"/>
                <w:highlight w:val="none"/>
              </w:rPr>
            </w:pPr>
            <w:r>
              <w:rPr>
                <w:rFonts w:hint="default" w:ascii="Times New Roman" w:hAnsi="Times New Roman" w:cs="Times New Roman"/>
                <w:b/>
                <w:color w:val="auto"/>
                <w:kern w:val="0"/>
                <w:sz w:val="24"/>
                <w:highlight w:val="none"/>
                <w:lang w:val="en-US" w:eastAsia="zh-CN" w:bidi="ar"/>
              </w:rPr>
              <w:t>7、</w:t>
            </w:r>
            <w:r>
              <w:rPr>
                <w:rFonts w:hint="default" w:ascii="Times New Roman" w:hAnsi="Times New Roman" w:cs="Times New Roman"/>
                <w:b/>
                <w:color w:val="auto"/>
                <w:kern w:val="0"/>
                <w:sz w:val="24"/>
                <w:highlight w:val="none"/>
                <w:lang w:bidi="ar"/>
              </w:rPr>
              <w:t xml:space="preserve">环保投资 </w:t>
            </w:r>
          </w:p>
          <w:p w14:paraId="72BE560B">
            <w:pPr>
              <w:widowControl/>
              <w:spacing w:line="360" w:lineRule="auto"/>
              <w:ind w:firstLine="480" w:firstLineChars="200"/>
              <w:jc w:val="left"/>
              <w:rPr>
                <w:rFonts w:hint="default" w:ascii="Times New Roman" w:hAnsi="Times New Roman" w:cs="Times New Roman"/>
                <w:color w:val="auto"/>
                <w:kern w:val="0"/>
                <w:sz w:val="24"/>
                <w:highlight w:val="none"/>
                <w:lang w:bidi="ar"/>
              </w:rPr>
            </w:pPr>
            <w:r>
              <w:rPr>
                <w:rFonts w:hint="default" w:ascii="Times New Roman" w:hAnsi="Times New Roman" w:cs="Times New Roman"/>
                <w:color w:val="auto"/>
                <w:kern w:val="0"/>
                <w:sz w:val="24"/>
                <w:highlight w:val="none"/>
                <w:lang w:bidi="ar"/>
              </w:rPr>
              <w:t>本项目环保投资具体情况见表2-</w:t>
            </w:r>
            <w:r>
              <w:rPr>
                <w:rFonts w:hint="default" w:ascii="Times New Roman" w:hAnsi="Times New Roman" w:cs="Times New Roman"/>
                <w:color w:val="auto"/>
                <w:kern w:val="0"/>
                <w:sz w:val="24"/>
                <w:highlight w:val="none"/>
                <w:lang w:val="en-US" w:eastAsia="zh-CN" w:bidi="ar"/>
              </w:rPr>
              <w:t>3</w:t>
            </w:r>
            <w:r>
              <w:rPr>
                <w:rFonts w:hint="default" w:ascii="Times New Roman" w:hAnsi="Times New Roman" w:cs="Times New Roman"/>
                <w:color w:val="auto"/>
                <w:kern w:val="0"/>
                <w:sz w:val="24"/>
                <w:highlight w:val="none"/>
                <w:lang w:bidi="ar"/>
              </w:rPr>
              <w:t>。</w:t>
            </w:r>
          </w:p>
          <w:p w14:paraId="41905F12">
            <w:pPr>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表2-</w:t>
            </w:r>
            <w:r>
              <w:rPr>
                <w:rFonts w:hint="default" w:ascii="Times New Roman" w:hAnsi="Times New Roman"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lang w:val="en-US" w:eastAsia="zh-CN"/>
              </w:rPr>
              <w:t xml:space="preserve">  环保投资一览表</w:t>
            </w:r>
          </w:p>
          <w:tbl>
            <w:tblPr>
              <w:tblStyle w:val="20"/>
              <w:tblW w:w="86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14"/>
              <w:gridCol w:w="5670"/>
              <w:gridCol w:w="1433"/>
            </w:tblGrid>
            <w:tr w14:paraId="0BB96B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Align w:val="center"/>
                </w:tcPr>
                <w:p w14:paraId="5CB383BA">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类别</w:t>
                  </w:r>
                </w:p>
              </w:tc>
              <w:tc>
                <w:tcPr>
                  <w:tcW w:w="5670" w:type="dxa"/>
                  <w:tcBorders>
                    <w:bottom w:val="single" w:color="auto" w:sz="4" w:space="0"/>
                  </w:tcBorders>
                  <w:vAlign w:val="center"/>
                </w:tcPr>
                <w:p w14:paraId="676D8B01">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防治措施</w:t>
                  </w:r>
                </w:p>
              </w:tc>
              <w:tc>
                <w:tcPr>
                  <w:tcW w:w="1433" w:type="dxa"/>
                  <w:tcBorders>
                    <w:bottom w:val="single" w:color="auto" w:sz="4" w:space="0"/>
                  </w:tcBorders>
                  <w:vAlign w:val="center"/>
                </w:tcPr>
                <w:p w14:paraId="450893EF">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投资（万元）</w:t>
                  </w:r>
                </w:p>
              </w:tc>
            </w:tr>
            <w:tr w14:paraId="7E37E5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Merge w:val="restart"/>
                  <w:vAlign w:val="center"/>
                </w:tcPr>
                <w:p w14:paraId="0502D958">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废气治理措施</w:t>
                  </w:r>
                </w:p>
              </w:tc>
              <w:tc>
                <w:tcPr>
                  <w:tcW w:w="5670" w:type="dxa"/>
                  <w:vAlign w:val="center"/>
                </w:tcPr>
                <w:p w14:paraId="6CD557B7">
                  <w:pPr>
                    <w:pStyle w:val="3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防风抑尘网</w:t>
                  </w:r>
                </w:p>
              </w:tc>
              <w:tc>
                <w:tcPr>
                  <w:tcW w:w="1433" w:type="dxa"/>
                  <w:vAlign w:val="center"/>
                </w:tcPr>
                <w:p w14:paraId="01731F38">
                  <w:pPr>
                    <w:pStyle w:val="3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30</w:t>
                  </w:r>
                </w:p>
              </w:tc>
            </w:tr>
            <w:tr w14:paraId="403699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Merge w:val="continue"/>
                  <w:vAlign w:val="center"/>
                </w:tcPr>
                <w:p w14:paraId="139C0B34">
                  <w:pPr>
                    <w:pStyle w:val="34"/>
                    <w:rPr>
                      <w:rFonts w:hint="default" w:ascii="Times New Roman" w:hAnsi="Times New Roman" w:cs="Times New Roman"/>
                      <w:color w:val="auto"/>
                      <w:szCs w:val="21"/>
                      <w:highlight w:val="none"/>
                    </w:rPr>
                  </w:pPr>
                </w:p>
              </w:tc>
              <w:tc>
                <w:tcPr>
                  <w:tcW w:w="5670" w:type="dxa"/>
                  <w:vAlign w:val="center"/>
                </w:tcPr>
                <w:p w14:paraId="35401A07">
                  <w:pPr>
                    <w:pStyle w:val="34"/>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洒水车</w:t>
                  </w:r>
                </w:p>
              </w:tc>
              <w:tc>
                <w:tcPr>
                  <w:tcW w:w="1433" w:type="dxa"/>
                  <w:vAlign w:val="center"/>
                </w:tcPr>
                <w:p w14:paraId="59038621">
                  <w:pPr>
                    <w:pStyle w:val="34"/>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3</w:t>
                  </w:r>
                </w:p>
              </w:tc>
            </w:tr>
            <w:tr w14:paraId="270EC0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Merge w:val="continue"/>
                  <w:vAlign w:val="center"/>
                </w:tcPr>
                <w:p w14:paraId="5218A1DD">
                  <w:pPr>
                    <w:pStyle w:val="34"/>
                    <w:rPr>
                      <w:rFonts w:hint="default" w:ascii="Times New Roman" w:hAnsi="Times New Roman" w:cs="Times New Roman"/>
                      <w:color w:val="auto"/>
                      <w:szCs w:val="21"/>
                      <w:highlight w:val="none"/>
                    </w:rPr>
                  </w:pPr>
                </w:p>
              </w:tc>
              <w:tc>
                <w:tcPr>
                  <w:tcW w:w="5670" w:type="dxa"/>
                  <w:vAlign w:val="center"/>
                </w:tcPr>
                <w:p w14:paraId="79B97A7F">
                  <w:pPr>
                    <w:pStyle w:val="34"/>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煤炭绿网苫盖</w:t>
                  </w:r>
                </w:p>
              </w:tc>
              <w:tc>
                <w:tcPr>
                  <w:tcW w:w="1433" w:type="dxa"/>
                  <w:vAlign w:val="center"/>
                </w:tcPr>
                <w:p w14:paraId="5372EF88">
                  <w:pPr>
                    <w:pStyle w:val="34"/>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0.5</w:t>
                  </w:r>
                </w:p>
              </w:tc>
            </w:tr>
            <w:tr w14:paraId="7EE755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Merge w:val="continue"/>
                  <w:vAlign w:val="center"/>
                </w:tcPr>
                <w:p w14:paraId="4F2B8CEE">
                  <w:pPr>
                    <w:pStyle w:val="34"/>
                    <w:rPr>
                      <w:rFonts w:hint="default" w:ascii="Times New Roman" w:hAnsi="Times New Roman" w:cs="Times New Roman"/>
                      <w:color w:val="auto"/>
                      <w:szCs w:val="21"/>
                      <w:highlight w:val="none"/>
                    </w:rPr>
                  </w:pPr>
                </w:p>
              </w:tc>
              <w:tc>
                <w:tcPr>
                  <w:tcW w:w="5670" w:type="dxa"/>
                  <w:vAlign w:val="center"/>
                </w:tcPr>
                <w:p w14:paraId="5836EDEC">
                  <w:pPr>
                    <w:pStyle w:val="34"/>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运输车辆苫盖</w:t>
                  </w:r>
                </w:p>
              </w:tc>
              <w:tc>
                <w:tcPr>
                  <w:tcW w:w="1433" w:type="dxa"/>
                  <w:vAlign w:val="center"/>
                </w:tcPr>
                <w:p w14:paraId="54A90332">
                  <w:pPr>
                    <w:pStyle w:val="34"/>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0.5</w:t>
                  </w:r>
                </w:p>
              </w:tc>
            </w:tr>
            <w:tr w14:paraId="6AB452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Merge w:val="restart"/>
                  <w:vAlign w:val="center"/>
                </w:tcPr>
                <w:p w14:paraId="7B103350">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废水治理措施</w:t>
                  </w:r>
                </w:p>
              </w:tc>
              <w:tc>
                <w:tcPr>
                  <w:tcW w:w="5670" w:type="dxa"/>
                  <w:vAlign w:val="center"/>
                </w:tcPr>
                <w:p w14:paraId="4B9CDDE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highlight w:val="none"/>
                      <w:lang w:val="en-US" w:eastAsia="zh-CN"/>
                    </w:rPr>
                    <w:t>初期雨水收集池</w:t>
                  </w:r>
                  <w:r>
                    <w:rPr>
                      <w:rFonts w:hint="default" w:ascii="Times New Roman" w:hAnsi="Times New Roman" w:cs="Times New Roman"/>
                      <w:color w:val="auto"/>
                      <w:kern w:val="0"/>
                      <w:szCs w:val="21"/>
                      <w:highlight w:val="none"/>
                      <w:lang w:val="en-US" w:eastAsia="zh-CN" w:bidi="ar"/>
                    </w:rPr>
                    <w:t>（包含防渗措施）、雨水导流沟</w:t>
                  </w:r>
                </w:p>
              </w:tc>
              <w:tc>
                <w:tcPr>
                  <w:tcW w:w="1433" w:type="dxa"/>
                  <w:vAlign w:val="center"/>
                </w:tcPr>
                <w:p w14:paraId="3B7DC031">
                  <w:pPr>
                    <w:jc w:val="center"/>
                    <w:rPr>
                      <w:rFonts w:hint="default" w:ascii="Times New Roman" w:hAnsi="Times New Roman" w:eastAsia="宋体" w:cs="Times New Roman"/>
                      <w:color w:val="auto"/>
                      <w:szCs w:val="22"/>
                      <w:highlight w:val="none"/>
                      <w:lang w:eastAsia="zh-CN"/>
                    </w:rPr>
                  </w:pPr>
                  <w:r>
                    <w:rPr>
                      <w:rFonts w:hint="default" w:ascii="Times New Roman" w:hAnsi="Times New Roman" w:cs="Times New Roman"/>
                      <w:color w:val="auto"/>
                      <w:szCs w:val="22"/>
                      <w:highlight w:val="none"/>
                      <w:lang w:val="en-US" w:eastAsia="zh-CN"/>
                    </w:rPr>
                    <w:t>4</w:t>
                  </w:r>
                </w:p>
              </w:tc>
            </w:tr>
            <w:tr w14:paraId="5CF489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Merge w:val="continue"/>
                  <w:vAlign w:val="center"/>
                </w:tcPr>
                <w:p w14:paraId="4361174A">
                  <w:pPr>
                    <w:pStyle w:val="34"/>
                    <w:rPr>
                      <w:rFonts w:hint="default" w:ascii="Times New Roman" w:hAnsi="Times New Roman" w:cs="Times New Roman"/>
                      <w:color w:val="auto"/>
                      <w:szCs w:val="21"/>
                      <w:highlight w:val="none"/>
                    </w:rPr>
                  </w:pPr>
                </w:p>
              </w:tc>
              <w:tc>
                <w:tcPr>
                  <w:tcW w:w="5670" w:type="dxa"/>
                  <w:vAlign w:val="center"/>
                </w:tcPr>
                <w:p w14:paraId="0EFF1270">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防渗旱厕</w:t>
                  </w:r>
                  <w:r>
                    <w:rPr>
                      <w:rFonts w:hint="default" w:ascii="Times New Roman" w:hAnsi="Times New Roman" w:cs="Times New Roman"/>
                      <w:color w:val="auto"/>
                      <w:kern w:val="0"/>
                      <w:szCs w:val="21"/>
                      <w:highlight w:val="none"/>
                      <w:lang w:val="en-US" w:eastAsia="zh-CN" w:bidi="ar"/>
                    </w:rPr>
                    <w:t>（包含防渗措施）</w:t>
                  </w:r>
                </w:p>
              </w:tc>
              <w:tc>
                <w:tcPr>
                  <w:tcW w:w="1433" w:type="dxa"/>
                  <w:vAlign w:val="center"/>
                </w:tcPr>
                <w:p w14:paraId="54B0E8A9">
                  <w:pPr>
                    <w:jc w:val="center"/>
                    <w:rPr>
                      <w:rFonts w:hint="default" w:ascii="Times New Roman" w:hAnsi="Times New Roman" w:cs="Times New Roman"/>
                      <w:color w:val="auto"/>
                      <w:szCs w:val="22"/>
                      <w:highlight w:val="none"/>
                      <w:lang w:val="en-US" w:eastAsia="zh-CN"/>
                    </w:rPr>
                  </w:pPr>
                  <w:r>
                    <w:rPr>
                      <w:rFonts w:hint="default" w:ascii="Times New Roman" w:hAnsi="Times New Roman" w:cs="Times New Roman"/>
                      <w:color w:val="auto"/>
                      <w:szCs w:val="22"/>
                      <w:highlight w:val="none"/>
                      <w:lang w:val="en-US" w:eastAsia="zh-CN"/>
                    </w:rPr>
                    <w:t>0.5</w:t>
                  </w:r>
                </w:p>
              </w:tc>
            </w:tr>
            <w:tr w14:paraId="72708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Align w:val="center"/>
                </w:tcPr>
                <w:p w14:paraId="39A389DE">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噪声治理措施</w:t>
                  </w:r>
                </w:p>
              </w:tc>
              <w:tc>
                <w:tcPr>
                  <w:tcW w:w="5670" w:type="dxa"/>
                  <w:vAlign w:val="center"/>
                </w:tcPr>
                <w:p w14:paraId="1809E22E">
                  <w:pPr>
                    <w:pStyle w:val="34"/>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选取低噪声设备</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定期维护</w:t>
                  </w:r>
                </w:p>
              </w:tc>
              <w:tc>
                <w:tcPr>
                  <w:tcW w:w="1433" w:type="dxa"/>
                  <w:vAlign w:val="center"/>
                </w:tcPr>
                <w:p w14:paraId="7CEF3423">
                  <w:pPr>
                    <w:pStyle w:val="3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r>
            <w:tr w14:paraId="7A861D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Merge w:val="restart"/>
                  <w:vAlign w:val="center"/>
                </w:tcPr>
                <w:p w14:paraId="0514020C">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固废治理措施</w:t>
                  </w:r>
                </w:p>
              </w:tc>
              <w:tc>
                <w:tcPr>
                  <w:tcW w:w="5670" w:type="dxa"/>
                  <w:vAlign w:val="center"/>
                </w:tcPr>
                <w:p w14:paraId="5A3F6FD4">
                  <w:pPr>
                    <w:pStyle w:val="34"/>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lang w:bidi="ar"/>
                    </w:rPr>
                    <w:t>生活垃圾</w:t>
                  </w:r>
                  <w:r>
                    <w:rPr>
                      <w:rFonts w:hint="default" w:ascii="Times New Roman" w:hAnsi="Times New Roman" w:cs="Times New Roman"/>
                      <w:color w:val="auto"/>
                      <w:kern w:val="0"/>
                      <w:szCs w:val="21"/>
                      <w:highlight w:val="none"/>
                      <w:lang w:val="en-US" w:eastAsia="zh-CN" w:bidi="ar"/>
                    </w:rPr>
                    <w:t>收集箱</w:t>
                  </w:r>
                </w:p>
              </w:tc>
              <w:tc>
                <w:tcPr>
                  <w:tcW w:w="1433" w:type="dxa"/>
                  <w:vAlign w:val="center"/>
                </w:tcPr>
                <w:p w14:paraId="2819C495">
                  <w:pPr>
                    <w:pStyle w:val="3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0.1</w:t>
                  </w:r>
                </w:p>
              </w:tc>
            </w:tr>
            <w:tr w14:paraId="24B2A6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Merge w:val="continue"/>
                  <w:vAlign w:val="center"/>
                </w:tcPr>
                <w:p w14:paraId="5472F794">
                  <w:pPr>
                    <w:pStyle w:val="34"/>
                    <w:rPr>
                      <w:rFonts w:hint="default" w:ascii="Times New Roman" w:hAnsi="Times New Roman" w:cs="Times New Roman"/>
                      <w:color w:val="auto"/>
                      <w:szCs w:val="21"/>
                      <w:highlight w:val="none"/>
                    </w:rPr>
                  </w:pPr>
                </w:p>
              </w:tc>
              <w:tc>
                <w:tcPr>
                  <w:tcW w:w="5670" w:type="dxa"/>
                  <w:vAlign w:val="center"/>
                </w:tcPr>
                <w:p w14:paraId="6C07B83E">
                  <w:pPr>
                    <w:pStyle w:val="34"/>
                    <w:jc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cs="Times New Roman"/>
                      <w:color w:val="auto"/>
                      <w:kern w:val="0"/>
                      <w:szCs w:val="21"/>
                      <w:highlight w:val="none"/>
                      <w:lang w:val="en-US" w:eastAsia="zh-CN" w:bidi="ar"/>
                    </w:rPr>
                    <w:t>危险废物贮存点（包含防渗措施）</w:t>
                  </w:r>
                </w:p>
              </w:tc>
              <w:tc>
                <w:tcPr>
                  <w:tcW w:w="1433" w:type="dxa"/>
                  <w:vAlign w:val="center"/>
                </w:tcPr>
                <w:p w14:paraId="45BC4710">
                  <w:pPr>
                    <w:pStyle w:val="34"/>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0.2</w:t>
                  </w:r>
                </w:p>
              </w:tc>
            </w:tr>
            <w:tr w14:paraId="44232A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Align w:val="center"/>
                </w:tcPr>
                <w:p w14:paraId="766BD093">
                  <w:pPr>
                    <w:pStyle w:val="3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土壤治理措施</w:t>
                  </w:r>
                </w:p>
              </w:tc>
              <w:tc>
                <w:tcPr>
                  <w:tcW w:w="5670" w:type="dxa"/>
                  <w:vAlign w:val="center"/>
                </w:tcPr>
                <w:p w14:paraId="02D566BA">
                  <w:pPr>
                    <w:pStyle w:val="34"/>
                    <w:jc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cs="Times New Roman"/>
                      <w:color w:val="auto"/>
                      <w:kern w:val="0"/>
                      <w:szCs w:val="21"/>
                      <w:highlight w:val="none"/>
                      <w:lang w:val="en-US" w:eastAsia="zh-CN" w:bidi="ar"/>
                    </w:rPr>
                    <w:t>厂区地面硬化</w:t>
                  </w:r>
                </w:p>
              </w:tc>
              <w:tc>
                <w:tcPr>
                  <w:tcW w:w="1433" w:type="dxa"/>
                  <w:vAlign w:val="center"/>
                </w:tcPr>
                <w:p w14:paraId="53A23544">
                  <w:pPr>
                    <w:pStyle w:val="3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10</w:t>
                  </w:r>
                </w:p>
              </w:tc>
            </w:tr>
            <w:tr w14:paraId="5239B7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Align w:val="center"/>
                </w:tcPr>
                <w:p w14:paraId="7820C915">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环保设施</w:t>
                  </w:r>
                </w:p>
                <w:p w14:paraId="51A7BB14">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运行费用</w:t>
                  </w:r>
                </w:p>
              </w:tc>
              <w:tc>
                <w:tcPr>
                  <w:tcW w:w="5670" w:type="dxa"/>
                  <w:vAlign w:val="center"/>
                </w:tcPr>
                <w:p w14:paraId="4B963F5A">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环保设施的运行、维护、维修费用</w:t>
                  </w:r>
                </w:p>
              </w:tc>
              <w:tc>
                <w:tcPr>
                  <w:tcW w:w="1433" w:type="dxa"/>
                  <w:vAlign w:val="center"/>
                </w:tcPr>
                <w:p w14:paraId="5CCCFB2F">
                  <w:pPr>
                    <w:pStyle w:val="34"/>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2</w:t>
                  </w:r>
                </w:p>
              </w:tc>
            </w:tr>
            <w:tr w14:paraId="42BDC3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Align w:val="center"/>
                </w:tcPr>
                <w:p w14:paraId="60600F2C">
                  <w:pPr>
                    <w:pStyle w:val="3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日常</w:t>
                  </w:r>
                </w:p>
              </w:tc>
              <w:tc>
                <w:tcPr>
                  <w:tcW w:w="5670" w:type="dxa"/>
                  <w:vAlign w:val="center"/>
                </w:tcPr>
                <w:p w14:paraId="33EA67FE">
                  <w:pPr>
                    <w:pStyle w:val="3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例行监测</w:t>
                  </w:r>
                </w:p>
              </w:tc>
              <w:tc>
                <w:tcPr>
                  <w:tcW w:w="1433" w:type="dxa"/>
                  <w:vAlign w:val="center"/>
                </w:tcPr>
                <w:p w14:paraId="7CED3DE1">
                  <w:pPr>
                    <w:pStyle w:val="34"/>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w:t>
                  </w:r>
                </w:p>
              </w:tc>
            </w:tr>
            <w:tr w14:paraId="1A8516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84" w:type="dxa"/>
                  <w:gridSpan w:val="2"/>
                  <w:vAlign w:val="center"/>
                </w:tcPr>
                <w:p w14:paraId="4F63A8C9">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环保投资（万元）</w:t>
                  </w:r>
                </w:p>
              </w:tc>
              <w:tc>
                <w:tcPr>
                  <w:tcW w:w="1433" w:type="dxa"/>
                  <w:vAlign w:val="center"/>
                </w:tcPr>
                <w:p w14:paraId="50FEF6DB">
                  <w:pPr>
                    <w:pStyle w:val="34"/>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fldChar w:fldCharType="begin"/>
                  </w:r>
                  <w:r>
                    <w:rPr>
                      <w:rFonts w:hint="default" w:ascii="Times New Roman" w:hAnsi="Times New Roman" w:eastAsia="宋体" w:cs="Times New Roman"/>
                      <w:color w:val="auto"/>
                      <w:szCs w:val="21"/>
                      <w:highlight w:val="none"/>
                      <w:lang w:val="en-US" w:eastAsia="zh-CN"/>
                    </w:rPr>
                    <w:instrText xml:space="preserve"> = sum(C2:C13) \* MERGEFORMAT </w:instrText>
                  </w:r>
                  <w:r>
                    <w:rPr>
                      <w:rFonts w:hint="default" w:ascii="Times New Roman" w:hAnsi="Times New Roman" w:eastAsia="宋体" w:cs="Times New Roman"/>
                      <w:color w:val="auto"/>
                      <w:szCs w:val="21"/>
                      <w:highlight w:val="none"/>
                      <w:lang w:val="en-US" w:eastAsia="zh-CN"/>
                    </w:rPr>
                    <w:fldChar w:fldCharType="separate"/>
                  </w:r>
                  <w:r>
                    <w:rPr>
                      <w:rFonts w:hint="default" w:ascii="Times New Roman" w:hAnsi="Times New Roman" w:eastAsia="宋体" w:cs="Times New Roman"/>
                      <w:color w:val="auto"/>
                      <w:szCs w:val="21"/>
                      <w:highlight w:val="none"/>
                      <w:lang w:val="en-US" w:eastAsia="zh-CN"/>
                    </w:rPr>
                    <w:t>53.8</w:t>
                  </w:r>
                  <w:r>
                    <w:rPr>
                      <w:rFonts w:hint="default" w:ascii="Times New Roman" w:hAnsi="Times New Roman" w:eastAsia="宋体" w:cs="Times New Roman"/>
                      <w:color w:val="auto"/>
                      <w:szCs w:val="21"/>
                      <w:highlight w:val="none"/>
                      <w:lang w:val="en-US" w:eastAsia="zh-CN"/>
                    </w:rPr>
                    <w:fldChar w:fldCharType="end"/>
                  </w:r>
                </w:p>
              </w:tc>
            </w:tr>
            <w:tr w14:paraId="09D31D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84" w:type="dxa"/>
                  <w:gridSpan w:val="2"/>
                  <w:vAlign w:val="center"/>
                </w:tcPr>
                <w:p w14:paraId="13AE9676">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总</w:t>
                  </w:r>
                  <w:r>
                    <w:rPr>
                      <w:rFonts w:hint="default" w:ascii="Times New Roman" w:hAnsi="Times New Roman" w:cs="Times New Roman"/>
                      <w:color w:val="auto"/>
                      <w:szCs w:val="21"/>
                      <w:highlight w:val="none"/>
                    </w:rPr>
                    <w:t>投资（万元）</w:t>
                  </w:r>
                </w:p>
              </w:tc>
              <w:tc>
                <w:tcPr>
                  <w:tcW w:w="1433" w:type="dxa"/>
                  <w:vAlign w:val="center"/>
                </w:tcPr>
                <w:p w14:paraId="1C3907D0">
                  <w:pPr>
                    <w:pStyle w:val="3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200</w:t>
                  </w:r>
                </w:p>
              </w:tc>
            </w:tr>
            <w:tr w14:paraId="668A84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84" w:type="dxa"/>
                  <w:gridSpan w:val="2"/>
                  <w:vAlign w:val="center"/>
                </w:tcPr>
                <w:p w14:paraId="1D5E9E84">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占总投资比例（%）</w:t>
                  </w:r>
                </w:p>
              </w:tc>
              <w:tc>
                <w:tcPr>
                  <w:tcW w:w="1433" w:type="dxa"/>
                  <w:vAlign w:val="center"/>
                </w:tcPr>
                <w:p w14:paraId="01E3F7FD">
                  <w:pPr>
                    <w:pStyle w:val="3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26.9</w:t>
                  </w:r>
                </w:p>
              </w:tc>
            </w:tr>
          </w:tbl>
          <w:p w14:paraId="3A3A5CF2">
            <w:pPr>
              <w:pStyle w:val="30"/>
              <w:spacing w:line="360" w:lineRule="auto"/>
              <w:ind w:firstLine="0"/>
              <w:rPr>
                <w:rFonts w:hint="default" w:ascii="Times New Roman" w:hAnsi="Times New Roman" w:cs="Times New Roman"/>
                <w:color w:val="auto"/>
                <w:highlight w:val="none"/>
              </w:rPr>
            </w:pPr>
          </w:p>
        </w:tc>
      </w:tr>
      <w:tr w14:paraId="380DC6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6233" w:hRule="atLeast"/>
          <w:jc w:val="center"/>
        </w:trPr>
        <w:tc>
          <w:tcPr>
            <w:tcW w:w="731" w:type="dxa"/>
            <w:vAlign w:val="center"/>
          </w:tcPr>
          <w:p w14:paraId="7B3C06D5">
            <w:pPr>
              <w:pStyle w:val="18"/>
              <w:adjustRightInd w:val="0"/>
              <w:snapToGrid w:val="0"/>
              <w:spacing w:before="0" w:beforeAutospacing="0" w:after="0" w:afterAutospacing="0"/>
              <w:jc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工艺流程和产排污环节</w:t>
            </w:r>
          </w:p>
        </w:tc>
        <w:tc>
          <w:tcPr>
            <w:tcW w:w="8705" w:type="dxa"/>
          </w:tcPr>
          <w:p w14:paraId="5B19E8BD">
            <w:pPr>
              <w:pStyle w:val="8"/>
              <w:spacing w:after="0" w:line="360" w:lineRule="auto"/>
              <w:ind w:left="0" w:leftChars="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工艺流程简述：</w:t>
            </w:r>
          </w:p>
          <w:p w14:paraId="51F781F2">
            <w:pPr>
              <w:pStyle w:val="30"/>
              <w:spacing w:line="360" w:lineRule="auto"/>
              <w:ind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、施工期</w:t>
            </w:r>
          </w:p>
          <w:p w14:paraId="4443D9DE">
            <w:pPr>
              <w:adjustRightInd w:val="0"/>
              <w:snapToGrid w:val="0"/>
              <w:spacing w:line="360" w:lineRule="auto"/>
              <w:ind w:firstLine="48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bCs/>
                <w:color w:val="auto"/>
                <w:sz w:val="24"/>
                <w:highlight w:val="none"/>
                <w:lang w:val="en-US" w:eastAsia="zh-CN"/>
              </w:rPr>
              <w:t>本次主要建设内容为场地平整、地面硬化，建设煤炭储存配套相应环保设施。</w:t>
            </w:r>
            <w:r>
              <w:rPr>
                <w:rFonts w:hint="default" w:ascii="Times New Roman" w:hAnsi="Times New Roman" w:eastAsia="宋体" w:cs="Times New Roman"/>
                <w:bCs/>
                <w:color w:val="auto"/>
                <w:sz w:val="24"/>
                <w:highlight w:val="none"/>
              </w:rPr>
              <w:t>主要影</w:t>
            </w:r>
            <w:r>
              <w:rPr>
                <w:rFonts w:hint="default" w:ascii="Times New Roman" w:hAnsi="Times New Roman" w:cs="Times New Roman"/>
                <w:bCs/>
                <w:color w:val="auto"/>
                <w:sz w:val="24"/>
                <w:highlight w:val="none"/>
              </w:rPr>
              <w:t>响范围为项目场区区域，施工过程将产生施工扬尘、施工废水、施工噪声、施工固废及生活垃圾等污染物，主要环境影响因子包括环境空气、水环境、声环境、生态环境等</w:t>
            </w:r>
            <w:r>
              <w:rPr>
                <w:rFonts w:hint="default" w:ascii="Times New Roman" w:hAnsi="Times New Roman" w:cs="Times New Roman"/>
                <w:bCs/>
                <w:color w:val="auto"/>
                <w:sz w:val="24"/>
                <w:highlight w:val="none"/>
                <w:lang w:eastAsia="zh-CN"/>
              </w:rPr>
              <w:t>。</w:t>
            </w:r>
          </w:p>
          <w:p w14:paraId="2AE18220">
            <w:pPr>
              <w:pStyle w:val="30"/>
              <w:spacing w:line="360" w:lineRule="auto"/>
              <w:ind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、营运期</w:t>
            </w:r>
          </w:p>
          <w:p w14:paraId="513A92E2">
            <w:pPr>
              <w:pStyle w:val="30"/>
              <w:spacing w:line="360" w:lineRule="auto"/>
              <w:ind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本项目属于煤炭经营销售，只是利用固定场所贮存和销售。主要工艺流程为汽车运至煤炭场内贮存，根据客户要求，将煤炭装汽车运出即可。</w:t>
            </w:r>
            <w:r>
              <w:rPr>
                <w:rFonts w:hint="default" w:ascii="Times New Roman" w:hAnsi="Times New Roman" w:eastAsia="宋体" w:cs="Times New Roman"/>
                <w:color w:val="auto"/>
                <w:highlight w:val="none"/>
              </w:rPr>
              <w:t>项目主要生产工艺流程及产污环节见下图2-</w:t>
            </w:r>
            <w:r>
              <w:rPr>
                <w:rFonts w:hint="default" w:ascii="Times New Roman" w:hAnsi="Times New Roman" w:cs="Times New Roman"/>
                <w:color w:val="auto"/>
                <w:highlight w:val="none"/>
                <w:lang w:val="en-US" w:eastAsia="zh-CN"/>
              </w:rPr>
              <w:t>2</w:t>
            </w:r>
            <w:r>
              <w:rPr>
                <w:rFonts w:hint="default" w:ascii="Times New Roman" w:hAnsi="Times New Roman" w:eastAsia="宋体" w:cs="Times New Roman"/>
                <w:color w:val="auto"/>
                <w:highlight w:val="none"/>
                <w:lang w:val="en-US" w:eastAsia="zh-CN"/>
              </w:rPr>
              <w:t>。</w:t>
            </w:r>
          </w:p>
          <w:p w14:paraId="0F8F6D4B">
            <w:pPr>
              <w:pStyle w:val="30"/>
              <w:spacing w:line="360" w:lineRule="auto"/>
              <w:ind w:left="0" w:leftChars="0" w:firstLine="0" w:firstLineChars="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drawing>
                <wp:inline distT="0" distB="0" distL="114300" distR="114300">
                  <wp:extent cx="4565650" cy="3198495"/>
                  <wp:effectExtent l="0" t="0" r="6350" b="1905"/>
                  <wp:docPr id="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
                          <pic:cNvPicPr>
                            <a:picLocks noChangeAspect="1"/>
                          </pic:cNvPicPr>
                        </pic:nvPicPr>
                        <pic:blipFill>
                          <a:blip r:embed="rId17"/>
                          <a:srcRect l="14317" t="9183" r="10324" b="7615"/>
                          <a:stretch>
                            <a:fillRect/>
                          </a:stretch>
                        </pic:blipFill>
                        <pic:spPr>
                          <a:xfrm>
                            <a:off x="0" y="0"/>
                            <a:ext cx="4565650" cy="3198495"/>
                          </a:xfrm>
                          <a:prstGeom prst="rect">
                            <a:avLst/>
                          </a:prstGeom>
                          <a:noFill/>
                          <a:ln>
                            <a:noFill/>
                          </a:ln>
                        </pic:spPr>
                      </pic:pic>
                    </a:graphicData>
                  </a:graphic>
                </wp:inline>
              </w:drawing>
            </w:r>
          </w:p>
          <w:p w14:paraId="3C2DCEAE">
            <w:pPr>
              <w:jc w:val="center"/>
              <w:rPr>
                <w:rFonts w:hint="default" w:ascii="Times New Roman" w:hAnsi="Times New Roman" w:cs="Times New Roman"/>
                <w:color w:val="auto"/>
                <w:highlight w:val="none"/>
              </w:rPr>
            </w:pPr>
            <w:r>
              <w:rPr>
                <w:rFonts w:hint="default" w:ascii="Times New Roman" w:hAnsi="Times New Roman" w:eastAsia="宋体" w:cs="Times New Roman"/>
                <w:b/>
                <w:bCs/>
                <w:color w:val="auto"/>
                <w:sz w:val="24"/>
                <w:szCs w:val="24"/>
                <w:highlight w:val="none"/>
                <w:lang w:val="en-US" w:eastAsia="zh-CN"/>
              </w:rPr>
              <w:t>图2-</w:t>
            </w:r>
            <w:r>
              <w:rPr>
                <w:rFonts w:hint="default" w:ascii="Times New Roman" w:hAnsi="Times New Roman"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lang w:val="en-US" w:eastAsia="zh-CN"/>
              </w:rPr>
              <w:t xml:space="preserve">  工艺流程及产污节点图</w:t>
            </w:r>
          </w:p>
        </w:tc>
      </w:tr>
      <w:tr w14:paraId="22B28A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2052" w:hRule="atLeast"/>
          <w:jc w:val="center"/>
        </w:trPr>
        <w:tc>
          <w:tcPr>
            <w:tcW w:w="731" w:type="dxa"/>
            <w:vAlign w:val="center"/>
          </w:tcPr>
          <w:p w14:paraId="0465BE1D">
            <w:pPr>
              <w:pStyle w:val="18"/>
              <w:adjustRightInd w:val="0"/>
              <w:snapToGrid w:val="0"/>
              <w:spacing w:before="0" w:beforeAutospacing="0" w:after="0" w:afterAutospacing="0"/>
              <w:jc w:val="center"/>
              <w:rPr>
                <w:rFonts w:hint="default" w:ascii="Times New Roman" w:hAnsi="Times New Roman" w:cs="Times New Roman"/>
                <w:color w:val="auto"/>
                <w:szCs w:val="24"/>
                <w:highlight w:val="none"/>
              </w:rPr>
            </w:pPr>
            <w:r>
              <w:rPr>
                <w:rFonts w:hint="default" w:ascii="Times New Roman" w:hAnsi="Times New Roman" w:cs="Times New Roman"/>
                <w:bCs/>
                <w:color w:val="auto"/>
                <w:kern w:val="2"/>
                <w:szCs w:val="24"/>
                <w:highlight w:val="none"/>
              </w:rPr>
              <w:t>与项目有关的原有环境污染问题</w:t>
            </w:r>
          </w:p>
        </w:tc>
        <w:tc>
          <w:tcPr>
            <w:tcW w:w="8705" w:type="dxa"/>
            <w:vAlign w:val="center"/>
          </w:tcPr>
          <w:p w14:paraId="2CA00A4C">
            <w:pPr>
              <w:keepNext w:val="0"/>
              <w:keepLines w:val="0"/>
              <w:pageBreakBefore w:val="0"/>
              <w:widowControl w:val="0"/>
              <w:kinsoku/>
              <w:wordWrap/>
              <w:overflowPunct w:val="0"/>
              <w:topLinePunct w:val="0"/>
              <w:autoSpaceDE/>
              <w:autoSpaceDN/>
              <w:bidi w:val="0"/>
              <w:adjustRightInd/>
              <w:snapToGrid/>
              <w:spacing w:line="240" w:lineRule="auto"/>
              <w:ind w:firstLine="480" w:firstLineChars="20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w:t>本项目为新建项目，</w:t>
            </w:r>
            <w:r>
              <w:rPr>
                <w:rFonts w:hint="default" w:ascii="Times New Roman" w:hAnsi="Times New Roman" w:cs="Times New Roman"/>
                <w:color w:val="auto"/>
                <w:sz w:val="24"/>
                <w:highlight w:val="none"/>
                <w:lang w:val="en-US" w:eastAsia="zh-CN"/>
              </w:rPr>
              <w:t>项目无原有环境问题</w:t>
            </w:r>
            <w:r>
              <w:rPr>
                <w:rFonts w:hint="default" w:ascii="Times New Roman" w:hAnsi="Times New Roman" w:cs="Times New Roman"/>
                <w:color w:val="auto"/>
                <w:sz w:val="24"/>
                <w:highlight w:val="none"/>
                <w:lang w:eastAsia="zh-CN"/>
              </w:rPr>
              <w:t>。</w:t>
            </w:r>
          </w:p>
        </w:tc>
      </w:tr>
    </w:tbl>
    <w:p w14:paraId="0715B5FE">
      <w:pPr>
        <w:pStyle w:val="18"/>
        <w:jc w:val="center"/>
        <w:rPr>
          <w:rFonts w:hint="default" w:ascii="Times New Roman" w:hAnsi="Times New Roman" w:eastAsia="黑体" w:cs="Times New Roman"/>
          <w:snapToGrid w:val="0"/>
          <w:color w:val="auto"/>
          <w:sz w:val="36"/>
          <w:szCs w:val="36"/>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5253B6B1">
      <w:pPr>
        <w:pStyle w:val="18"/>
        <w:jc w:val="center"/>
        <w:outlineLvl w:val="0"/>
        <w:rPr>
          <w:rFonts w:hint="eastAsia" w:ascii="宋体" w:hAnsi="宋体" w:eastAsia="宋体" w:cs="宋体"/>
          <w:snapToGrid w:val="0"/>
          <w:color w:val="auto"/>
          <w:sz w:val="30"/>
          <w:szCs w:val="30"/>
          <w:highlight w:val="none"/>
        </w:rPr>
      </w:pPr>
      <w:bookmarkStart w:id="23" w:name="_Toc4206"/>
      <w:bookmarkStart w:id="24" w:name="_Toc5692"/>
      <w:bookmarkStart w:id="25" w:name="_Toc21528"/>
      <w:bookmarkStart w:id="26" w:name="_Toc27596"/>
      <w:r>
        <w:rPr>
          <w:rFonts w:hint="eastAsia" w:ascii="宋体" w:hAnsi="宋体" w:eastAsia="宋体" w:cs="宋体"/>
          <w:snapToGrid w:val="0"/>
          <w:color w:val="auto"/>
          <w:sz w:val="30"/>
          <w:szCs w:val="30"/>
          <w:highlight w:val="none"/>
        </w:rPr>
        <w:t>三、区域环境质量现状、环境保护目标及评价标准</w:t>
      </w:r>
      <w:bookmarkEnd w:id="23"/>
      <w:bookmarkEnd w:id="24"/>
      <w:bookmarkEnd w:id="25"/>
      <w:bookmarkEnd w:id="26"/>
    </w:p>
    <w:tbl>
      <w:tblPr>
        <w:tblStyle w:val="20"/>
        <w:tblW w:w="962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9336"/>
      </w:tblGrid>
      <w:tr w14:paraId="10CA0F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2" w:type="dxa"/>
            <w:vAlign w:val="center"/>
          </w:tcPr>
          <w:p w14:paraId="5FEC0BD1">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区域</w:t>
            </w:r>
          </w:p>
          <w:p w14:paraId="08BFFF1F">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环境</w:t>
            </w:r>
          </w:p>
          <w:p w14:paraId="54A55B02">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质量</w:t>
            </w:r>
          </w:p>
          <w:p w14:paraId="21930806">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现状</w:t>
            </w:r>
          </w:p>
        </w:tc>
        <w:tc>
          <w:tcPr>
            <w:tcW w:w="8904" w:type="dxa"/>
          </w:tcPr>
          <w:p w14:paraId="3B0DF9B4">
            <w:pPr>
              <w:spacing w:line="360" w:lineRule="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1、大气环境</w:t>
            </w:r>
          </w:p>
          <w:p w14:paraId="6927329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21"/>
                <w:sz w:val="24"/>
                <w:szCs w:val="24"/>
              </w:rPr>
            </w:pPr>
            <w:r>
              <w:rPr>
                <w:rFonts w:hint="default" w:ascii="Times New Roman" w:hAnsi="Times New Roman" w:cs="Times New Roman"/>
                <w:color w:val="auto"/>
                <w:sz w:val="24"/>
                <w:szCs w:val="24"/>
                <w:highlight w:val="none"/>
              </w:rPr>
              <w:t>根据《202</w:t>
            </w: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年黑龙江省生态环境</w:t>
            </w:r>
            <w:r>
              <w:rPr>
                <w:rFonts w:hint="default" w:ascii="Times New Roman" w:hAnsi="Times New Roman" w:cs="Times New Roman"/>
                <w:color w:val="auto"/>
                <w:sz w:val="24"/>
                <w:szCs w:val="24"/>
                <w:highlight w:val="none"/>
                <w:lang w:val="en-US" w:eastAsia="zh-CN"/>
              </w:rPr>
              <w:t>质量</w:t>
            </w:r>
            <w:r>
              <w:rPr>
                <w:rFonts w:hint="default" w:ascii="Times New Roman" w:hAnsi="Times New Roman" w:cs="Times New Roman"/>
                <w:color w:val="auto"/>
                <w:sz w:val="24"/>
                <w:szCs w:val="24"/>
                <w:highlight w:val="none"/>
              </w:rPr>
              <w:t>状况》（202</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年</w:t>
            </w: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月），</w:t>
            </w:r>
            <w:r>
              <w:rPr>
                <w:rFonts w:hint="default" w:ascii="Times New Roman" w:hAnsi="Times New Roman" w:cs="Times New Roman"/>
                <w:color w:val="auto"/>
                <w:sz w:val="24"/>
                <w:szCs w:val="24"/>
                <w:highlight w:val="none"/>
                <w:lang w:val="en-US" w:eastAsia="zh-CN"/>
              </w:rPr>
              <w:t>鸡西市空气质量级别达二级标准，PM2.5、PM10、SO2、NO2、CO-95per、O3-8h-90per年均浓度分别为27</w:t>
            </w:r>
            <w:r>
              <w:rPr>
                <w:rFonts w:hint="default" w:ascii="Times New Roman" w:hAnsi="Times New Roman" w:eastAsia="宋体" w:cs="Times New Roman"/>
                <w:color w:val="auto"/>
                <w:sz w:val="24"/>
                <w:szCs w:val="24"/>
                <w:highlight w:val="none"/>
                <w:lang w:val="en-US" w:eastAsia="zh-CN"/>
              </w:rPr>
              <w:t>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vertAlign w:val="baseline"/>
                <w:lang w:val="en-US" w:eastAsia="zh-CN"/>
              </w:rPr>
              <w:t>、</w:t>
            </w:r>
            <w:r>
              <w:rPr>
                <w:rFonts w:hint="default" w:ascii="Times New Roman" w:hAnsi="Times New Roman" w:cs="Times New Roman"/>
                <w:color w:val="auto"/>
                <w:sz w:val="24"/>
                <w:szCs w:val="24"/>
                <w:highlight w:val="none"/>
                <w:lang w:val="en-US" w:eastAsia="zh-CN"/>
              </w:rPr>
              <w:t>46</w:t>
            </w:r>
            <w:r>
              <w:rPr>
                <w:rFonts w:hint="default" w:ascii="Times New Roman" w:hAnsi="Times New Roman" w:eastAsia="宋体" w:cs="Times New Roman"/>
                <w:color w:val="auto"/>
                <w:sz w:val="24"/>
                <w:szCs w:val="24"/>
                <w:highlight w:val="none"/>
                <w:lang w:val="en-US" w:eastAsia="zh-CN"/>
              </w:rPr>
              <w:t>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vertAlign w:val="baseline"/>
                <w:lang w:val="en-US" w:eastAsia="zh-CN"/>
              </w:rPr>
              <w:t>、8</w:t>
            </w:r>
            <w:r>
              <w:rPr>
                <w:rFonts w:hint="default" w:ascii="Times New Roman" w:hAnsi="Times New Roman" w:eastAsia="宋体" w:cs="Times New Roman"/>
                <w:color w:val="auto"/>
                <w:sz w:val="24"/>
                <w:szCs w:val="24"/>
                <w:highlight w:val="none"/>
                <w:lang w:val="en-US" w:eastAsia="zh-CN"/>
              </w:rPr>
              <w:t>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vertAlign w:val="baseline"/>
                <w:lang w:val="en-US" w:eastAsia="zh-CN"/>
              </w:rPr>
              <w:t>、1</w:t>
            </w:r>
            <w:r>
              <w:rPr>
                <w:rFonts w:hint="default" w:ascii="Times New Roman" w:hAnsi="Times New Roman"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lang w:val="en-US" w:eastAsia="zh-CN"/>
              </w:rPr>
              <w:t>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vertAlign w:val="baseline"/>
                <w:lang w:val="en-US" w:eastAsia="zh-CN"/>
              </w:rPr>
              <w:t>、1.0</w:t>
            </w:r>
            <w:r>
              <w:rPr>
                <w:rFonts w:hint="default" w:ascii="Times New Roman" w:hAnsi="Times New Roman" w:eastAsia="宋体" w:cs="Times New Roman"/>
                <w:color w:val="auto"/>
                <w:sz w:val="24"/>
                <w:szCs w:val="24"/>
                <w:highlight w:val="none"/>
                <w:lang w:val="en-US" w:eastAsia="zh-CN"/>
              </w:rPr>
              <w:t>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vertAlign w:val="baseline"/>
                <w:lang w:val="en-US" w:eastAsia="zh-CN"/>
              </w:rPr>
              <w:t>、和90</w:t>
            </w:r>
            <w:r>
              <w:rPr>
                <w:rFonts w:hint="default" w:ascii="Times New Roman" w:hAnsi="Times New Roman" w:eastAsia="宋体" w:cs="Times New Roman"/>
                <w:color w:val="auto"/>
                <w:sz w:val="24"/>
                <w:szCs w:val="24"/>
                <w:highlight w:val="none"/>
                <w:lang w:val="en-US" w:eastAsia="zh-CN"/>
              </w:rPr>
              <w:t>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kern w:val="21"/>
                <w:sz w:val="24"/>
                <w:szCs w:val="24"/>
                <w:highlight w:val="none"/>
                <w:lang w:eastAsia="zh-CN"/>
              </w:rPr>
              <w:t>，</w:t>
            </w:r>
            <w:r>
              <w:rPr>
                <w:rFonts w:hint="default" w:ascii="Times New Roman" w:hAnsi="Times New Roman" w:eastAsia="宋体" w:cs="Times New Roman"/>
                <w:color w:val="auto"/>
                <w:kern w:val="21"/>
                <w:sz w:val="24"/>
                <w:szCs w:val="24"/>
                <w:highlight w:val="none"/>
              </w:rPr>
              <w:t>项目所在区域为达标区。</w:t>
            </w:r>
          </w:p>
          <w:p w14:paraId="28D94A57">
            <w:pPr>
              <w:pStyle w:val="16"/>
              <w:rPr>
                <w:rFonts w:hint="default" w:ascii="Times New Roman" w:hAnsi="Times New Roman" w:eastAsia="宋体" w:cs="Times New Roman"/>
                <w:b/>
                <w:bCs/>
                <w:color w:val="auto"/>
                <w:szCs w:val="24"/>
              </w:rPr>
            </w:pPr>
            <w:r>
              <w:rPr>
                <w:rFonts w:hint="default" w:ascii="Times New Roman" w:hAnsi="Times New Roman" w:cs="Times New Roman"/>
              </w:rPr>
              <w:drawing>
                <wp:inline distT="0" distB="0" distL="114300" distR="114300">
                  <wp:extent cx="5647690" cy="4730115"/>
                  <wp:effectExtent l="0" t="0" r="10160" b="13335"/>
                  <wp:docPr id="6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
                          <pic:cNvPicPr>
                            <a:picLocks noChangeAspect="1"/>
                          </pic:cNvPicPr>
                        </pic:nvPicPr>
                        <pic:blipFill>
                          <a:blip r:embed="rId18"/>
                          <a:stretch>
                            <a:fillRect/>
                          </a:stretch>
                        </pic:blipFill>
                        <pic:spPr>
                          <a:xfrm>
                            <a:off x="0" y="0"/>
                            <a:ext cx="5647690" cy="4730115"/>
                          </a:xfrm>
                          <a:prstGeom prst="rect">
                            <a:avLst/>
                          </a:prstGeom>
                          <a:noFill/>
                          <a:ln>
                            <a:noFill/>
                          </a:ln>
                        </pic:spPr>
                      </pic:pic>
                    </a:graphicData>
                  </a:graphic>
                </wp:inline>
              </w:drawing>
            </w:r>
          </w:p>
          <w:p w14:paraId="15A2B3A1">
            <w:pPr>
              <w:pStyle w:val="45"/>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b/>
                <w:bCs/>
                <w:color w:val="auto"/>
                <w:szCs w:val="24"/>
              </w:rPr>
              <w:t>图3-1  202</w:t>
            </w:r>
            <w:r>
              <w:rPr>
                <w:rFonts w:hint="default" w:ascii="Times New Roman" w:hAnsi="Times New Roman" w:eastAsia="宋体" w:cs="Times New Roman"/>
                <w:b/>
                <w:bCs/>
                <w:color w:val="auto"/>
                <w:szCs w:val="24"/>
                <w:lang w:val="en-US" w:eastAsia="zh-CN"/>
              </w:rPr>
              <w:t>4</w:t>
            </w:r>
            <w:r>
              <w:rPr>
                <w:rFonts w:hint="default" w:ascii="Times New Roman" w:hAnsi="Times New Roman" w:eastAsia="宋体" w:cs="Times New Roman"/>
                <w:b/>
                <w:bCs/>
                <w:color w:val="auto"/>
                <w:szCs w:val="24"/>
              </w:rPr>
              <w:t>年全省及各市（地）污染物浓度达标情况图</w:t>
            </w:r>
          </w:p>
          <w:p w14:paraId="0C6C929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 xml:space="preserve">特征污染物  </w:t>
            </w:r>
          </w:p>
          <w:p w14:paraId="2DF5F36F">
            <w:pPr>
              <w:pStyle w:val="46"/>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lang w:val="en-US" w:eastAsia="zh-CN"/>
              </w:rPr>
            </w:pPr>
            <w:r>
              <w:rPr>
                <w:rFonts w:hint="default" w:ascii="Times New Roman" w:hAnsi="Times New Roman" w:eastAsia="宋体" w:cs="Times New Roman"/>
                <w:color w:val="auto"/>
                <w:kern w:val="2"/>
                <w:sz w:val="24"/>
                <w:szCs w:val="24"/>
                <w:lang w:val="en-US" w:eastAsia="zh-CN" w:bidi="ar-SA"/>
              </w:rPr>
              <w:t>根据《建设项目环境影响报告表编制技术指南》（污染影响类）（试行）排放国家、地方环境空气质量标准中有标准限值要求的特征污染物时，可引用建设项目周边 5 千米范围内近 3 年的现有监测数据，本项目引用《黑龙江民利选煤有限公司建设项目》（2024.6.22）检测报告，距离本项目2790m。项目涉及的大气污染物均为TSP，现状检测结果如下：</w:t>
            </w:r>
          </w:p>
          <w:p w14:paraId="40488A5E">
            <w:pPr>
              <w:pStyle w:val="48"/>
              <w:rPr>
                <w:rFonts w:hint="default" w:ascii="Times New Roman" w:hAnsi="Times New Roman" w:cs="Times New Roman" w:eastAsiaTheme="minorEastAsia"/>
                <w:b/>
                <w:bCs w:val="0"/>
                <w:color w:val="auto"/>
                <w:kern w:val="2"/>
                <w:sz w:val="24"/>
                <w:szCs w:val="24"/>
                <w:highlight w:val="none"/>
                <w:lang w:val="en-US" w:eastAsia="zh-CN" w:bidi="ar-SA"/>
              </w:rPr>
            </w:pPr>
            <w:r>
              <w:rPr>
                <w:rFonts w:hint="default" w:ascii="Times New Roman" w:hAnsi="Times New Roman" w:cs="Times New Roman" w:eastAsiaTheme="minorEastAsia"/>
                <w:b/>
                <w:bCs w:val="0"/>
                <w:color w:val="auto"/>
                <w:kern w:val="2"/>
                <w:sz w:val="24"/>
                <w:szCs w:val="24"/>
                <w:highlight w:val="none"/>
                <w:lang w:val="en-US" w:eastAsia="zh-CN" w:bidi="ar-SA"/>
              </w:rPr>
              <w:t>表3-1 大气其他污染物环境质量现状（监测结果）表  （单位：mg/m</w:t>
            </w:r>
            <w:r>
              <w:rPr>
                <w:rFonts w:hint="default" w:ascii="Times New Roman" w:hAnsi="Times New Roman" w:cs="Times New Roman" w:eastAsiaTheme="minorEastAsia"/>
                <w:b/>
                <w:bCs w:val="0"/>
                <w:color w:val="auto"/>
                <w:kern w:val="2"/>
                <w:sz w:val="24"/>
                <w:szCs w:val="24"/>
                <w:highlight w:val="none"/>
                <w:vertAlign w:val="superscript"/>
                <w:lang w:val="en-US" w:eastAsia="zh-CN" w:bidi="ar-SA"/>
              </w:rPr>
              <w:t>3</w:t>
            </w:r>
            <w:r>
              <w:rPr>
                <w:rFonts w:hint="default" w:ascii="Times New Roman" w:hAnsi="Times New Roman" w:cs="Times New Roman" w:eastAsiaTheme="minorEastAsia"/>
                <w:b/>
                <w:bCs w:val="0"/>
                <w:color w:val="auto"/>
                <w:kern w:val="2"/>
                <w:sz w:val="24"/>
                <w:szCs w:val="24"/>
                <w:highlight w:val="none"/>
                <w:lang w:val="en-US" w:eastAsia="zh-CN" w:bidi="ar-SA"/>
              </w:rPr>
              <w:t>）</w:t>
            </w:r>
          </w:p>
          <w:tbl>
            <w:tblPr>
              <w:tblStyle w:val="20"/>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68"/>
              <w:gridCol w:w="835"/>
              <w:gridCol w:w="1315"/>
              <w:gridCol w:w="1471"/>
              <w:gridCol w:w="1014"/>
              <w:gridCol w:w="1302"/>
              <w:gridCol w:w="1304"/>
            </w:tblGrid>
            <w:tr w14:paraId="7ABAE9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5" w:type="pct"/>
                  <w:noWrap w:val="0"/>
                  <w:vAlign w:val="center"/>
                </w:tcPr>
                <w:p w14:paraId="798B19D8">
                  <w:pPr>
                    <w:pStyle w:val="49"/>
                    <w:spacing w:line="360" w:lineRule="exac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名称</w:t>
                  </w:r>
                </w:p>
              </w:tc>
              <w:tc>
                <w:tcPr>
                  <w:tcW w:w="458" w:type="pct"/>
                  <w:noWrap w:val="0"/>
                  <w:vAlign w:val="center"/>
                </w:tcPr>
                <w:p w14:paraId="18F18C34">
                  <w:pPr>
                    <w:pStyle w:val="49"/>
                    <w:spacing w:line="360" w:lineRule="exac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污染物</w:t>
                  </w:r>
                </w:p>
              </w:tc>
              <w:tc>
                <w:tcPr>
                  <w:tcW w:w="721" w:type="pct"/>
                  <w:noWrap w:val="0"/>
                  <w:vAlign w:val="center"/>
                </w:tcPr>
                <w:p w14:paraId="10E545F2">
                  <w:pPr>
                    <w:pStyle w:val="49"/>
                    <w:spacing w:line="360" w:lineRule="exac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评价标准（</w:t>
                  </w:r>
                  <w:r>
                    <w:rPr>
                      <w:rFonts w:hint="default" w:ascii="Times New Roman" w:hAnsi="Times New Roman"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lang w:val="en-US" w:eastAsia="zh-CN"/>
                    </w:rPr>
                    <w:t>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w:t>
                  </w:r>
                </w:p>
              </w:tc>
              <w:tc>
                <w:tcPr>
                  <w:tcW w:w="807" w:type="pct"/>
                  <w:noWrap w:val="0"/>
                  <w:vAlign w:val="center"/>
                </w:tcPr>
                <w:p w14:paraId="141FF5C5">
                  <w:pPr>
                    <w:pStyle w:val="49"/>
                    <w:spacing w:line="360" w:lineRule="exac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浓度范围（</w:t>
                  </w:r>
                  <w:r>
                    <w:rPr>
                      <w:rFonts w:hint="default" w:ascii="Times New Roman" w:hAnsi="Times New Roman"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lang w:val="en-US" w:eastAsia="zh-CN"/>
                    </w:rPr>
                    <w:t>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w:t>
                  </w:r>
                </w:p>
              </w:tc>
              <w:tc>
                <w:tcPr>
                  <w:tcW w:w="556" w:type="pct"/>
                  <w:noWrap w:val="0"/>
                  <w:vAlign w:val="center"/>
                </w:tcPr>
                <w:p w14:paraId="4A324D8B">
                  <w:pPr>
                    <w:pStyle w:val="49"/>
                    <w:spacing w:line="360" w:lineRule="exac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最大占标率%</w:t>
                  </w:r>
                </w:p>
              </w:tc>
              <w:tc>
                <w:tcPr>
                  <w:tcW w:w="714" w:type="pct"/>
                  <w:noWrap w:val="0"/>
                  <w:vAlign w:val="center"/>
                </w:tcPr>
                <w:p w14:paraId="75A50AD8">
                  <w:pPr>
                    <w:pStyle w:val="49"/>
                    <w:spacing w:line="360" w:lineRule="exac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超标率%</w:t>
                  </w:r>
                </w:p>
              </w:tc>
              <w:tc>
                <w:tcPr>
                  <w:tcW w:w="715" w:type="pct"/>
                  <w:noWrap w:val="0"/>
                  <w:vAlign w:val="center"/>
                </w:tcPr>
                <w:p w14:paraId="561F766D">
                  <w:pPr>
                    <w:pStyle w:val="49"/>
                    <w:spacing w:line="360" w:lineRule="exac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达标情况</w:t>
                  </w:r>
                </w:p>
              </w:tc>
            </w:tr>
            <w:tr w14:paraId="7EFC37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5" w:type="pct"/>
                  <w:noWrap w:val="0"/>
                  <w:vAlign w:val="center"/>
                </w:tcPr>
                <w:p w14:paraId="78AED347">
                  <w:pPr>
                    <w:pStyle w:val="49"/>
                    <w:spacing w:line="360" w:lineRule="exac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en-US" w:eastAsia="zh-CN"/>
                    </w:rPr>
                    <w:t>下风向监测点</w:t>
                  </w:r>
                </w:p>
              </w:tc>
              <w:tc>
                <w:tcPr>
                  <w:tcW w:w="458" w:type="pct"/>
                  <w:noWrap w:val="0"/>
                  <w:vAlign w:val="center"/>
                </w:tcPr>
                <w:p w14:paraId="37E928DD">
                  <w:pPr>
                    <w:pStyle w:val="49"/>
                    <w:spacing w:line="360" w:lineRule="exac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TSP</w:t>
                  </w:r>
                </w:p>
              </w:tc>
              <w:tc>
                <w:tcPr>
                  <w:tcW w:w="721" w:type="pct"/>
                  <w:noWrap w:val="0"/>
                  <w:vAlign w:val="center"/>
                </w:tcPr>
                <w:p w14:paraId="7EAC26C6">
                  <w:pPr>
                    <w:pStyle w:val="49"/>
                    <w:spacing w:line="360" w:lineRule="exac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0.3</w:t>
                  </w:r>
                </w:p>
              </w:tc>
              <w:tc>
                <w:tcPr>
                  <w:tcW w:w="807" w:type="pct"/>
                  <w:noWrap w:val="0"/>
                  <w:vAlign w:val="center"/>
                </w:tcPr>
                <w:p w14:paraId="0B503EFC">
                  <w:pPr>
                    <w:pStyle w:val="49"/>
                    <w:spacing w:line="360" w:lineRule="exac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0.056-0.065</w:t>
                  </w:r>
                </w:p>
              </w:tc>
              <w:tc>
                <w:tcPr>
                  <w:tcW w:w="556" w:type="pct"/>
                  <w:noWrap w:val="0"/>
                  <w:vAlign w:val="center"/>
                </w:tcPr>
                <w:p w14:paraId="4D363AB5">
                  <w:pPr>
                    <w:pStyle w:val="49"/>
                    <w:spacing w:line="360" w:lineRule="exac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21.66</w:t>
                  </w:r>
                </w:p>
              </w:tc>
              <w:tc>
                <w:tcPr>
                  <w:tcW w:w="714" w:type="pct"/>
                  <w:noWrap w:val="0"/>
                  <w:vAlign w:val="center"/>
                </w:tcPr>
                <w:p w14:paraId="409F7586">
                  <w:pPr>
                    <w:pStyle w:val="49"/>
                    <w:spacing w:line="360" w:lineRule="exac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715" w:type="pct"/>
                  <w:noWrap w:val="0"/>
                  <w:vAlign w:val="center"/>
                </w:tcPr>
                <w:p w14:paraId="536FCC94">
                  <w:pPr>
                    <w:pStyle w:val="49"/>
                    <w:spacing w:line="360" w:lineRule="exac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bl>
          <w:p w14:paraId="6B33B78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4"/>
                <w:szCs w:val="32"/>
                <w:highlight w:val="none"/>
                <w:lang w:val="en-US" w:eastAsia="zh-CN"/>
              </w:rPr>
            </w:pPr>
            <w:r>
              <w:rPr>
                <w:rFonts w:hint="default" w:ascii="Times New Roman" w:hAnsi="Times New Roman" w:cs="Times New Roman"/>
              </w:rPr>
              <w:drawing>
                <wp:anchor distT="0" distB="0" distL="114300" distR="114300" simplePos="0" relativeHeight="251700224" behindDoc="0" locked="0" layoutInCell="1" allowOverlap="1">
                  <wp:simplePos x="0" y="0"/>
                  <wp:positionH relativeFrom="column">
                    <wp:posOffset>4844415</wp:posOffset>
                  </wp:positionH>
                  <wp:positionV relativeFrom="paragraph">
                    <wp:posOffset>535940</wp:posOffset>
                  </wp:positionV>
                  <wp:extent cx="647700" cy="690245"/>
                  <wp:effectExtent l="0" t="0" r="0" b="14605"/>
                  <wp:wrapNone/>
                  <wp:docPr id="9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1"/>
                          <pic:cNvPicPr>
                            <a:picLocks noChangeAspect="1"/>
                          </pic:cNvPicPr>
                        </pic:nvPicPr>
                        <pic:blipFill>
                          <a:blip r:embed="rId19"/>
                          <a:stretch>
                            <a:fillRect/>
                          </a:stretch>
                        </pic:blipFill>
                        <pic:spPr>
                          <a:xfrm>
                            <a:off x="0" y="0"/>
                            <a:ext cx="647700" cy="690245"/>
                          </a:xfrm>
                          <a:prstGeom prst="rect">
                            <a:avLst/>
                          </a:prstGeom>
                          <a:noFill/>
                          <a:ln>
                            <a:noFill/>
                          </a:ln>
                        </pic:spPr>
                      </pic:pic>
                    </a:graphicData>
                  </a:graphic>
                </wp:anchor>
              </w:drawing>
            </w:r>
            <w:r>
              <w:rPr>
                <w:rFonts w:hint="default" w:ascii="Times New Roman" w:hAnsi="Times New Roman" w:cs="Times New Roman"/>
              </w:rPr>
              <w:drawing>
                <wp:anchor distT="0" distB="0" distL="114300" distR="114300" simplePos="0" relativeHeight="251699200" behindDoc="0" locked="0" layoutInCell="1" allowOverlap="1">
                  <wp:simplePos x="0" y="0"/>
                  <wp:positionH relativeFrom="column">
                    <wp:posOffset>72390</wp:posOffset>
                  </wp:positionH>
                  <wp:positionV relativeFrom="paragraph">
                    <wp:posOffset>526415</wp:posOffset>
                  </wp:positionV>
                  <wp:extent cx="5422265" cy="3768725"/>
                  <wp:effectExtent l="0" t="0" r="6985" b="3175"/>
                  <wp:wrapNone/>
                  <wp:docPr id="8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0"/>
                          <pic:cNvPicPr>
                            <a:picLocks noChangeAspect="1"/>
                          </pic:cNvPicPr>
                        </pic:nvPicPr>
                        <pic:blipFill>
                          <a:blip r:embed="rId20"/>
                          <a:stretch>
                            <a:fillRect/>
                          </a:stretch>
                        </pic:blipFill>
                        <pic:spPr>
                          <a:xfrm>
                            <a:off x="0" y="0"/>
                            <a:ext cx="5422265" cy="3768725"/>
                          </a:xfrm>
                          <a:prstGeom prst="rect">
                            <a:avLst/>
                          </a:prstGeom>
                          <a:noFill/>
                          <a:ln>
                            <a:noFill/>
                          </a:ln>
                        </pic:spPr>
                      </pic:pic>
                    </a:graphicData>
                  </a:graphic>
                </wp:anchor>
              </w:drawing>
            </w:r>
            <w:r>
              <w:rPr>
                <w:rFonts w:hint="default" w:ascii="Times New Roman" w:hAnsi="Times New Roman" w:eastAsia="宋体" w:cs="Times New Roman"/>
                <w:color w:val="auto"/>
                <w:kern w:val="2"/>
                <w:sz w:val="24"/>
                <w:szCs w:val="24"/>
                <w:highlight w:val="none"/>
                <w:lang w:val="en-US" w:eastAsia="zh-CN" w:bidi="ar-SA"/>
              </w:rPr>
              <w:t>由上表可以看出，本项目TSP 24小时平均浓度值满足《环境空气质量标准》（GB3095-2012）及其修改单二级标准要求，区域环境空气质量良好</w:t>
            </w:r>
            <w:r>
              <w:rPr>
                <w:rFonts w:hint="default" w:ascii="Times New Roman" w:hAnsi="Times New Roman" w:eastAsia="宋体" w:cs="Times New Roman"/>
                <w:color w:val="auto"/>
                <w:sz w:val="24"/>
                <w:szCs w:val="32"/>
                <w:highlight w:val="none"/>
                <w:lang w:val="en-US" w:eastAsia="zh-CN"/>
              </w:rPr>
              <w:t>。</w:t>
            </w:r>
          </w:p>
          <w:p w14:paraId="35A9FB64">
            <w:pPr>
              <w:pStyle w:val="46"/>
              <w:bidi w:val="0"/>
              <w:jc w:val="both"/>
              <w:rPr>
                <w:rFonts w:hint="default" w:ascii="Times New Roman" w:hAnsi="Times New Roman" w:cs="Times New Roman" w:eastAsiaTheme="minorEastAsia"/>
                <w:b/>
                <w:bCs w:val="0"/>
                <w:color w:val="auto"/>
                <w:kern w:val="2"/>
                <w:sz w:val="24"/>
                <w:szCs w:val="24"/>
                <w:highlight w:val="none"/>
                <w:lang w:val="en-US" w:eastAsia="zh-CN"/>
              </w:rPr>
            </w:pPr>
          </w:p>
          <w:p w14:paraId="20E35463">
            <w:pPr>
              <w:pStyle w:val="46"/>
              <w:bidi w:val="0"/>
              <w:rPr>
                <w:rFonts w:hint="default" w:ascii="Times New Roman" w:hAnsi="Times New Roman" w:cs="Times New Roman" w:eastAsiaTheme="minorEastAsia"/>
                <w:b/>
                <w:bCs w:val="0"/>
                <w:color w:val="auto"/>
                <w:kern w:val="2"/>
                <w:sz w:val="24"/>
                <w:szCs w:val="24"/>
                <w:highlight w:val="none"/>
                <w:lang w:val="en-US" w:eastAsia="zh-CN"/>
              </w:rPr>
            </w:pPr>
            <w:r>
              <w:rPr>
                <w:rFonts w:hint="default" w:ascii="Times New Roman" w:hAnsi="Times New Roman" w:cs="Times New Roman"/>
                <w:sz w:val="24"/>
              </w:rPr>
              <mc:AlternateContent>
                <mc:Choice Requires="wps">
                  <w:drawing>
                    <wp:anchor distT="0" distB="0" distL="114300" distR="114300" simplePos="0" relativeHeight="251705344" behindDoc="0" locked="0" layoutInCell="1" allowOverlap="1">
                      <wp:simplePos x="0" y="0"/>
                      <wp:positionH relativeFrom="column">
                        <wp:posOffset>1981835</wp:posOffset>
                      </wp:positionH>
                      <wp:positionV relativeFrom="paragraph">
                        <wp:posOffset>120015</wp:posOffset>
                      </wp:positionV>
                      <wp:extent cx="123825" cy="114300"/>
                      <wp:effectExtent l="6350" t="6350" r="22225" b="12700"/>
                      <wp:wrapNone/>
                      <wp:docPr id="102" name="椭圆 102"/>
                      <wp:cNvGraphicFramePr/>
                      <a:graphic xmlns:a="http://schemas.openxmlformats.org/drawingml/2006/main">
                        <a:graphicData uri="http://schemas.microsoft.com/office/word/2010/wordprocessingShape">
                          <wps:wsp>
                            <wps:cNvSpPr/>
                            <wps:spPr>
                              <a:xfrm>
                                <a:off x="0" y="0"/>
                                <a:ext cx="123825" cy="114300"/>
                              </a:xfrm>
                              <a:prstGeom prst="ellipse">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56.05pt;margin-top:9.45pt;height:9pt;width:9.75pt;z-index:251705344;v-text-anchor:middle;mso-width-relative:page;mso-height-relative:page;" fillcolor="#FFFF00" filled="t" stroked="t" coordsize="21600,21600" o:gfxdata="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BXI3mDZAAAACQEAAA8AAAAAAAAAAQAgAAAAIgAAAGRycy9kb3ducmV2&#10;LnhtbFBLAQIUABQAAAAIAIdO4kB34eP1bQIAAPoEAAAOAAAAAAAAAAEAIAAAACgBAABkcnMvZTJv&#10;RG9jLnhtbFBLBQYAAAAABgAGAFkBAAAHBgAAAAA=&#10;">
                      <v:fill on="t" focussize="0,0"/>
                      <v:stroke weight="1pt" color="#FFFF00 [2404]" miterlimit="8" joinstyle="miter"/>
                      <v:imagedata o:title=""/>
                      <o:lock v:ext="edit" aspectratio="f"/>
                    </v:shape>
                  </w:pict>
                </mc:Fallback>
              </mc:AlternateContent>
            </w:r>
          </w:p>
          <w:p w14:paraId="27C0A751">
            <w:pPr>
              <w:pStyle w:val="46"/>
              <w:bidi w:val="0"/>
              <w:rPr>
                <w:rFonts w:hint="default" w:ascii="Times New Roman" w:hAnsi="Times New Roman" w:cs="Times New Roman" w:eastAsiaTheme="minorEastAsia"/>
                <w:b/>
                <w:bCs w:val="0"/>
                <w:color w:val="auto"/>
                <w:kern w:val="2"/>
                <w:sz w:val="24"/>
                <w:szCs w:val="24"/>
                <w:highlight w:val="none"/>
                <w:lang w:val="en-US" w:eastAsia="zh-CN"/>
              </w:rPr>
            </w:pPr>
          </w:p>
          <w:p w14:paraId="54A150FA">
            <w:pPr>
              <w:pStyle w:val="46"/>
              <w:bidi w:val="0"/>
              <w:rPr>
                <w:rFonts w:hint="default" w:ascii="Times New Roman" w:hAnsi="Times New Roman" w:cs="Times New Roman" w:eastAsiaTheme="minorEastAsia"/>
                <w:b/>
                <w:bCs w:val="0"/>
                <w:color w:val="auto"/>
                <w:kern w:val="2"/>
                <w:sz w:val="24"/>
                <w:szCs w:val="24"/>
                <w:highlight w:val="none"/>
                <w:lang w:val="en-US" w:eastAsia="zh-CN"/>
              </w:rPr>
            </w:pPr>
          </w:p>
          <w:p w14:paraId="630885A7">
            <w:pPr>
              <w:pStyle w:val="46"/>
              <w:bidi w:val="0"/>
              <w:rPr>
                <w:rFonts w:hint="default" w:ascii="Times New Roman" w:hAnsi="Times New Roman" w:cs="Times New Roman" w:eastAsiaTheme="minorEastAsia"/>
                <w:b/>
                <w:bCs w:val="0"/>
                <w:color w:val="auto"/>
                <w:kern w:val="2"/>
                <w:sz w:val="24"/>
                <w:szCs w:val="24"/>
                <w:highlight w:val="none"/>
                <w:lang w:val="en-US" w:eastAsia="zh-CN"/>
              </w:rPr>
            </w:pPr>
          </w:p>
          <w:p w14:paraId="296B9319">
            <w:pPr>
              <w:pStyle w:val="46"/>
              <w:bidi w:val="0"/>
              <w:rPr>
                <w:rFonts w:hint="default" w:ascii="Times New Roman" w:hAnsi="Times New Roman" w:cs="Times New Roman" w:eastAsiaTheme="minorEastAsia"/>
                <w:b/>
                <w:bCs w:val="0"/>
                <w:color w:val="auto"/>
                <w:kern w:val="2"/>
                <w:sz w:val="24"/>
                <w:szCs w:val="24"/>
                <w:highlight w:val="none"/>
                <w:lang w:val="en-US" w:eastAsia="zh-CN"/>
              </w:rPr>
            </w:pPr>
          </w:p>
          <w:p w14:paraId="657A9D4A">
            <w:pPr>
              <w:pStyle w:val="46"/>
              <w:bidi w:val="0"/>
              <w:rPr>
                <w:rFonts w:hint="default" w:ascii="Times New Roman" w:hAnsi="Times New Roman" w:cs="Times New Roman" w:eastAsiaTheme="minorEastAsia"/>
                <w:b/>
                <w:bCs w:val="0"/>
                <w:color w:val="auto"/>
                <w:kern w:val="2"/>
                <w:sz w:val="24"/>
                <w:szCs w:val="24"/>
                <w:highlight w:val="none"/>
                <w:lang w:val="en-US" w:eastAsia="zh-CN"/>
              </w:rPr>
            </w:pPr>
          </w:p>
          <w:p w14:paraId="1B207253">
            <w:pPr>
              <w:pStyle w:val="46"/>
              <w:bidi w:val="0"/>
              <w:rPr>
                <w:rFonts w:hint="default" w:ascii="Times New Roman" w:hAnsi="Times New Roman" w:cs="Times New Roman" w:eastAsiaTheme="minorEastAsia"/>
                <w:b/>
                <w:bCs w:val="0"/>
                <w:color w:val="auto"/>
                <w:kern w:val="2"/>
                <w:sz w:val="24"/>
                <w:szCs w:val="24"/>
                <w:highlight w:val="none"/>
                <w:lang w:val="en-US" w:eastAsia="zh-CN"/>
              </w:rPr>
            </w:pPr>
          </w:p>
          <w:p w14:paraId="7FC25F52">
            <w:pPr>
              <w:pStyle w:val="46"/>
              <w:bidi w:val="0"/>
              <w:rPr>
                <w:rFonts w:hint="default" w:ascii="Times New Roman" w:hAnsi="Times New Roman" w:cs="Times New Roman" w:eastAsiaTheme="minorEastAsia"/>
                <w:b/>
                <w:bCs w:val="0"/>
                <w:color w:val="auto"/>
                <w:kern w:val="2"/>
                <w:sz w:val="24"/>
                <w:szCs w:val="24"/>
                <w:highlight w:val="none"/>
                <w:lang w:val="en-US" w:eastAsia="zh-CN"/>
              </w:rPr>
            </w:pPr>
          </w:p>
          <w:p w14:paraId="2DCA7EB6">
            <w:pPr>
              <w:pStyle w:val="46"/>
              <w:bidi w:val="0"/>
              <w:rPr>
                <w:rFonts w:hint="default" w:ascii="Times New Roman" w:hAnsi="Times New Roman" w:cs="Times New Roman" w:eastAsiaTheme="minorEastAsia"/>
                <w:b/>
                <w:bCs w:val="0"/>
                <w:color w:val="auto"/>
                <w:kern w:val="2"/>
                <w:sz w:val="24"/>
                <w:szCs w:val="24"/>
                <w:highlight w:val="none"/>
                <w:lang w:val="en-US" w:eastAsia="zh-CN"/>
              </w:rPr>
            </w:pPr>
            <w:r>
              <w:rPr>
                <w:rFonts w:hint="default" w:ascii="Times New Roman" w:hAnsi="Times New Roman" w:cs="Times New Roman"/>
                <w:color w:val="auto"/>
                <w:sz w:val="21"/>
              </w:rPr>
              <mc:AlternateContent>
                <mc:Choice Requires="wps">
                  <w:drawing>
                    <wp:anchor distT="0" distB="0" distL="114300" distR="114300" simplePos="0" relativeHeight="251701248" behindDoc="0" locked="0" layoutInCell="1" allowOverlap="1">
                      <wp:simplePos x="0" y="0"/>
                      <wp:positionH relativeFrom="column">
                        <wp:posOffset>4648200</wp:posOffset>
                      </wp:positionH>
                      <wp:positionV relativeFrom="paragraph">
                        <wp:posOffset>137795</wp:posOffset>
                      </wp:positionV>
                      <wp:extent cx="856615" cy="693420"/>
                      <wp:effectExtent l="4445" t="4445" r="15240" b="6985"/>
                      <wp:wrapNone/>
                      <wp:docPr id="98" name="文本框 98"/>
                      <wp:cNvGraphicFramePr/>
                      <a:graphic xmlns:a="http://schemas.openxmlformats.org/drawingml/2006/main">
                        <a:graphicData uri="http://schemas.microsoft.com/office/word/2010/wordprocessingShape">
                          <wps:wsp>
                            <wps:cNvSpPr txBox="1"/>
                            <wps:spPr>
                              <a:xfrm>
                                <a:off x="0" y="0"/>
                                <a:ext cx="856615" cy="6934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5842CAA">
                                  <w:pPr>
                                    <w:ind w:firstLine="360" w:firstLineChars="200"/>
                                    <w:rPr>
                                      <w:rFonts w:hint="eastAsia"/>
                                      <w:sz w:val="18"/>
                                      <w:szCs w:val="18"/>
                                      <w:lang w:val="en-US" w:eastAsia="zh-CN"/>
                                    </w:rPr>
                                  </w:pPr>
                                  <w:r>
                                    <w:rPr>
                                      <w:rFonts w:hint="eastAsia"/>
                                      <w:sz w:val="18"/>
                                      <w:szCs w:val="18"/>
                                      <w:lang w:val="en-US" w:eastAsia="zh-CN"/>
                                    </w:rPr>
                                    <w:t>图例</w:t>
                                  </w:r>
                                </w:p>
                                <w:p w14:paraId="701ABF88">
                                  <w:pPr>
                                    <w:jc w:val="center"/>
                                    <w:rPr>
                                      <w:rFonts w:hint="eastAsia"/>
                                      <w:sz w:val="18"/>
                                      <w:szCs w:val="18"/>
                                      <w:lang w:val="en-US" w:eastAsia="zh-CN"/>
                                    </w:rPr>
                                  </w:pPr>
                                  <w:r>
                                    <w:rPr>
                                      <w:rFonts w:hint="eastAsia"/>
                                      <w:sz w:val="18"/>
                                      <w:szCs w:val="18"/>
                                      <w:lang w:val="en-US" w:eastAsia="zh-CN"/>
                                    </w:rPr>
                                    <w:t xml:space="preserve"> 本项目</w:t>
                                  </w:r>
                                </w:p>
                                <w:p w14:paraId="6D6D33CF">
                                  <w:pPr>
                                    <w:ind w:firstLine="360" w:firstLineChars="200"/>
                                    <w:jc w:val="right"/>
                                    <w:rPr>
                                      <w:rFonts w:hint="eastAsia"/>
                                      <w:sz w:val="18"/>
                                      <w:szCs w:val="18"/>
                                      <w:lang w:val="en-US" w:eastAsia="zh-CN"/>
                                    </w:rPr>
                                  </w:pPr>
                                </w:p>
                                <w:p w14:paraId="4D9DF1CB">
                                  <w:pPr>
                                    <w:jc w:val="center"/>
                                    <w:rPr>
                                      <w:rFonts w:hint="default"/>
                                      <w:sz w:val="18"/>
                                      <w:szCs w:val="18"/>
                                      <w:lang w:val="en-US" w:eastAsia="zh-CN"/>
                                    </w:rPr>
                                  </w:pPr>
                                  <w:r>
                                    <w:rPr>
                                      <w:rFonts w:hint="eastAsia"/>
                                      <w:sz w:val="18"/>
                                      <w:szCs w:val="18"/>
                                      <w:lang w:val="en-US" w:eastAsia="zh-CN"/>
                                    </w:rPr>
                                    <w:t xml:space="preserve">   引用项目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6pt;margin-top:10.85pt;height:54.6pt;width:67.45pt;z-index:251701248;mso-width-relative:page;mso-height-relative:page;" fillcolor="#FFFFFF [3201]" filled="t" stroked="t" coordsize="21600,21600" o:gfxdata="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nc1Mq&#10;1wAAAAoBAAAPAAAAAAAAAAEAIAAAACIAAABkcnMvZG93bnJldi54bWxQSwECFAAUAAAACACHTuJA&#10;eRvbzlsCAAC4BAAADgAAAAAAAAABACAAAAAmAQAAZHJzL2Uyb0RvYy54bWxQSwUGAAAAAAYABgBZ&#10;AQAA8wUAAAAA&#10;">
                      <v:fill on="t" focussize="0,0"/>
                      <v:stroke weight="0.5pt" color="#000000 [3204]" joinstyle="round"/>
                      <v:imagedata o:title=""/>
                      <o:lock v:ext="edit" aspectratio="f"/>
                      <v:textbox>
                        <w:txbxContent>
                          <w:p w14:paraId="15842CAA">
                            <w:pPr>
                              <w:ind w:firstLine="360" w:firstLineChars="200"/>
                              <w:rPr>
                                <w:rFonts w:hint="eastAsia"/>
                                <w:sz w:val="18"/>
                                <w:szCs w:val="18"/>
                                <w:lang w:val="en-US" w:eastAsia="zh-CN"/>
                              </w:rPr>
                            </w:pPr>
                            <w:r>
                              <w:rPr>
                                <w:rFonts w:hint="eastAsia"/>
                                <w:sz w:val="18"/>
                                <w:szCs w:val="18"/>
                                <w:lang w:val="en-US" w:eastAsia="zh-CN"/>
                              </w:rPr>
                              <w:t>图例</w:t>
                            </w:r>
                          </w:p>
                          <w:p w14:paraId="701ABF88">
                            <w:pPr>
                              <w:jc w:val="center"/>
                              <w:rPr>
                                <w:rFonts w:hint="eastAsia"/>
                                <w:sz w:val="18"/>
                                <w:szCs w:val="18"/>
                                <w:lang w:val="en-US" w:eastAsia="zh-CN"/>
                              </w:rPr>
                            </w:pPr>
                            <w:r>
                              <w:rPr>
                                <w:rFonts w:hint="eastAsia"/>
                                <w:sz w:val="18"/>
                                <w:szCs w:val="18"/>
                                <w:lang w:val="en-US" w:eastAsia="zh-CN"/>
                              </w:rPr>
                              <w:t xml:space="preserve"> 本项目</w:t>
                            </w:r>
                          </w:p>
                          <w:p w14:paraId="6D6D33CF">
                            <w:pPr>
                              <w:ind w:firstLine="360" w:firstLineChars="200"/>
                              <w:jc w:val="right"/>
                              <w:rPr>
                                <w:rFonts w:hint="eastAsia"/>
                                <w:sz w:val="18"/>
                                <w:szCs w:val="18"/>
                                <w:lang w:val="en-US" w:eastAsia="zh-CN"/>
                              </w:rPr>
                            </w:pPr>
                          </w:p>
                          <w:p w14:paraId="4D9DF1CB">
                            <w:pPr>
                              <w:jc w:val="center"/>
                              <w:rPr>
                                <w:rFonts w:hint="default"/>
                                <w:sz w:val="18"/>
                                <w:szCs w:val="18"/>
                                <w:lang w:val="en-US" w:eastAsia="zh-CN"/>
                              </w:rPr>
                            </w:pPr>
                            <w:r>
                              <w:rPr>
                                <w:rFonts w:hint="eastAsia"/>
                                <w:sz w:val="18"/>
                                <w:szCs w:val="18"/>
                                <w:lang w:val="en-US" w:eastAsia="zh-CN"/>
                              </w:rPr>
                              <w:t xml:space="preserve">   引用项目</w:t>
                            </w:r>
                          </w:p>
                        </w:txbxContent>
                      </v:textbox>
                    </v:shape>
                  </w:pict>
                </mc:Fallback>
              </mc:AlternateContent>
            </w:r>
          </w:p>
          <w:p w14:paraId="7D82746E">
            <w:pPr>
              <w:pStyle w:val="46"/>
              <w:bidi w:val="0"/>
              <w:jc w:val="both"/>
              <w:rPr>
                <w:rFonts w:hint="default" w:ascii="Times New Roman" w:hAnsi="Times New Roman" w:cs="Times New Roman" w:eastAsiaTheme="minorEastAsia"/>
                <w:b/>
                <w:bCs w:val="0"/>
                <w:color w:val="auto"/>
                <w:kern w:val="2"/>
                <w:sz w:val="24"/>
                <w:szCs w:val="24"/>
                <w:highlight w:val="none"/>
                <w:lang w:val="en-US" w:eastAsia="zh-CN"/>
              </w:rPr>
            </w:pPr>
            <w:r>
              <w:rPr>
                <w:rFonts w:hint="default" w:ascii="Times New Roman" w:hAnsi="Times New Roman" w:cs="Times New Roman"/>
                <w:sz w:val="24"/>
              </w:rPr>
              <mc:AlternateContent>
                <mc:Choice Requires="wps">
                  <w:drawing>
                    <wp:anchor distT="0" distB="0" distL="114300" distR="114300" simplePos="0" relativeHeight="251702272" behindDoc="0" locked="0" layoutInCell="1" allowOverlap="1">
                      <wp:simplePos x="0" y="0"/>
                      <wp:positionH relativeFrom="column">
                        <wp:posOffset>4753610</wp:posOffset>
                      </wp:positionH>
                      <wp:positionV relativeFrom="paragraph">
                        <wp:posOffset>43815</wp:posOffset>
                      </wp:positionV>
                      <wp:extent cx="123825" cy="114300"/>
                      <wp:effectExtent l="6350" t="6350" r="22225" b="12700"/>
                      <wp:wrapNone/>
                      <wp:docPr id="99" name="椭圆 99"/>
                      <wp:cNvGraphicFramePr/>
                      <a:graphic xmlns:a="http://schemas.openxmlformats.org/drawingml/2006/main">
                        <a:graphicData uri="http://schemas.microsoft.com/office/word/2010/wordprocessingShape">
                          <wps:wsp>
                            <wps:cNvSpPr/>
                            <wps:spPr>
                              <a:xfrm>
                                <a:off x="6014085" y="6118225"/>
                                <a:ext cx="123825" cy="114300"/>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4.3pt;margin-top:3.45pt;height:9pt;width:9.75pt;z-index:251702272;v-text-anchor:middle;mso-width-relative:page;mso-height-relative:page;" fillcolor="#FF0000" filled="t" stroked="t" coordsize="21600,21600" o:gfxdata="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iAWle1QAAAAgBAAAPAAAAAAAAAAEAIAAAACIAAABk&#10;cnMvZG93bnJldi54bWxQSwECFAAUAAAACACHTuJA5THxxXsCAAAEBQAADgAAAAAAAAABACAAAAAk&#10;AQAAZHJzL2Uyb0RvYy54bWxQSwUGAAAAAAYABgBZAQAAEQYAAAAA&#10;">
                      <v:fill on="t" focussize="0,0"/>
                      <v:stroke weight="1pt" color="#FF0000 [2404]" miterlimit="8" joinstyle="miter"/>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03296" behindDoc="0" locked="0" layoutInCell="1" allowOverlap="1">
                      <wp:simplePos x="0" y="0"/>
                      <wp:positionH relativeFrom="column">
                        <wp:posOffset>3639185</wp:posOffset>
                      </wp:positionH>
                      <wp:positionV relativeFrom="paragraph">
                        <wp:posOffset>62865</wp:posOffset>
                      </wp:positionV>
                      <wp:extent cx="123825" cy="114300"/>
                      <wp:effectExtent l="6350" t="6350" r="22225" b="12700"/>
                      <wp:wrapNone/>
                      <wp:docPr id="100" name="椭圆 100"/>
                      <wp:cNvGraphicFramePr/>
                      <a:graphic xmlns:a="http://schemas.openxmlformats.org/drawingml/2006/main">
                        <a:graphicData uri="http://schemas.microsoft.com/office/word/2010/wordprocessingShape">
                          <wps:wsp>
                            <wps:cNvSpPr/>
                            <wps:spPr>
                              <a:xfrm>
                                <a:off x="0" y="0"/>
                                <a:ext cx="123825" cy="114300"/>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86.55pt;margin-top:4.95pt;height:9pt;width:9.75pt;z-index:251703296;v-text-anchor:middle;mso-width-relative:page;mso-height-relative:page;" fillcolor="#FF0000" filled="t" stroked="t" coordsize="21600,21600" o:gfxdata="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21CTb1QAAAAgBAAAPAAAAAAAAAAEAIAAAACIAAABkcnMvZG93bnJldi54&#10;bWxQSwECFAAUAAAACACHTuJA77snOG8CAAD6BAAADgAAAAAAAAABACAAAAAkAQAAZHJzL2Uyb0Rv&#10;Yy54bWxQSwUGAAAAAAYABgBZAQAABQYAAAAA&#10;">
                      <v:fill on="t" focussize="0,0"/>
                      <v:stroke weight="1pt" color="#FF0000 [2404]" miterlimit="8" joinstyle="miter"/>
                      <v:imagedata o:title=""/>
                      <o:lock v:ext="edit" aspectratio="f"/>
                    </v:shape>
                  </w:pict>
                </mc:Fallback>
              </mc:AlternateContent>
            </w:r>
          </w:p>
          <w:p w14:paraId="7D1320C5">
            <w:pPr>
              <w:pStyle w:val="46"/>
              <w:bidi w:val="0"/>
              <w:rPr>
                <w:rFonts w:hint="default" w:ascii="Times New Roman" w:hAnsi="Times New Roman" w:cs="Times New Roman" w:eastAsiaTheme="minorEastAsia"/>
                <w:b/>
                <w:bCs w:val="0"/>
                <w:color w:val="auto"/>
                <w:kern w:val="2"/>
                <w:sz w:val="24"/>
                <w:szCs w:val="24"/>
                <w:highlight w:val="none"/>
                <w:lang w:val="en-US" w:eastAsia="zh-CN"/>
              </w:rPr>
            </w:pPr>
            <w:r>
              <w:rPr>
                <w:rFonts w:hint="default" w:ascii="Times New Roman" w:hAnsi="Times New Roman" w:cs="Times New Roman"/>
                <w:sz w:val="24"/>
              </w:rPr>
              <mc:AlternateContent>
                <mc:Choice Requires="wps">
                  <w:drawing>
                    <wp:anchor distT="0" distB="0" distL="114300" distR="114300" simplePos="0" relativeHeight="251704320" behindDoc="0" locked="0" layoutInCell="1" allowOverlap="1">
                      <wp:simplePos x="0" y="0"/>
                      <wp:positionH relativeFrom="column">
                        <wp:posOffset>4753610</wp:posOffset>
                      </wp:positionH>
                      <wp:positionV relativeFrom="paragraph">
                        <wp:posOffset>2540</wp:posOffset>
                      </wp:positionV>
                      <wp:extent cx="123825" cy="114300"/>
                      <wp:effectExtent l="6350" t="6350" r="22225" b="12700"/>
                      <wp:wrapNone/>
                      <wp:docPr id="101" name="椭圆 101"/>
                      <wp:cNvGraphicFramePr/>
                      <a:graphic xmlns:a="http://schemas.openxmlformats.org/drawingml/2006/main">
                        <a:graphicData uri="http://schemas.microsoft.com/office/word/2010/wordprocessingShape">
                          <wps:wsp>
                            <wps:cNvSpPr/>
                            <wps:spPr>
                              <a:xfrm>
                                <a:off x="0" y="0"/>
                                <a:ext cx="123825" cy="114300"/>
                              </a:xfrm>
                              <a:prstGeom prst="ellipse">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4.3pt;margin-top:0.2pt;height:9pt;width:9.75pt;z-index:251704320;v-text-anchor:middle;mso-width-relative:page;mso-height-relative:page;" fillcolor="#FFFF00" filled="t" stroked="t" coordsize="21600,21600" o:gfxdata="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T15kXdYAAAAHAQAADwAAAAAAAAABACAAAAAiAAAAZHJzL2Rvd25yZXYueG1s&#10;UEsBAhQAFAAAAAgAh07iQFd++9hsAgAA+gQAAA4AAAAAAAAAAQAgAAAAJQEAAGRycy9lMm9Eb2Mu&#10;eG1sUEsFBgAAAAAGAAYAWQEAAAMGAAAAAA==&#10;">
                      <v:fill on="t" focussize="0,0"/>
                      <v:stroke weight="1pt" color="#FFFF00 [2404]" miterlimit="8" joinstyle="miter"/>
                      <v:imagedata o:title=""/>
                      <o:lock v:ext="edit" aspectratio="f"/>
                    </v:shape>
                  </w:pict>
                </mc:Fallback>
              </mc:AlternateContent>
            </w:r>
          </w:p>
          <w:p w14:paraId="7D06602A">
            <w:pPr>
              <w:pStyle w:val="46"/>
              <w:keepNext/>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b/>
                <w:bCs w:val="0"/>
                <w:color w:val="auto"/>
                <w:sz w:val="24"/>
                <w:szCs w:val="24"/>
                <w:highlight w:val="none"/>
                <w:lang w:val="en-US" w:eastAsia="zh-CN"/>
              </w:rPr>
            </w:pPr>
            <w:r>
              <w:rPr>
                <w:rFonts w:hint="default" w:ascii="Times New Roman" w:hAnsi="Times New Roman" w:cs="Times New Roman" w:eastAsiaTheme="minorEastAsia"/>
                <w:b/>
                <w:bCs w:val="0"/>
                <w:color w:val="auto"/>
                <w:kern w:val="2"/>
                <w:sz w:val="24"/>
                <w:szCs w:val="24"/>
                <w:highlight w:val="none"/>
                <w:lang w:val="en-US" w:eastAsia="zh-CN"/>
              </w:rPr>
              <w:t xml:space="preserve">图3-2 </w:t>
            </w:r>
            <w:r>
              <w:rPr>
                <w:rFonts w:hint="default" w:ascii="Times New Roman" w:hAnsi="Times New Roman" w:eastAsia="宋体" w:cs="Times New Roman"/>
                <w:b/>
                <w:bCs/>
                <w:color w:val="auto"/>
                <w:sz w:val="24"/>
                <w:szCs w:val="24"/>
                <w:highlight w:val="none"/>
                <w:lang w:val="en-US" w:eastAsia="zh-CN"/>
              </w:rPr>
              <w:t>引用项目与本项目位置关系</w:t>
            </w:r>
          </w:p>
          <w:p w14:paraId="60B4169B">
            <w:pPr>
              <w:spacing w:line="360" w:lineRule="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2、地表水环境</w:t>
            </w:r>
          </w:p>
          <w:p w14:paraId="10DB0BA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highlight w:val="none"/>
                <w:lang w:val="zh-TW" w:eastAsia="zh-TW"/>
              </w:rPr>
            </w:pPr>
            <w:bookmarkStart w:id="27" w:name="_Toc301514512"/>
            <w:bookmarkStart w:id="28" w:name="_Toc218321831"/>
            <w:bookmarkStart w:id="29" w:name="_Toc207005094"/>
            <w:bookmarkStart w:id="30" w:name="_Toc318898968"/>
            <w:r>
              <w:rPr>
                <w:rFonts w:hint="default" w:ascii="Times New Roman" w:hAnsi="Times New Roman" w:cs="Times New Roman"/>
                <w:bCs/>
                <w:color w:val="auto"/>
                <w:sz w:val="24"/>
                <w:highlight w:val="none"/>
                <w:lang w:val="en-US" w:eastAsia="zh-CN"/>
              </w:rPr>
              <w:t>根据《全国重要江河湖泊水功能区划（2011-2030）》（黑龙江省）可知，本项目涉及地表水体为穆棱河（碱场煤矿铁路大桥至206省道公路桥），属穆棱河饮用区，水质目标为</w:t>
            </w:r>
            <w:r>
              <w:rPr>
                <w:rFonts w:hint="default" w:ascii="Times New Roman" w:hAnsi="Times New Roman" w:cs="Times New Roman"/>
                <w:color w:val="auto"/>
                <w:sz w:val="24"/>
                <w:szCs w:val="24"/>
                <w:highlight w:val="none"/>
                <w:lang w:val="en-US" w:eastAsia="zh-CN"/>
              </w:rPr>
              <w:t>Ⅱ~Ⅲ</w:t>
            </w:r>
            <w:r>
              <w:rPr>
                <w:rFonts w:hint="default" w:ascii="Times New Roman" w:hAnsi="Times New Roman" w:cs="Times New Roman"/>
                <w:bCs/>
                <w:color w:val="auto"/>
                <w:sz w:val="24"/>
                <w:highlight w:val="none"/>
                <w:lang w:val="en-US" w:eastAsia="zh-CN"/>
              </w:rPr>
              <w:t>类</w:t>
            </w:r>
            <w:r>
              <w:rPr>
                <w:rFonts w:hint="default" w:ascii="Times New Roman" w:hAnsi="Times New Roman" w:cs="Times New Roman"/>
                <w:color w:val="auto"/>
                <w:sz w:val="24"/>
                <w:szCs w:val="24"/>
                <w:highlight w:val="none"/>
                <w:lang w:val="en-US" w:eastAsia="zh-CN"/>
              </w:rPr>
              <w:t>。根据鸡西市人民政府发布的《2024年1-12月地表水国控考核断面水质信息公开》，穆棱河达到Ⅲ类水质类别标准</w:t>
            </w:r>
            <w:r>
              <w:rPr>
                <w:rFonts w:hint="default" w:ascii="Times New Roman" w:hAnsi="Times New Roman" w:cs="Times New Roman"/>
                <w:color w:val="auto"/>
                <w:sz w:val="24"/>
                <w:szCs w:val="24"/>
                <w:highlight w:val="none"/>
                <w:lang w:val="zh-TW" w:eastAsia="zh-TW"/>
              </w:rPr>
              <w:t>。</w:t>
            </w:r>
          </w:p>
          <w:bookmarkEnd w:id="27"/>
          <w:bookmarkEnd w:id="28"/>
          <w:bookmarkEnd w:id="29"/>
          <w:bookmarkEnd w:id="30"/>
          <w:p w14:paraId="59C51403">
            <w:pPr>
              <w:spacing w:line="360" w:lineRule="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3、声环境</w:t>
            </w:r>
          </w:p>
          <w:p w14:paraId="70FE1E97">
            <w:pPr>
              <w:spacing w:line="360" w:lineRule="auto"/>
              <w:ind w:firstLine="480" w:firstLineChars="200"/>
              <w:rPr>
                <w:rFonts w:hint="default" w:ascii="Times New Roman" w:hAnsi="Times New Roman" w:eastAsia="宋体" w:cs="Times New Roman"/>
                <w:b w:val="0"/>
                <w:bCs/>
                <w:color w:val="auto"/>
                <w:kern w:val="0"/>
                <w:sz w:val="24"/>
                <w:szCs w:val="24"/>
                <w:lang w:val="en-US" w:eastAsia="zh-CN" w:bidi="ar-SA"/>
              </w:rPr>
            </w:pPr>
            <w:r>
              <w:rPr>
                <w:rFonts w:hint="default" w:ascii="Times New Roman" w:hAnsi="Times New Roman" w:cs="Times New Roman"/>
                <w:color w:val="auto"/>
                <w:sz w:val="24"/>
                <w:szCs w:val="24"/>
                <w:highlight w:val="none"/>
                <w:lang w:val="en-US" w:eastAsia="zh-CN"/>
              </w:rPr>
              <w:t>根据《</w:t>
            </w:r>
            <w:r>
              <w:rPr>
                <w:rFonts w:hint="default" w:ascii="Times New Roman" w:hAnsi="Times New Roman" w:cs="Times New Roman"/>
                <w:color w:val="auto"/>
                <w:sz w:val="24"/>
                <w:szCs w:val="24"/>
                <w:highlight w:val="none"/>
              </w:rPr>
              <w:t>202</w:t>
            </w: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年黑龙江省生态环境</w:t>
            </w:r>
            <w:r>
              <w:rPr>
                <w:rFonts w:hint="default" w:ascii="Times New Roman" w:hAnsi="Times New Roman" w:cs="Times New Roman"/>
                <w:color w:val="auto"/>
                <w:sz w:val="24"/>
                <w:szCs w:val="24"/>
                <w:highlight w:val="none"/>
                <w:lang w:val="en-US" w:eastAsia="zh-CN"/>
              </w:rPr>
              <w:t>质量</w:t>
            </w:r>
            <w:r>
              <w:rPr>
                <w:rFonts w:hint="default" w:ascii="Times New Roman" w:hAnsi="Times New Roman" w:cs="Times New Roman"/>
                <w:color w:val="auto"/>
                <w:sz w:val="24"/>
                <w:szCs w:val="24"/>
                <w:highlight w:val="none"/>
              </w:rPr>
              <w:t>状况》（202</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年</w:t>
            </w: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月）</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鸡西市区域昼间声环境质量为二级，等效声级为53.6dB（A），道路交通昼间声环境质量为一级，等效声级为65.8dB（A），功能区昼间达标率100%，功能区夜间达标率100%。</w:t>
            </w:r>
            <w:r>
              <w:rPr>
                <w:rFonts w:hint="default" w:ascii="Times New Roman" w:hAnsi="Times New Roman" w:eastAsia="宋体" w:cs="Times New Roman"/>
                <w:color w:val="auto"/>
                <w:sz w:val="24"/>
                <w:szCs w:val="24"/>
                <w:highlight w:val="none"/>
                <w:lang w:val="en-US" w:eastAsia="zh-CN"/>
              </w:rPr>
              <w:t>区域声环境</w:t>
            </w:r>
            <w:r>
              <w:rPr>
                <w:rFonts w:hint="default" w:ascii="Times New Roman" w:hAnsi="Times New Roman" w:cs="Times New Roman"/>
                <w:color w:val="auto"/>
                <w:sz w:val="24"/>
                <w:szCs w:val="24"/>
                <w:highlight w:val="none"/>
                <w:lang w:val="en-US" w:eastAsia="zh-CN"/>
              </w:rPr>
              <w:t>满足</w:t>
            </w:r>
            <w:r>
              <w:rPr>
                <w:rFonts w:hint="default" w:ascii="Times New Roman" w:hAnsi="Times New Roman" w:eastAsia="宋体" w:cs="Times New Roman"/>
                <w:color w:val="auto"/>
                <w:sz w:val="24"/>
                <w:szCs w:val="24"/>
                <w:highlight w:val="none"/>
                <w:lang w:val="en-US" w:eastAsia="zh-CN"/>
              </w:rPr>
              <w:t>《声环境质量标准》（GB3096-2008）2类标准</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b w:val="0"/>
                <w:bCs/>
                <w:color w:val="auto"/>
                <w:kern w:val="0"/>
                <w:sz w:val="24"/>
                <w:szCs w:val="24"/>
                <w:lang w:val="en-US" w:eastAsia="zh-CN" w:bidi="ar-SA"/>
              </w:rPr>
              <w:t>本项目选址周围50m范围内无声环境保护目标，未进行声环境现状进行监测。</w:t>
            </w:r>
          </w:p>
          <w:p w14:paraId="6EA3B741">
            <w:pPr>
              <w:snapToGrid w:val="0"/>
              <w:spacing w:line="360" w:lineRule="auto"/>
              <w:rPr>
                <w:rFonts w:hint="default" w:ascii="Times New Roman" w:hAnsi="Times New Roman" w:cs="Times New Roman"/>
                <w:b/>
                <w:color w:val="auto"/>
                <w:sz w:val="24"/>
              </w:rPr>
            </w:pPr>
            <w:r>
              <w:rPr>
                <w:rFonts w:hint="default" w:ascii="Times New Roman" w:hAnsi="Times New Roman" w:cs="Times New Roman"/>
                <w:b/>
                <w:color w:val="auto"/>
                <w:sz w:val="24"/>
              </w:rPr>
              <w:t>4、生态环境</w:t>
            </w:r>
          </w:p>
          <w:p w14:paraId="3393DA62">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bCs/>
                <w:color w:val="auto"/>
                <w:kern w:val="0"/>
                <w:sz w:val="24"/>
              </w:rPr>
              <w:t>本项目</w:t>
            </w:r>
            <w:r>
              <w:rPr>
                <w:rFonts w:hint="default" w:ascii="Times New Roman" w:hAnsi="Times New Roman" w:cs="Times New Roman"/>
                <w:color w:val="auto"/>
                <w:spacing w:val="4"/>
                <w:sz w:val="24"/>
              </w:rPr>
              <w:t>占地面积</w:t>
            </w:r>
            <w:r>
              <w:rPr>
                <w:rFonts w:hint="default" w:ascii="Times New Roman" w:hAnsi="Times New Roman" w:cs="Times New Roman"/>
                <w:color w:val="auto"/>
                <w:sz w:val="24"/>
                <w:lang w:val="en-US" w:eastAsia="zh-CN"/>
              </w:rPr>
              <w:t>20700</w:t>
            </w:r>
            <w:r>
              <w:rPr>
                <w:rFonts w:hint="default" w:ascii="Times New Roman" w:hAnsi="Times New Roman" w:cs="Times New Roman"/>
                <w:color w:val="auto"/>
                <w:spacing w:val="4"/>
                <w:sz w:val="24"/>
              </w:rPr>
              <w:t>m</w:t>
            </w:r>
            <w:r>
              <w:rPr>
                <w:rFonts w:hint="default" w:ascii="Times New Roman" w:hAnsi="Times New Roman" w:cs="Times New Roman"/>
                <w:color w:val="auto"/>
                <w:spacing w:val="4"/>
                <w:sz w:val="24"/>
                <w:vertAlign w:val="superscript"/>
              </w:rPr>
              <w:t>2</w:t>
            </w:r>
            <w:r>
              <w:rPr>
                <w:rFonts w:hint="default" w:ascii="Times New Roman" w:hAnsi="Times New Roman" w:cs="Times New Roman"/>
                <w:bCs/>
                <w:color w:val="auto"/>
                <w:kern w:val="0"/>
                <w:sz w:val="24"/>
              </w:rPr>
              <w:t>，用地类型</w:t>
            </w:r>
            <w:r>
              <w:rPr>
                <w:rFonts w:hint="default" w:ascii="Times New Roman" w:hAnsi="Times New Roman" w:cs="Times New Roman"/>
                <w:bCs/>
                <w:color w:val="auto"/>
                <w:sz w:val="24"/>
              </w:rPr>
              <w:t>为</w:t>
            </w:r>
            <w:r>
              <w:rPr>
                <w:rFonts w:hint="default" w:ascii="Times New Roman" w:hAnsi="Times New Roman" w:cs="Times New Roman"/>
                <w:bCs/>
                <w:color w:val="auto"/>
                <w:sz w:val="24"/>
                <w:lang w:val="en-US" w:eastAsia="zh-CN"/>
              </w:rPr>
              <w:t>工业用地</w:t>
            </w:r>
            <w:r>
              <w:rPr>
                <w:rFonts w:hint="default" w:ascii="Times New Roman" w:hAnsi="Times New Roman" w:cs="Times New Roman"/>
                <w:bCs/>
                <w:color w:val="auto"/>
                <w:sz w:val="24"/>
              </w:rPr>
              <w:t>，</w:t>
            </w:r>
            <w:r>
              <w:rPr>
                <w:rFonts w:hint="default" w:ascii="Times New Roman" w:hAnsi="Times New Roman" w:cs="Times New Roman"/>
                <w:bCs/>
                <w:color w:val="auto"/>
                <w:kern w:val="0"/>
                <w:sz w:val="24"/>
              </w:rPr>
              <w:t>地表无植被覆盖，本项目周边无国家</w:t>
            </w:r>
            <w:r>
              <w:rPr>
                <w:rFonts w:hint="default" w:ascii="Times New Roman" w:hAnsi="Times New Roman" w:cs="Times New Roman"/>
                <w:color w:val="auto"/>
                <w:sz w:val="24"/>
              </w:rPr>
              <w:t>级、省级、市级名胜古迹、自然保护区，生态敏感、脆弱区，故本项目不开展生态环境现状调查。</w:t>
            </w:r>
          </w:p>
          <w:p w14:paraId="21CF5D2C">
            <w:pPr>
              <w:snapToGrid w:val="0"/>
              <w:spacing w:line="360" w:lineRule="auto"/>
              <w:rPr>
                <w:rFonts w:hint="default" w:ascii="Times New Roman" w:hAnsi="Times New Roman" w:cs="Times New Roman"/>
                <w:b/>
                <w:color w:val="auto"/>
                <w:sz w:val="24"/>
              </w:rPr>
            </w:pPr>
            <w:r>
              <w:rPr>
                <w:rFonts w:hint="default" w:ascii="Times New Roman" w:hAnsi="Times New Roman" w:cs="Times New Roman"/>
                <w:b/>
                <w:color w:val="auto"/>
                <w:sz w:val="24"/>
              </w:rPr>
              <w:t>5、地下水和土壤环境</w:t>
            </w:r>
          </w:p>
          <w:p w14:paraId="26FA1A41">
            <w:pPr>
              <w:pStyle w:val="2"/>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cs="Times New Roman"/>
                <w:lang w:val="en-US"/>
              </w:rPr>
            </w:pPr>
            <w:r>
              <w:rPr>
                <w:rFonts w:hint="default" w:ascii="Times New Roman" w:hAnsi="Times New Roman" w:cs="Times New Roman"/>
                <w:color w:val="auto"/>
                <w:kern w:val="0"/>
                <w:sz w:val="24"/>
              </w:rPr>
              <w:t>本项目属于</w:t>
            </w:r>
            <w:r>
              <w:rPr>
                <w:rFonts w:hint="default" w:ascii="Times New Roman" w:hAnsi="Times New Roman" w:cs="Times New Roman"/>
                <w:bCs/>
                <w:color w:val="auto"/>
                <w:kern w:val="0"/>
                <w:sz w:val="24"/>
              </w:rPr>
              <w:t>煤炭储存、集运项目</w:t>
            </w:r>
            <w:r>
              <w:rPr>
                <w:rFonts w:hint="default" w:ascii="Times New Roman" w:hAnsi="Times New Roman" w:cs="Times New Roman"/>
                <w:color w:val="auto"/>
                <w:kern w:val="0"/>
                <w:sz w:val="24"/>
              </w:rPr>
              <w:t>，</w:t>
            </w:r>
            <w:r>
              <w:rPr>
                <w:rFonts w:hint="default" w:ascii="Times New Roman" w:hAnsi="Times New Roman" w:cs="Times New Roman"/>
                <w:color w:val="auto"/>
                <w:kern w:val="0"/>
                <w:sz w:val="24"/>
                <w:lang w:val="en-US" w:eastAsia="zh-CN"/>
              </w:rPr>
              <w:t>厂区地面全部硬化，</w:t>
            </w:r>
            <w:r>
              <w:rPr>
                <w:rFonts w:hint="default" w:ascii="Times New Roman" w:hAnsi="Times New Roman" w:cs="Times New Roman"/>
                <w:color w:val="auto"/>
                <w:kern w:val="0"/>
                <w:sz w:val="24"/>
              </w:rPr>
              <w:t>不会对地下水产生影响，因此，不进行地下水环境质量现状监测。本项目废气不涉及重金属、持久性有机污染物，</w:t>
            </w:r>
            <w:r>
              <w:rPr>
                <w:rFonts w:hint="default" w:ascii="Times New Roman" w:hAnsi="Times New Roman" w:cs="Times New Roman"/>
                <w:color w:val="auto"/>
                <w:kern w:val="0"/>
                <w:sz w:val="24"/>
                <w:lang w:val="en-US" w:eastAsia="zh-CN"/>
              </w:rPr>
              <w:t>厂区路面全部水泥硬化，</w:t>
            </w:r>
            <w:r>
              <w:rPr>
                <w:rFonts w:hint="default" w:ascii="Times New Roman" w:hAnsi="Times New Roman" w:cs="Times New Roman"/>
                <w:color w:val="auto"/>
                <w:kern w:val="0"/>
                <w:sz w:val="24"/>
              </w:rPr>
              <w:t>无土壤污染途径</w:t>
            </w:r>
            <w:r>
              <w:rPr>
                <w:rFonts w:hint="default" w:ascii="Times New Roman" w:hAnsi="Times New Roman" w:cs="Times New Roman"/>
                <w:color w:val="auto"/>
                <w:kern w:val="0"/>
                <w:sz w:val="24"/>
                <w:lang w:eastAsia="zh-CN"/>
              </w:rPr>
              <w:t>。</w:t>
            </w:r>
            <w:r>
              <w:rPr>
                <w:rFonts w:hint="default" w:ascii="Times New Roman" w:hAnsi="Times New Roman" w:eastAsia="宋体" w:cs="Times New Roman"/>
                <w:color w:val="auto"/>
                <w:sz w:val="24"/>
              </w:rPr>
              <w:t>根据《建设项目环境影响报告表编制技术指南（污染影响类）（试行）》中的相关要求，本项目不需开展环境质量现状调查。</w:t>
            </w:r>
          </w:p>
        </w:tc>
      </w:tr>
      <w:tr w14:paraId="380FB0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780" w:hRule="atLeast"/>
          <w:jc w:val="center"/>
        </w:trPr>
        <w:tc>
          <w:tcPr>
            <w:tcW w:w="722" w:type="dxa"/>
            <w:vAlign w:val="center"/>
          </w:tcPr>
          <w:p w14:paraId="3F4FC839">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环境</w:t>
            </w:r>
          </w:p>
          <w:p w14:paraId="09F633DD">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保护</w:t>
            </w:r>
          </w:p>
          <w:p w14:paraId="278ACC0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highlight w:val="none"/>
              </w:rPr>
              <w:t>目标</w:t>
            </w:r>
          </w:p>
        </w:tc>
        <w:tc>
          <w:tcPr>
            <w:tcW w:w="8904" w:type="dxa"/>
            <w:vAlign w:val="center"/>
          </w:tcPr>
          <w:p w14:paraId="196606A3">
            <w:pPr>
              <w:pStyle w:val="30"/>
              <w:adjustRightInd w:val="0"/>
              <w:snapToGrid w:val="0"/>
              <w:spacing w:line="360" w:lineRule="auto"/>
              <w:ind w:left="0" w:leftChars="0" w:firstLine="0" w:firstLineChars="0"/>
              <w:rPr>
                <w:rFonts w:hint="default" w:ascii="Times New Roman" w:hAnsi="Times New Roman" w:eastAsia="宋体" w:cs="Times New Roman"/>
                <w:b/>
                <w:color w:val="auto"/>
                <w:kern w:val="2"/>
                <w:sz w:val="24"/>
                <w:szCs w:val="24"/>
                <w:lang w:val="en-US" w:eastAsia="zh-CN" w:bidi="ar-SA"/>
              </w:rPr>
            </w:pPr>
            <w:bookmarkStart w:id="31" w:name="_Hlk72490597"/>
            <w:r>
              <w:rPr>
                <w:rFonts w:hint="default" w:ascii="Times New Roman" w:hAnsi="Times New Roman" w:eastAsia="宋体" w:cs="Times New Roman"/>
                <w:b/>
                <w:color w:val="auto"/>
                <w:kern w:val="2"/>
                <w:sz w:val="24"/>
                <w:szCs w:val="24"/>
                <w:lang w:val="en-US" w:eastAsia="zh-CN" w:bidi="ar-SA"/>
              </w:rPr>
              <w:t>1、大气环境保护目标</w:t>
            </w:r>
          </w:p>
          <w:p w14:paraId="0473499D">
            <w:pPr>
              <w:spacing w:line="360" w:lineRule="auto"/>
              <w:ind w:firstLine="480" w:firstLineChars="200"/>
              <w:rPr>
                <w:rFonts w:hint="default" w:ascii="Times New Roman" w:hAnsi="Times New Roman" w:eastAsia="宋体" w:cs="Times New Roman"/>
                <w:snapToGrid w:val="0"/>
                <w:color w:val="auto"/>
                <w:kern w:val="2"/>
                <w:sz w:val="24"/>
                <w:szCs w:val="24"/>
                <w:highlight w:val="none"/>
                <w:lang w:val="en-US" w:eastAsia="zh-CN" w:bidi="ar-SA"/>
              </w:rPr>
            </w:pPr>
            <w:r>
              <w:rPr>
                <w:rFonts w:hint="default" w:ascii="Times New Roman" w:hAnsi="Times New Roman" w:eastAsia="宋体" w:cs="Times New Roman"/>
                <w:snapToGrid w:val="0"/>
                <w:color w:val="auto"/>
                <w:kern w:val="2"/>
                <w:sz w:val="24"/>
                <w:szCs w:val="24"/>
                <w:highlight w:val="none"/>
                <w:lang w:val="en-US" w:eastAsia="zh-CN" w:bidi="ar-SA"/>
              </w:rPr>
              <w:t>本项目厂界外500米范围内无自然保护区、风景名胜区、居住区、文化区和农村地区中人群较集中的区域等保护目标。</w:t>
            </w:r>
          </w:p>
          <w:p w14:paraId="70B23382">
            <w:pPr>
              <w:spacing w:line="360" w:lineRule="auto"/>
              <w:rPr>
                <w:rFonts w:hint="default" w:ascii="Times New Roman" w:hAnsi="Times New Roman" w:cs="Times New Roman" w:eastAsiaTheme="minorEastAsia"/>
                <w:b/>
                <w:bCs/>
                <w:color w:val="auto"/>
                <w:sz w:val="24"/>
              </w:rPr>
            </w:pPr>
            <w:r>
              <w:rPr>
                <w:rFonts w:hint="default" w:ascii="Times New Roman" w:hAnsi="Times New Roman" w:cs="Times New Roman" w:eastAsiaTheme="minorEastAsia"/>
                <w:b/>
                <w:bCs/>
                <w:color w:val="auto"/>
                <w:sz w:val="24"/>
              </w:rPr>
              <w:t>2、声环境保护目标</w:t>
            </w:r>
          </w:p>
          <w:p w14:paraId="362F2F74">
            <w:pPr>
              <w:keepLines w:val="0"/>
              <w:pageBreakBefore w:val="0"/>
              <w:topLinePunct w:val="0"/>
              <w:bidi w:val="0"/>
              <w:spacing w:beforeAutospacing="0" w:afterAutospacing="0" w:line="360" w:lineRule="auto"/>
              <w:ind w:right="0" w:rightChars="0" w:firstLine="480" w:firstLineChars="200"/>
              <w:rPr>
                <w:rFonts w:hint="default" w:ascii="Times New Roman" w:hAnsi="Times New Roman" w:cs="Times New Roman" w:eastAsiaTheme="minorEastAsia"/>
                <w:color w:val="auto"/>
                <w:sz w:val="24"/>
                <w:highlight w:val="none"/>
                <w:lang w:val="en-US" w:eastAsia="zh-CN"/>
              </w:rPr>
            </w:pPr>
            <w:r>
              <w:rPr>
                <w:rFonts w:hint="default" w:ascii="Times New Roman" w:hAnsi="Times New Roman" w:cs="Times New Roman" w:eastAsiaTheme="minorEastAsia"/>
                <w:color w:val="auto"/>
                <w:sz w:val="24"/>
                <w:highlight w:val="none"/>
                <w:lang w:val="en-US" w:eastAsia="zh-CN"/>
              </w:rPr>
              <w:t>本项目厂界外50m范围内无声环境保护目标。</w:t>
            </w:r>
          </w:p>
          <w:p w14:paraId="57D3F8B4">
            <w:pPr>
              <w:spacing w:line="360" w:lineRule="auto"/>
              <w:rPr>
                <w:rFonts w:hint="default" w:ascii="Times New Roman" w:hAnsi="Times New Roman" w:cs="Times New Roman" w:eastAsiaTheme="minorEastAsia"/>
                <w:b/>
                <w:bCs/>
                <w:color w:val="auto"/>
                <w:sz w:val="24"/>
              </w:rPr>
            </w:pPr>
            <w:r>
              <w:rPr>
                <w:rFonts w:hint="default" w:ascii="Times New Roman" w:hAnsi="Times New Roman" w:cs="Times New Roman" w:eastAsiaTheme="minorEastAsia"/>
                <w:b/>
                <w:bCs/>
                <w:color w:val="auto"/>
                <w:sz w:val="24"/>
              </w:rPr>
              <w:t>3、地下水环境保护目标</w:t>
            </w:r>
          </w:p>
          <w:p w14:paraId="1D2E60B2">
            <w:pPr>
              <w:spacing w:line="360" w:lineRule="auto"/>
              <w:ind w:firstLine="480" w:firstLineChars="200"/>
              <w:rPr>
                <w:rFonts w:hint="default" w:ascii="Times New Roman" w:hAnsi="Times New Roman" w:cs="Times New Roman" w:eastAsiaTheme="minorEastAsia"/>
                <w:color w:val="auto"/>
                <w:sz w:val="24"/>
                <w:lang w:val="en-US" w:eastAsia="zh-CN"/>
              </w:rPr>
            </w:pPr>
            <w:r>
              <w:rPr>
                <w:rFonts w:hint="default" w:ascii="Times New Roman" w:hAnsi="Times New Roman" w:eastAsia="宋体" w:cs="Times New Roman"/>
                <w:snapToGrid w:val="0"/>
                <w:color w:val="auto"/>
                <w:kern w:val="2"/>
                <w:sz w:val="24"/>
                <w:szCs w:val="24"/>
                <w:highlight w:val="none"/>
                <w:lang w:val="en-US" w:eastAsia="zh-CN" w:bidi="ar-SA"/>
              </w:rPr>
              <w:t>本项目厂界外500米范围内无地下水集中式饮用水水源和热水、矿泉水、温泉等特殊地下水资源。</w:t>
            </w:r>
          </w:p>
          <w:p w14:paraId="0FA3FDEF">
            <w:pPr>
              <w:spacing w:line="360" w:lineRule="auto"/>
              <w:rPr>
                <w:rFonts w:hint="default" w:ascii="Times New Roman" w:hAnsi="Times New Roman" w:cs="Times New Roman" w:eastAsiaTheme="minorEastAsia"/>
                <w:b/>
                <w:bCs/>
                <w:color w:val="auto"/>
                <w:sz w:val="24"/>
              </w:rPr>
            </w:pPr>
            <w:r>
              <w:rPr>
                <w:rFonts w:hint="default" w:ascii="Times New Roman" w:hAnsi="Times New Roman" w:cs="Times New Roman" w:eastAsiaTheme="minorEastAsia"/>
                <w:b/>
                <w:bCs/>
                <w:color w:val="auto"/>
                <w:sz w:val="24"/>
              </w:rPr>
              <w:t>4、生态环境保护目标</w:t>
            </w:r>
          </w:p>
          <w:p w14:paraId="2B816709">
            <w:pPr>
              <w:spacing w:line="360" w:lineRule="auto"/>
              <w:ind w:firstLine="480" w:firstLineChars="200"/>
              <w:rPr>
                <w:rFonts w:hint="default" w:ascii="Times New Roman" w:hAnsi="Times New Roman" w:cs="Times New Roman"/>
                <w:color w:val="auto"/>
                <w:kern w:val="0"/>
                <w:sz w:val="24"/>
                <w:szCs w:val="24"/>
                <w:highlight w:val="none"/>
                <w:lang w:val="en-US" w:eastAsia="zh-CN"/>
              </w:rPr>
            </w:pPr>
            <w:r>
              <w:rPr>
                <w:rFonts w:hint="default" w:ascii="Times New Roman" w:hAnsi="Times New Roman" w:eastAsia="宋体" w:cs="Times New Roman"/>
                <w:snapToGrid w:val="0"/>
                <w:color w:val="auto"/>
                <w:kern w:val="2"/>
                <w:sz w:val="24"/>
                <w:szCs w:val="24"/>
                <w:highlight w:val="none"/>
                <w:lang w:val="en-US" w:eastAsia="zh-CN" w:bidi="ar-SA"/>
              </w:rPr>
              <w:t>本项目占地范围内无特殊生态敏感区及重要生态敏感区等生态环境保护目标。</w:t>
            </w:r>
            <w:bookmarkEnd w:id="31"/>
          </w:p>
        </w:tc>
      </w:tr>
      <w:tr w14:paraId="644B75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722" w:type="dxa"/>
            <w:tcMar>
              <w:left w:w="28" w:type="dxa"/>
              <w:right w:w="28" w:type="dxa"/>
            </w:tcMar>
            <w:vAlign w:val="center"/>
          </w:tcPr>
          <w:p w14:paraId="2E70AD62">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污染</w:t>
            </w:r>
          </w:p>
          <w:p w14:paraId="42D3FE59">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物排</w:t>
            </w:r>
          </w:p>
          <w:p w14:paraId="115DE9FF">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放控</w:t>
            </w:r>
          </w:p>
          <w:p w14:paraId="32FDEC7D">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制标</w:t>
            </w:r>
          </w:p>
          <w:p w14:paraId="7E07E13A">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准</w:t>
            </w:r>
          </w:p>
        </w:tc>
        <w:tc>
          <w:tcPr>
            <w:tcW w:w="8904" w:type="dxa"/>
            <w:vAlign w:val="center"/>
          </w:tcPr>
          <w:p w14:paraId="5207A33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bCs/>
                <w:color w:val="auto"/>
                <w:kern w:val="0"/>
                <w:sz w:val="24"/>
                <w:highlight w:val="none"/>
                <w:lang w:val="en-US" w:eastAsia="zh-CN"/>
              </w:rPr>
            </w:pPr>
            <w:r>
              <w:rPr>
                <w:rFonts w:hint="default" w:ascii="Times New Roman" w:hAnsi="Times New Roman" w:eastAsia="宋体" w:cs="Times New Roman"/>
                <w:b/>
                <w:bCs/>
                <w:color w:val="auto"/>
                <w:kern w:val="0"/>
                <w:sz w:val="24"/>
                <w:szCs w:val="24"/>
                <w:lang w:val="en-US" w:eastAsia="zh-CN" w:bidi="ar-SA"/>
              </w:rPr>
              <w:t>1、</w:t>
            </w:r>
            <w:r>
              <w:rPr>
                <w:rFonts w:hint="default" w:ascii="Times New Roman" w:hAnsi="Times New Roman" w:cs="Times New Roman"/>
                <w:b/>
                <w:bCs/>
                <w:color w:val="auto"/>
                <w:kern w:val="0"/>
                <w:sz w:val="24"/>
                <w:highlight w:val="none"/>
                <w:lang w:val="en-US" w:eastAsia="zh-CN"/>
              </w:rPr>
              <w:t>废气</w:t>
            </w:r>
          </w:p>
          <w:p w14:paraId="29C4862F">
            <w:pPr>
              <w:keepNext w:val="0"/>
              <w:keepLines w:val="0"/>
              <w:pageBreakBefore w:val="0"/>
              <w:widowControl w:val="0"/>
              <w:kinsoku/>
              <w:wordWrap w:val="0"/>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bCs/>
                <w:color w:val="auto"/>
                <w:sz w:val="24"/>
              </w:rPr>
              <w:t>本项目</w:t>
            </w:r>
            <w:r>
              <w:rPr>
                <w:rFonts w:hint="default" w:ascii="Times New Roman" w:hAnsi="Times New Roman" w:cs="Times New Roman"/>
                <w:bCs/>
                <w:color w:val="auto"/>
                <w:sz w:val="24"/>
                <w:lang w:val="en-US" w:eastAsia="zh-CN"/>
              </w:rPr>
              <w:t>施工期无组织</w:t>
            </w:r>
            <w:r>
              <w:rPr>
                <w:rFonts w:hint="default" w:ascii="Times New Roman" w:hAnsi="Times New Roman" w:cs="Times New Roman"/>
                <w:bCs/>
                <w:color w:val="auto"/>
                <w:sz w:val="24"/>
              </w:rPr>
              <w:t>颗粒物执行《大气污染物综合排放标准》（GB16297-1996）表2中无组织排放监控浓度限值</w:t>
            </w:r>
            <w:r>
              <w:rPr>
                <w:rFonts w:hint="default" w:ascii="Times New Roman" w:hAnsi="Times New Roman" w:cs="Times New Roman"/>
                <w:color w:val="auto"/>
                <w:sz w:val="24"/>
              </w:rPr>
              <w:t>要求</w:t>
            </w:r>
            <w:r>
              <w:rPr>
                <w:rFonts w:hint="default" w:ascii="Times New Roman" w:hAnsi="Times New Roman" w:cs="Times New Roman"/>
                <w:color w:val="auto"/>
                <w:sz w:val="24"/>
                <w:lang w:eastAsia="zh-CN"/>
              </w:rPr>
              <w:t>，</w:t>
            </w:r>
            <w:r>
              <w:rPr>
                <w:rFonts w:hint="default" w:ascii="Times New Roman" w:hAnsi="Times New Roman" w:cs="Times New Roman"/>
                <w:bCs/>
                <w:color w:val="auto"/>
                <w:sz w:val="24"/>
                <w:lang w:val="en-US" w:eastAsia="zh-CN"/>
              </w:rPr>
              <w:t>运营期无组织颗粒物执行《煤炭工业污染物排放标准》（</w:t>
            </w:r>
            <w:r>
              <w:rPr>
                <w:rFonts w:hint="default" w:ascii="Times New Roman" w:hAnsi="Times New Roman" w:cs="Times New Roman"/>
                <w:bCs/>
                <w:color w:val="auto"/>
                <w:sz w:val="24"/>
              </w:rPr>
              <w:t>GB20426-2006</w:t>
            </w:r>
            <w:r>
              <w:rPr>
                <w:rFonts w:hint="default" w:ascii="Times New Roman" w:hAnsi="Times New Roman" w:cs="Times New Roman"/>
                <w:bCs/>
                <w:color w:val="auto"/>
                <w:sz w:val="24"/>
                <w:lang w:val="en-US" w:eastAsia="zh-CN"/>
              </w:rPr>
              <w:t>）表5煤炭工业无组织排放限值</w:t>
            </w:r>
            <w:r>
              <w:rPr>
                <w:rFonts w:hint="default" w:ascii="Times New Roman" w:hAnsi="Times New Roman" w:cs="Times New Roman"/>
                <w:color w:val="auto"/>
                <w:sz w:val="24"/>
              </w:rPr>
              <w:t>。</w:t>
            </w:r>
            <w:r>
              <w:rPr>
                <w:rFonts w:hint="default" w:ascii="Times New Roman" w:hAnsi="Times New Roman" w:cs="Times New Roman"/>
                <w:bCs/>
                <w:color w:val="auto"/>
                <w:sz w:val="24"/>
                <w:lang w:val="en-US" w:eastAsia="zh-CN"/>
              </w:rPr>
              <w:t>大气污染物综合排放标准</w:t>
            </w:r>
            <w:r>
              <w:rPr>
                <w:rFonts w:hint="default" w:ascii="Times New Roman" w:hAnsi="Times New Roman" w:cs="Times New Roman"/>
                <w:bCs/>
                <w:color w:val="auto"/>
                <w:sz w:val="24"/>
              </w:rPr>
              <w:t>见表3-</w:t>
            </w:r>
            <w:r>
              <w:rPr>
                <w:rFonts w:hint="default" w:ascii="Times New Roman" w:hAnsi="Times New Roman" w:cs="Times New Roman"/>
                <w:bCs/>
                <w:color w:val="auto"/>
                <w:sz w:val="24"/>
                <w:lang w:val="en-US" w:eastAsia="zh-CN"/>
              </w:rPr>
              <w:t>2，煤炭工业污染物排放标准见表3-3</w:t>
            </w:r>
            <w:r>
              <w:rPr>
                <w:rFonts w:hint="default" w:ascii="Times New Roman" w:hAnsi="Times New Roman" w:cs="Times New Roman"/>
                <w:bCs/>
                <w:color w:val="auto"/>
                <w:sz w:val="24"/>
              </w:rPr>
              <w:t>。</w:t>
            </w:r>
          </w:p>
          <w:p w14:paraId="11D3838D">
            <w:pPr>
              <w:pStyle w:val="56"/>
              <w:rPr>
                <w:rFonts w:hint="default" w:ascii="Times New Roman" w:hAnsi="Times New Roman" w:cs="Times New Roman"/>
                <w:bCs/>
                <w:color w:val="auto"/>
                <w:kern w:val="2"/>
                <w:sz w:val="24"/>
                <w:szCs w:val="24"/>
              </w:rPr>
            </w:pPr>
            <w:r>
              <w:rPr>
                <w:rFonts w:hint="default" w:ascii="Times New Roman" w:hAnsi="Times New Roman" w:cs="Times New Roman"/>
                <w:bCs/>
                <w:color w:val="auto"/>
                <w:kern w:val="2"/>
                <w:sz w:val="24"/>
                <w:szCs w:val="24"/>
              </w:rPr>
              <w:t>表3-</w:t>
            </w:r>
            <w:r>
              <w:rPr>
                <w:rFonts w:hint="default" w:ascii="Times New Roman" w:hAnsi="Times New Roman" w:cs="Times New Roman"/>
                <w:bCs/>
                <w:color w:val="auto"/>
                <w:kern w:val="2"/>
                <w:sz w:val="24"/>
                <w:szCs w:val="24"/>
                <w:lang w:val="en-US" w:eastAsia="zh-CN"/>
              </w:rPr>
              <w:t>2</w:t>
            </w:r>
            <w:r>
              <w:rPr>
                <w:rFonts w:hint="default" w:ascii="Times New Roman" w:hAnsi="Times New Roman" w:cs="Times New Roman"/>
                <w:bCs/>
                <w:color w:val="auto"/>
                <w:kern w:val="2"/>
                <w:sz w:val="24"/>
                <w:szCs w:val="24"/>
              </w:rPr>
              <w:t xml:space="preserve">  大气污染物综合排放标准</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38"/>
              <w:gridCol w:w="4378"/>
            </w:tblGrid>
            <w:tr w14:paraId="5E4417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598" w:type="pct"/>
                  <w:vAlign w:val="center"/>
                </w:tcPr>
                <w:p w14:paraId="25C69C8F">
                  <w:pPr>
                    <w:spacing w:line="240" w:lineRule="auto"/>
                    <w:jc w:val="center"/>
                    <w:rPr>
                      <w:rFonts w:hint="default" w:ascii="Times New Roman" w:hAnsi="Times New Roman" w:cs="Times New Roman"/>
                      <w:b/>
                      <w:bCs/>
                      <w:color w:val="auto"/>
                      <w:szCs w:val="21"/>
                    </w:rPr>
                  </w:pPr>
                  <w:r>
                    <w:rPr>
                      <w:rFonts w:hint="default" w:ascii="Times New Roman" w:hAnsi="Times New Roman" w:cs="Times New Roman"/>
                      <w:color w:val="auto"/>
                    </w:rPr>
                    <w:t>二级</w:t>
                  </w:r>
                </w:p>
              </w:tc>
              <w:tc>
                <w:tcPr>
                  <w:tcW w:w="2401" w:type="pct"/>
                  <w:vMerge w:val="restart"/>
                  <w:vAlign w:val="center"/>
                </w:tcPr>
                <w:p w14:paraId="01888968">
                  <w:pPr>
                    <w:spacing w:line="240" w:lineRule="auto"/>
                    <w:jc w:val="center"/>
                    <w:rPr>
                      <w:rFonts w:hint="default" w:ascii="Times New Roman" w:hAnsi="Times New Roman" w:cs="Times New Roman"/>
                      <w:b/>
                      <w:bCs/>
                      <w:color w:val="auto"/>
                      <w:szCs w:val="21"/>
                    </w:rPr>
                  </w:pPr>
                  <w:r>
                    <w:rPr>
                      <w:rFonts w:hint="default" w:ascii="Times New Roman" w:hAnsi="Times New Roman" w:cs="Times New Roman"/>
                      <w:color w:val="auto"/>
                    </w:rPr>
                    <w:t>无组织排放监控浓度限值（mg/m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tc>
            </w:tr>
            <w:tr w14:paraId="2DFD9A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598" w:type="pct"/>
                  <w:tcBorders>
                    <w:tl2br w:val="single" w:color="auto" w:sz="4" w:space="0"/>
                  </w:tcBorders>
                  <w:vAlign w:val="center"/>
                </w:tcPr>
                <w:p w14:paraId="23F98DE6">
                  <w:pPr>
                    <w:spacing w:line="240" w:lineRule="auto"/>
                    <w:jc w:val="right"/>
                    <w:rPr>
                      <w:rFonts w:hint="default" w:ascii="Times New Roman" w:hAnsi="Times New Roman" w:cs="Times New Roman"/>
                      <w:color w:val="auto"/>
                    </w:rPr>
                  </w:pPr>
                  <w:r>
                    <w:rPr>
                      <w:rFonts w:hint="default" w:ascii="Times New Roman" w:hAnsi="Times New Roman" w:cs="Times New Roman"/>
                      <w:color w:val="auto"/>
                    </w:rPr>
                    <w:t>指标</w:t>
                  </w:r>
                </w:p>
                <w:p w14:paraId="60A1DD14">
                  <w:pPr>
                    <w:pStyle w:val="2"/>
                    <w:spacing w:line="240" w:lineRule="auto"/>
                    <w:jc w:val="left"/>
                    <w:rPr>
                      <w:rFonts w:hint="default" w:ascii="Times New Roman" w:hAnsi="Times New Roman" w:cs="Times New Roman"/>
                      <w:color w:val="auto"/>
                      <w:szCs w:val="21"/>
                    </w:rPr>
                  </w:pPr>
                  <w:r>
                    <w:rPr>
                      <w:rFonts w:hint="default" w:ascii="Times New Roman" w:hAnsi="Times New Roman" w:eastAsia="宋体" w:cs="Times New Roman"/>
                      <w:color w:val="auto"/>
                      <w:sz w:val="21"/>
                    </w:rPr>
                    <w:t>污染物</w:t>
                  </w:r>
                </w:p>
              </w:tc>
              <w:tc>
                <w:tcPr>
                  <w:tcW w:w="2401" w:type="pct"/>
                  <w:vMerge w:val="continue"/>
                  <w:vAlign w:val="center"/>
                </w:tcPr>
                <w:p w14:paraId="5C423113">
                  <w:pPr>
                    <w:spacing w:line="240" w:lineRule="auto"/>
                    <w:jc w:val="center"/>
                    <w:rPr>
                      <w:rFonts w:hint="default" w:ascii="Times New Roman" w:hAnsi="Times New Roman" w:cs="Times New Roman"/>
                      <w:color w:val="auto"/>
                      <w:szCs w:val="21"/>
                    </w:rPr>
                  </w:pPr>
                </w:p>
              </w:tc>
            </w:tr>
            <w:tr w14:paraId="167FE3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2598" w:type="pct"/>
                  <w:vAlign w:val="center"/>
                </w:tcPr>
                <w:p w14:paraId="4C44BED8">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kern w:val="0"/>
                    </w:rPr>
                    <w:t>颗粒物</w:t>
                  </w:r>
                </w:p>
              </w:tc>
              <w:tc>
                <w:tcPr>
                  <w:tcW w:w="2401" w:type="pct"/>
                  <w:vAlign w:val="center"/>
                </w:tcPr>
                <w:p w14:paraId="242ABACA">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rPr>
                    <w:t>1.0</w:t>
                  </w:r>
                </w:p>
              </w:tc>
            </w:tr>
          </w:tbl>
          <w:p w14:paraId="512E65AC">
            <w:pPr>
              <w:tabs>
                <w:tab w:val="left" w:pos="2397"/>
              </w:tabs>
              <w:spacing w:line="360" w:lineRule="auto"/>
              <w:ind w:firstLine="480" w:firstLineChars="200"/>
              <w:rPr>
                <w:rFonts w:hint="default" w:ascii="Times New Roman" w:hAnsi="Times New Roman" w:eastAsia="宋体" w:cs="Times New Roman"/>
                <w:color w:val="auto"/>
                <w:sz w:val="24"/>
              </w:rPr>
            </w:pPr>
          </w:p>
          <w:p w14:paraId="5C81EF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b/>
                <w:bCs w:val="0"/>
                <w:color w:val="auto"/>
                <w:kern w:val="2"/>
                <w:sz w:val="24"/>
                <w:szCs w:val="24"/>
                <w:highlight w:val="none"/>
                <w:lang w:val="en-US" w:eastAsia="zh-CN" w:bidi="ar-SA"/>
              </w:rPr>
            </w:pPr>
            <w:r>
              <w:rPr>
                <w:rFonts w:hint="default" w:ascii="Times New Roman" w:hAnsi="Times New Roman" w:cs="Times New Roman" w:eastAsiaTheme="minorEastAsia"/>
                <w:b/>
                <w:bCs w:val="0"/>
                <w:color w:val="auto"/>
                <w:kern w:val="2"/>
                <w:sz w:val="24"/>
                <w:szCs w:val="24"/>
                <w:highlight w:val="none"/>
                <w:lang w:val="en-US" w:eastAsia="zh-CN" w:bidi="ar-SA"/>
              </w:rPr>
              <w:t xml:space="preserve">表3-3 </w:t>
            </w:r>
            <w:r>
              <w:rPr>
                <w:rFonts w:hint="eastAsia" w:ascii="宋体" w:hAnsi="宋体" w:eastAsia="宋体" w:cs="宋体"/>
                <w:b/>
                <w:bCs w:val="0"/>
                <w:color w:val="auto"/>
                <w:kern w:val="2"/>
                <w:sz w:val="24"/>
                <w:szCs w:val="24"/>
                <w:highlight w:val="none"/>
                <w:lang w:val="en-US" w:eastAsia="zh-CN" w:bidi="ar-SA"/>
              </w:rPr>
              <w:t>煤炭工业无组织排放限值</w:t>
            </w:r>
          </w:p>
          <w:tbl>
            <w:tblPr>
              <w:tblStyle w:val="20"/>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66"/>
              <w:gridCol w:w="3633"/>
              <w:gridCol w:w="3619"/>
            </w:tblGrid>
            <w:tr w14:paraId="06547C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757" w:hRule="atLeast"/>
                <w:tblHeader/>
                <w:jc w:val="center"/>
              </w:trPr>
              <w:tc>
                <w:tcPr>
                  <w:tcW w:w="1023" w:type="pct"/>
                  <w:tcBorders>
                    <w:bottom w:val="single" w:color="000000" w:sz="8" w:space="0"/>
                    <w:right w:val="single" w:color="000000" w:sz="8" w:space="0"/>
                    <w:tl2br w:val="nil"/>
                    <w:tr2bl w:val="nil"/>
                  </w:tcBorders>
                  <w:shd w:val="clear" w:color="auto" w:fill="FFFFFF"/>
                  <w:vAlign w:val="center"/>
                </w:tcPr>
                <w:p w14:paraId="5DA5EBBB">
                  <w:pPr>
                    <w:pStyle w:val="40"/>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污染物</w:t>
                  </w:r>
                </w:p>
              </w:tc>
              <w:tc>
                <w:tcPr>
                  <w:tcW w:w="1992" w:type="pct"/>
                  <w:tcBorders>
                    <w:left w:val="single" w:color="000000" w:sz="8" w:space="0"/>
                    <w:bottom w:val="single" w:color="000000" w:sz="8" w:space="0"/>
                    <w:right w:val="single" w:color="000000" w:sz="8" w:space="0"/>
                    <w:tl2br w:val="nil"/>
                    <w:tr2bl w:val="nil"/>
                  </w:tcBorders>
                  <w:shd w:val="clear" w:color="auto" w:fill="FFFFFF"/>
                  <w:vAlign w:val="center"/>
                </w:tcPr>
                <w:p w14:paraId="5C69C654">
                  <w:pPr>
                    <w:pStyle w:val="40"/>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煤炭工业装卸场所无组织排放限值</w:t>
                  </w:r>
                  <w:r>
                    <w:rPr>
                      <w:rFonts w:hint="default" w:ascii="Times New Roman" w:hAnsi="Times New Roman" w:cs="Times New Roman"/>
                      <w:b w:val="0"/>
                      <w:bCs w:val="0"/>
                      <w:color w:val="auto"/>
                      <w:szCs w:val="21"/>
                      <w:lang w:eastAsia="zh-CN"/>
                    </w:rPr>
                    <w:t>（</w:t>
                  </w:r>
                  <w:r>
                    <w:rPr>
                      <w:rFonts w:hint="default" w:ascii="Times New Roman" w:hAnsi="Times New Roman" w:eastAsia="宋体" w:cs="Times New Roman"/>
                      <w:b w:val="0"/>
                      <w:bCs w:val="0"/>
                      <w:color w:val="auto"/>
                      <w:szCs w:val="21"/>
                    </w:rPr>
                    <w:t>mg/Nm</w:t>
                  </w:r>
                  <w:r>
                    <w:rPr>
                      <w:rFonts w:hint="default" w:ascii="Times New Roman" w:hAnsi="Times New Roman" w:eastAsia="宋体" w:cs="Times New Roman"/>
                      <w:b w:val="0"/>
                      <w:bCs w:val="0"/>
                      <w:color w:val="auto"/>
                      <w:szCs w:val="21"/>
                      <w:vertAlign w:val="superscript"/>
                    </w:rPr>
                    <w:t>3</w:t>
                  </w:r>
                  <w:r>
                    <w:rPr>
                      <w:rFonts w:hint="default" w:ascii="Times New Roman" w:hAnsi="Times New Roman" w:cs="Times New Roman"/>
                      <w:b w:val="0"/>
                      <w:bCs w:val="0"/>
                      <w:color w:val="auto"/>
                      <w:szCs w:val="21"/>
                      <w:vertAlign w:val="baseline"/>
                      <w:lang w:eastAsia="zh-CN"/>
                    </w:rPr>
                    <w:t>）</w:t>
                  </w:r>
                </w:p>
              </w:tc>
              <w:tc>
                <w:tcPr>
                  <w:tcW w:w="1984" w:type="pct"/>
                  <w:tcBorders>
                    <w:left w:val="single" w:color="000000" w:sz="8" w:space="0"/>
                    <w:bottom w:val="single" w:color="000000" w:sz="8" w:space="0"/>
                    <w:tl2br w:val="nil"/>
                    <w:tr2bl w:val="nil"/>
                  </w:tcBorders>
                  <w:shd w:val="clear" w:color="auto" w:fill="FFFFFF"/>
                  <w:vAlign w:val="center"/>
                </w:tcPr>
                <w:p w14:paraId="47AB3438">
                  <w:pPr>
                    <w:pStyle w:val="40"/>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煤炭贮存场所、煤矸石堆放场无组织排放限值</w:t>
                  </w:r>
                  <w:r>
                    <w:rPr>
                      <w:rFonts w:hint="default" w:ascii="Times New Roman" w:hAnsi="Times New Roman" w:cs="Times New Roman"/>
                      <w:b w:val="0"/>
                      <w:bCs w:val="0"/>
                      <w:color w:val="auto"/>
                      <w:szCs w:val="21"/>
                      <w:lang w:eastAsia="zh-CN"/>
                    </w:rPr>
                    <w:t>（</w:t>
                  </w:r>
                  <w:r>
                    <w:rPr>
                      <w:rFonts w:hint="default" w:ascii="Times New Roman" w:hAnsi="Times New Roman" w:eastAsia="宋体" w:cs="Times New Roman"/>
                      <w:b w:val="0"/>
                      <w:bCs w:val="0"/>
                      <w:color w:val="auto"/>
                      <w:szCs w:val="21"/>
                    </w:rPr>
                    <w:t>mg/Nm</w:t>
                  </w:r>
                  <w:r>
                    <w:rPr>
                      <w:rFonts w:hint="default" w:ascii="Times New Roman" w:hAnsi="Times New Roman" w:eastAsia="宋体" w:cs="Times New Roman"/>
                      <w:b w:val="0"/>
                      <w:bCs w:val="0"/>
                      <w:color w:val="auto"/>
                      <w:szCs w:val="21"/>
                      <w:vertAlign w:val="superscript"/>
                    </w:rPr>
                    <w:t>3</w:t>
                  </w:r>
                  <w:r>
                    <w:rPr>
                      <w:rFonts w:hint="default" w:ascii="Times New Roman" w:hAnsi="Times New Roman" w:cs="Times New Roman"/>
                      <w:b w:val="0"/>
                      <w:bCs w:val="0"/>
                      <w:color w:val="auto"/>
                      <w:szCs w:val="21"/>
                      <w:vertAlign w:val="baseline"/>
                      <w:lang w:eastAsia="zh-CN"/>
                    </w:rPr>
                    <w:t>）</w:t>
                  </w:r>
                </w:p>
              </w:tc>
            </w:tr>
            <w:tr w14:paraId="367FCA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7" w:hRule="atLeast"/>
                <w:jc w:val="center"/>
              </w:trPr>
              <w:tc>
                <w:tcPr>
                  <w:tcW w:w="1023" w:type="pct"/>
                  <w:tcBorders>
                    <w:top w:val="single" w:color="000000" w:sz="8" w:space="0"/>
                    <w:right w:val="single" w:color="000000" w:sz="8" w:space="0"/>
                    <w:tl2br w:val="nil"/>
                    <w:tr2bl w:val="nil"/>
                  </w:tcBorders>
                  <w:shd w:val="clear" w:color="auto" w:fill="FFFFFF"/>
                  <w:vAlign w:val="center"/>
                </w:tcPr>
                <w:p w14:paraId="0C865D39">
                  <w:pPr>
                    <w:pStyle w:val="40"/>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颗粒物</w:t>
                  </w:r>
                </w:p>
              </w:tc>
              <w:tc>
                <w:tcPr>
                  <w:tcW w:w="1992" w:type="pct"/>
                  <w:tcBorders>
                    <w:top w:val="single" w:color="000000" w:sz="8" w:space="0"/>
                    <w:left w:val="single" w:color="000000" w:sz="8" w:space="0"/>
                    <w:right w:val="single" w:color="000000" w:sz="8" w:space="0"/>
                    <w:tl2br w:val="nil"/>
                    <w:tr2bl w:val="nil"/>
                  </w:tcBorders>
                  <w:shd w:val="clear" w:color="auto" w:fill="FFFFFF"/>
                  <w:vAlign w:val="center"/>
                </w:tcPr>
                <w:p w14:paraId="5F8E2D90">
                  <w:pPr>
                    <w:pStyle w:val="40"/>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1.0</w:t>
                  </w:r>
                </w:p>
              </w:tc>
              <w:tc>
                <w:tcPr>
                  <w:tcW w:w="1984" w:type="pct"/>
                  <w:tcBorders>
                    <w:top w:val="single" w:color="000000" w:sz="8" w:space="0"/>
                    <w:left w:val="single" w:color="000000" w:sz="8" w:space="0"/>
                    <w:tl2br w:val="nil"/>
                    <w:tr2bl w:val="nil"/>
                  </w:tcBorders>
                  <w:shd w:val="clear" w:color="auto" w:fill="FFFFFF"/>
                  <w:vAlign w:val="center"/>
                </w:tcPr>
                <w:p w14:paraId="29B623B5">
                  <w:pPr>
                    <w:pStyle w:val="40"/>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1.0</w:t>
                  </w:r>
                </w:p>
              </w:tc>
            </w:tr>
          </w:tbl>
          <w:p w14:paraId="1004284D">
            <w:pPr>
              <w:keepNext w:val="0"/>
              <w:keepLines w:val="0"/>
              <w:pageBreakBefore w:val="0"/>
              <w:widowControl w:val="0"/>
              <w:numPr>
                <w:ilvl w:val="0"/>
                <w:numId w:val="1"/>
              </w:numPr>
              <w:kinsoku/>
              <w:wordWrap/>
              <w:overflowPunct/>
              <w:topLinePunct w:val="0"/>
              <w:autoSpaceDE/>
              <w:autoSpaceDN/>
              <w:bidi w:val="0"/>
              <w:adjustRightInd w:val="0"/>
              <w:snapToGrid w:val="0"/>
              <w:spacing w:line="400" w:lineRule="exact"/>
              <w:textAlignment w:val="auto"/>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rPr>
              <w:t>废水</w:t>
            </w:r>
          </w:p>
          <w:p w14:paraId="1A228B5E">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ind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本项目无生产废水，生活污水排入防渗旱厕，定期清掏外运。</w:t>
            </w:r>
          </w:p>
          <w:p w14:paraId="2A659358">
            <w:pPr>
              <w:pStyle w:val="35"/>
              <w:autoSpaceDE w:val="0"/>
              <w:autoSpaceDN w:val="0"/>
              <w:spacing w:line="360" w:lineRule="auto"/>
              <w:jc w:val="both"/>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rPr>
              <w:t>3、</w:t>
            </w:r>
            <w:r>
              <w:rPr>
                <w:rFonts w:hint="default" w:ascii="Times New Roman" w:hAnsi="Times New Roman" w:eastAsia="宋体" w:cs="Times New Roman"/>
                <w:b/>
                <w:bCs/>
                <w:color w:val="auto"/>
                <w:kern w:val="0"/>
                <w:sz w:val="24"/>
                <w:szCs w:val="24"/>
                <w:highlight w:val="none"/>
                <w:lang w:val="en-US" w:eastAsia="zh-CN" w:bidi="ar-SA"/>
              </w:rPr>
              <w:t>噪声</w:t>
            </w:r>
          </w:p>
          <w:p w14:paraId="3A0D213D">
            <w:pPr>
              <w:pStyle w:val="35"/>
              <w:autoSpaceDE w:val="0"/>
              <w:autoSpaceDN w:val="0"/>
              <w:spacing w:line="360" w:lineRule="auto"/>
              <w:ind w:firstLine="480" w:firstLineChars="200"/>
              <w:jc w:val="both"/>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color w:val="auto"/>
                <w:kern w:val="0"/>
                <w:sz w:val="24"/>
                <w:szCs w:val="24"/>
                <w:lang w:val="en-US" w:eastAsia="zh-CN" w:bidi="ar-SA"/>
              </w:rPr>
              <w:t>施工期执行《建筑施工场界环境噪声排放标准》（GB12523-2011）；项目厂界噪声执行《工业企业厂界环境噪声排放标准》（GB12348-2008）中的2类标准，标准值见表3-4。</w:t>
            </w:r>
            <w:bookmarkStart w:id="32" w:name="_Ref196743448"/>
          </w:p>
          <w:p w14:paraId="041A39BF">
            <w:pPr>
              <w:adjustRightInd w:val="0"/>
              <w:snapToGrid w:val="0"/>
              <w:jc w:val="center"/>
              <w:rPr>
                <w:rFonts w:hint="default" w:ascii="Times New Roman" w:hAnsi="Times New Roman" w:cs="Times New Roman"/>
                <w:b/>
                <w:bCs/>
                <w:color w:val="auto"/>
                <w:kern w:val="0"/>
                <w:sz w:val="24"/>
                <w:szCs w:val="24"/>
                <w:highlight w:val="none"/>
              </w:rPr>
            </w:pPr>
            <w:r>
              <w:rPr>
                <w:rFonts w:hint="default" w:ascii="Times New Roman" w:hAnsi="Times New Roman" w:eastAsia="宋体" w:cs="Times New Roman"/>
                <w:b/>
                <w:bCs/>
                <w:color w:val="auto"/>
                <w:kern w:val="2"/>
                <w:sz w:val="24"/>
                <w:szCs w:val="24"/>
                <w:highlight w:val="none"/>
                <w:lang w:val="en-US" w:eastAsia="zh-CN" w:bidi="ar-SA"/>
              </w:rPr>
              <w:t>表</w:t>
            </w:r>
            <w:bookmarkEnd w:id="32"/>
            <w:r>
              <w:rPr>
                <w:rFonts w:hint="default" w:ascii="Times New Roman" w:hAnsi="Times New Roman" w:eastAsia="宋体" w:cs="Times New Roman"/>
                <w:b/>
                <w:bCs/>
                <w:color w:val="auto"/>
                <w:kern w:val="2"/>
                <w:sz w:val="24"/>
                <w:szCs w:val="24"/>
                <w:highlight w:val="none"/>
                <w:lang w:val="en-US" w:eastAsia="zh-CN" w:bidi="ar-SA"/>
              </w:rPr>
              <w:t>3-</w:t>
            </w:r>
            <w:r>
              <w:rPr>
                <w:rFonts w:hint="default" w:ascii="Times New Roman" w:hAnsi="Times New Roman" w:cs="Times New Roman"/>
                <w:b/>
                <w:bCs/>
                <w:color w:val="auto"/>
                <w:kern w:val="2"/>
                <w:sz w:val="24"/>
                <w:szCs w:val="24"/>
                <w:highlight w:val="none"/>
                <w:lang w:val="en-US" w:eastAsia="zh-CN" w:bidi="ar-SA"/>
              </w:rPr>
              <w:t>4</w:t>
            </w:r>
            <w:r>
              <w:rPr>
                <w:rFonts w:hint="default" w:ascii="Times New Roman" w:hAnsi="Times New Roman" w:eastAsia="宋体" w:cs="Times New Roman"/>
                <w:b/>
                <w:bCs/>
                <w:color w:val="auto"/>
                <w:kern w:val="2"/>
                <w:sz w:val="24"/>
                <w:szCs w:val="24"/>
                <w:highlight w:val="none"/>
                <w:lang w:val="en-US" w:eastAsia="zh-CN" w:bidi="ar-SA"/>
              </w:rPr>
              <w:t xml:space="preserve"> 噪声排放标准</w:t>
            </w:r>
            <w:r>
              <w:rPr>
                <w:rFonts w:hint="default" w:ascii="Times New Roman" w:hAnsi="Times New Roman" w:cs="Times New Roman"/>
                <w:b/>
                <w:bCs/>
                <w:color w:val="auto"/>
                <w:kern w:val="0"/>
                <w:sz w:val="24"/>
                <w:szCs w:val="24"/>
                <w:highlight w:val="none"/>
              </w:rPr>
              <w:t xml:space="preserve">  单位：dB（A）</w:t>
            </w:r>
          </w:p>
          <w:tbl>
            <w:tblPr>
              <w:tblStyle w:val="20"/>
              <w:tblW w:w="5000" w:type="pct"/>
              <w:jc w:val="center"/>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2280"/>
              <w:gridCol w:w="2280"/>
              <w:gridCol w:w="2280"/>
              <w:gridCol w:w="2280"/>
            </w:tblGrid>
            <w:tr w14:paraId="53A7B894">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250" w:type="pct"/>
                  <w:vMerge w:val="restart"/>
                  <w:noWrap w:val="0"/>
                  <w:tcMar>
                    <w:top w:w="17" w:type="dxa"/>
                    <w:left w:w="17" w:type="dxa"/>
                    <w:bottom w:w="0" w:type="dxa"/>
                    <w:right w:w="17" w:type="dxa"/>
                  </w:tcMar>
                  <w:vAlign w:val="center"/>
                </w:tcPr>
                <w:p w14:paraId="7574F733">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时段</w:t>
                  </w:r>
                </w:p>
              </w:tc>
              <w:tc>
                <w:tcPr>
                  <w:tcW w:w="1250" w:type="pct"/>
                  <w:vMerge w:val="restart"/>
                  <w:noWrap w:val="0"/>
                  <w:tcMar>
                    <w:top w:w="17" w:type="dxa"/>
                    <w:left w:w="17" w:type="dxa"/>
                    <w:bottom w:w="0" w:type="dxa"/>
                    <w:right w:w="17" w:type="dxa"/>
                  </w:tcMar>
                  <w:vAlign w:val="center"/>
                </w:tcPr>
                <w:p w14:paraId="029777B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标准</w:t>
                  </w:r>
                </w:p>
              </w:tc>
              <w:tc>
                <w:tcPr>
                  <w:tcW w:w="2501" w:type="pct"/>
                  <w:gridSpan w:val="2"/>
                  <w:noWrap w:val="0"/>
                  <w:tcMar>
                    <w:top w:w="17" w:type="dxa"/>
                    <w:left w:w="17" w:type="dxa"/>
                    <w:bottom w:w="0" w:type="dxa"/>
                    <w:right w:w="17" w:type="dxa"/>
                  </w:tcMar>
                  <w:vAlign w:val="center"/>
                </w:tcPr>
                <w:p w14:paraId="72C6305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标准值</w:t>
                  </w:r>
                </w:p>
              </w:tc>
            </w:tr>
            <w:tr w14:paraId="22BAA786">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250" w:type="pct"/>
                  <w:vMerge w:val="continue"/>
                  <w:noWrap w:val="0"/>
                  <w:vAlign w:val="center"/>
                </w:tcPr>
                <w:p w14:paraId="76524B19">
                  <w:pPr>
                    <w:adjustRightInd w:val="0"/>
                    <w:snapToGrid w:val="0"/>
                    <w:jc w:val="center"/>
                    <w:rPr>
                      <w:rFonts w:hint="default" w:ascii="Times New Roman" w:hAnsi="Times New Roman" w:eastAsia="宋体" w:cs="Times New Roman"/>
                      <w:color w:val="auto"/>
                      <w:kern w:val="0"/>
                      <w:szCs w:val="21"/>
                      <w:highlight w:val="none"/>
                    </w:rPr>
                  </w:pPr>
                </w:p>
              </w:tc>
              <w:tc>
                <w:tcPr>
                  <w:tcW w:w="1250" w:type="pct"/>
                  <w:vMerge w:val="continue"/>
                  <w:noWrap w:val="0"/>
                  <w:vAlign w:val="center"/>
                </w:tcPr>
                <w:p w14:paraId="332B5DF9">
                  <w:pPr>
                    <w:adjustRightInd w:val="0"/>
                    <w:snapToGrid w:val="0"/>
                    <w:jc w:val="center"/>
                    <w:rPr>
                      <w:rFonts w:hint="default" w:ascii="Times New Roman" w:hAnsi="Times New Roman" w:eastAsia="宋体" w:cs="Times New Roman"/>
                      <w:color w:val="auto"/>
                      <w:kern w:val="0"/>
                      <w:szCs w:val="21"/>
                      <w:highlight w:val="none"/>
                    </w:rPr>
                  </w:pPr>
                </w:p>
              </w:tc>
              <w:tc>
                <w:tcPr>
                  <w:tcW w:w="1250" w:type="pct"/>
                  <w:noWrap w:val="0"/>
                  <w:tcMar>
                    <w:top w:w="17" w:type="dxa"/>
                    <w:left w:w="17" w:type="dxa"/>
                    <w:bottom w:w="0" w:type="dxa"/>
                    <w:right w:w="17" w:type="dxa"/>
                  </w:tcMar>
                  <w:vAlign w:val="center"/>
                </w:tcPr>
                <w:p w14:paraId="0A42A1CB">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昼间</w:t>
                  </w:r>
                </w:p>
              </w:tc>
              <w:tc>
                <w:tcPr>
                  <w:tcW w:w="1251" w:type="pct"/>
                  <w:noWrap w:val="0"/>
                  <w:tcMar>
                    <w:top w:w="17" w:type="dxa"/>
                    <w:left w:w="17" w:type="dxa"/>
                    <w:bottom w:w="0" w:type="dxa"/>
                    <w:right w:w="17" w:type="dxa"/>
                  </w:tcMar>
                  <w:vAlign w:val="center"/>
                </w:tcPr>
                <w:p w14:paraId="690EDBA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夜间</w:t>
                  </w:r>
                </w:p>
              </w:tc>
            </w:tr>
            <w:tr w14:paraId="2F0429A8">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250" w:type="pct"/>
                  <w:noWrap w:val="0"/>
                  <w:vAlign w:val="center"/>
                </w:tcPr>
                <w:p w14:paraId="0C04737C">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施工期</w:t>
                  </w:r>
                </w:p>
              </w:tc>
              <w:tc>
                <w:tcPr>
                  <w:tcW w:w="1250" w:type="pct"/>
                  <w:noWrap w:val="0"/>
                  <w:vAlign w:val="center"/>
                </w:tcPr>
                <w:p w14:paraId="11101712">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GB12523-2011</w:t>
                  </w:r>
                </w:p>
              </w:tc>
              <w:tc>
                <w:tcPr>
                  <w:tcW w:w="1250" w:type="pct"/>
                  <w:noWrap w:val="0"/>
                  <w:tcMar>
                    <w:top w:w="17" w:type="dxa"/>
                    <w:left w:w="17" w:type="dxa"/>
                    <w:bottom w:w="0" w:type="dxa"/>
                    <w:right w:w="17" w:type="dxa"/>
                  </w:tcMar>
                  <w:vAlign w:val="center"/>
                </w:tcPr>
                <w:p w14:paraId="3B3EA0A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70</w:t>
                  </w:r>
                </w:p>
              </w:tc>
              <w:tc>
                <w:tcPr>
                  <w:tcW w:w="1251" w:type="pct"/>
                  <w:noWrap w:val="0"/>
                  <w:tcMar>
                    <w:top w:w="17" w:type="dxa"/>
                    <w:left w:w="17" w:type="dxa"/>
                    <w:bottom w:w="0" w:type="dxa"/>
                    <w:right w:w="17" w:type="dxa"/>
                  </w:tcMar>
                  <w:vAlign w:val="center"/>
                </w:tcPr>
                <w:p w14:paraId="5DB29D26">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55</w:t>
                  </w:r>
                </w:p>
              </w:tc>
            </w:tr>
            <w:tr w14:paraId="60C8AF81">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250" w:type="pct"/>
                  <w:noWrap w:val="0"/>
                  <w:vAlign w:val="center"/>
                </w:tcPr>
                <w:p w14:paraId="79E09E33">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运营期</w:t>
                  </w:r>
                </w:p>
              </w:tc>
              <w:tc>
                <w:tcPr>
                  <w:tcW w:w="1250" w:type="pct"/>
                  <w:noWrap w:val="0"/>
                  <w:vAlign w:val="center"/>
                </w:tcPr>
                <w:p w14:paraId="035D85D5">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 xml:space="preserve">GB12348-2008 </w:t>
                  </w:r>
                  <w:r>
                    <w:rPr>
                      <w:rFonts w:hint="default" w:ascii="Times New Roman" w:hAnsi="Times New Roman" w:eastAsia="宋体" w:cs="Times New Roman"/>
                      <w:color w:val="auto"/>
                      <w:kern w:val="0"/>
                      <w:szCs w:val="21"/>
                      <w:highlight w:val="none"/>
                      <w:lang w:val="en-US" w:eastAsia="zh-CN"/>
                    </w:rPr>
                    <w:t xml:space="preserve"> </w:t>
                  </w:r>
                  <w:r>
                    <w:rPr>
                      <w:rFonts w:hint="default" w:ascii="Times New Roman" w:hAnsi="Times New Roman" w:eastAsia="宋体" w:cs="Times New Roman"/>
                      <w:color w:val="auto"/>
                      <w:kern w:val="0"/>
                      <w:szCs w:val="21"/>
                      <w:highlight w:val="none"/>
                    </w:rPr>
                    <w:t>2类</w:t>
                  </w:r>
                </w:p>
              </w:tc>
              <w:tc>
                <w:tcPr>
                  <w:tcW w:w="1250" w:type="pct"/>
                  <w:noWrap w:val="0"/>
                  <w:tcMar>
                    <w:top w:w="17" w:type="dxa"/>
                    <w:left w:w="17" w:type="dxa"/>
                    <w:bottom w:w="0" w:type="dxa"/>
                    <w:right w:w="17" w:type="dxa"/>
                  </w:tcMar>
                  <w:vAlign w:val="center"/>
                </w:tcPr>
                <w:p w14:paraId="7EE52B63">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rPr>
                    <w:t>6</w:t>
                  </w:r>
                  <w:r>
                    <w:rPr>
                      <w:rFonts w:hint="default" w:ascii="Times New Roman" w:hAnsi="Times New Roman" w:cs="Times New Roman"/>
                      <w:color w:val="auto"/>
                      <w:kern w:val="0"/>
                      <w:szCs w:val="21"/>
                      <w:highlight w:val="none"/>
                      <w:lang w:val="en-US" w:eastAsia="zh-CN"/>
                    </w:rPr>
                    <w:t>0</w:t>
                  </w:r>
                </w:p>
              </w:tc>
              <w:tc>
                <w:tcPr>
                  <w:tcW w:w="1251" w:type="pct"/>
                  <w:noWrap w:val="0"/>
                  <w:tcMar>
                    <w:top w:w="17" w:type="dxa"/>
                    <w:left w:w="17" w:type="dxa"/>
                    <w:bottom w:w="0" w:type="dxa"/>
                    <w:right w:w="17" w:type="dxa"/>
                  </w:tcMar>
                  <w:vAlign w:val="center"/>
                </w:tcPr>
                <w:p w14:paraId="11FFA48A">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5</w:t>
                  </w:r>
                  <w:r>
                    <w:rPr>
                      <w:rFonts w:hint="default" w:ascii="Times New Roman" w:hAnsi="Times New Roman" w:cs="Times New Roman"/>
                      <w:color w:val="auto"/>
                      <w:kern w:val="0"/>
                      <w:szCs w:val="21"/>
                      <w:highlight w:val="none"/>
                      <w:lang w:val="en-US" w:eastAsia="zh-CN"/>
                    </w:rPr>
                    <w:t>0</w:t>
                  </w:r>
                </w:p>
              </w:tc>
            </w:tr>
          </w:tbl>
          <w:p w14:paraId="12BF4155">
            <w:pPr>
              <w:spacing w:line="360" w:lineRule="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cs="Times New Roman"/>
                <w:b/>
                <w:bCs/>
                <w:color w:val="auto"/>
                <w:kern w:val="0"/>
                <w:sz w:val="24"/>
                <w:szCs w:val="24"/>
                <w:highlight w:val="none"/>
                <w:lang w:val="en-US" w:eastAsia="zh-CN" w:bidi="ar-SA"/>
              </w:rPr>
              <w:t>4、</w:t>
            </w:r>
            <w:r>
              <w:rPr>
                <w:rFonts w:hint="default" w:ascii="Times New Roman" w:hAnsi="Times New Roman" w:eastAsia="宋体" w:cs="Times New Roman"/>
                <w:b/>
                <w:bCs/>
                <w:color w:val="auto"/>
                <w:kern w:val="0"/>
                <w:sz w:val="24"/>
                <w:szCs w:val="24"/>
                <w:highlight w:val="none"/>
                <w:lang w:val="en-US" w:eastAsia="zh-CN" w:bidi="ar-SA"/>
              </w:rPr>
              <w:t>固体废物</w:t>
            </w:r>
          </w:p>
          <w:p w14:paraId="2B4CE7F2">
            <w:pPr>
              <w:pStyle w:val="35"/>
              <w:autoSpaceDE w:val="0"/>
              <w:autoSpaceDN w:val="0"/>
              <w:spacing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lang w:val="en-US" w:eastAsia="zh-CN" w:bidi="ar-SA"/>
              </w:rPr>
              <w:t>固体废物污染物控制标准：一般固废执行《一般工业固体废物贮存和填埋污染控制标准》（GB18599-2020）、《固体废物分类与代码目录》（公告2024年第4号）标准要求；危险废物贮存执行《危险废物贮存污染控制标准》（GB18597-2023）标准要求。</w:t>
            </w:r>
          </w:p>
        </w:tc>
      </w:tr>
      <w:tr w14:paraId="028AA4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2" w:type="dxa"/>
            <w:vAlign w:val="center"/>
          </w:tcPr>
          <w:p w14:paraId="62720CEE">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总量</w:t>
            </w:r>
          </w:p>
          <w:p w14:paraId="5052F269">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控制</w:t>
            </w:r>
          </w:p>
          <w:p w14:paraId="57BFFCFD">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指标</w:t>
            </w:r>
          </w:p>
        </w:tc>
        <w:tc>
          <w:tcPr>
            <w:tcW w:w="8904" w:type="dxa"/>
            <w:vAlign w:val="center"/>
          </w:tcPr>
          <w:p w14:paraId="361AC555">
            <w:pPr>
              <w:pStyle w:val="35"/>
              <w:autoSpaceDE w:val="0"/>
              <w:autoSpaceDN w:val="0"/>
              <w:spacing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lang w:val="en-US" w:eastAsia="zh-CN" w:bidi="ar-SA"/>
              </w:rPr>
              <w:t>根据《关于做</w:t>
            </w:r>
            <w:r>
              <w:rPr>
                <w:rFonts w:hint="eastAsia" w:ascii="宋体" w:hAnsi="宋体" w:eastAsia="宋体" w:cs="宋体"/>
                <w:color w:val="auto"/>
                <w:kern w:val="0"/>
                <w:sz w:val="24"/>
                <w:szCs w:val="24"/>
                <w:lang w:val="en-US" w:eastAsia="zh-CN" w:bidi="ar-SA"/>
              </w:rPr>
              <w:t>好“十四五”主要污</w:t>
            </w:r>
            <w:r>
              <w:rPr>
                <w:rFonts w:hint="default" w:ascii="Times New Roman" w:hAnsi="Times New Roman" w:eastAsia="宋体" w:cs="Times New Roman"/>
                <w:color w:val="auto"/>
                <w:kern w:val="0"/>
                <w:sz w:val="24"/>
                <w:szCs w:val="24"/>
                <w:lang w:val="en-US" w:eastAsia="zh-CN" w:bidi="ar-SA"/>
              </w:rPr>
              <w:t>染物总量减排工作的通知》</w:t>
            </w:r>
            <w:r>
              <w:rPr>
                <w:rFonts w:hint="eastAsia" w:ascii="Times New Roman" w:hAnsi="Times New Roman" w:eastAsia="宋体" w:cs="Times New Roman"/>
                <w:color w:val="auto"/>
                <w:kern w:val="0"/>
                <w:sz w:val="24"/>
                <w:szCs w:val="24"/>
                <w:lang w:val="en-US" w:eastAsia="zh-CN" w:bidi="ar-SA"/>
              </w:rPr>
              <w:t>（</w:t>
            </w:r>
            <w:r>
              <w:rPr>
                <w:rFonts w:hint="default" w:ascii="Times New Roman" w:hAnsi="Times New Roman" w:eastAsia="宋体" w:cs="Times New Roman"/>
                <w:color w:val="auto"/>
                <w:kern w:val="0"/>
                <w:sz w:val="24"/>
                <w:szCs w:val="24"/>
                <w:lang w:val="en-US" w:eastAsia="zh-CN" w:bidi="ar-SA"/>
              </w:rPr>
              <w:t>环办综合函〔2021〕323号</w:t>
            </w:r>
            <w:r>
              <w:rPr>
                <w:rFonts w:hint="eastAsia" w:ascii="Times New Roman" w:hAnsi="Times New Roman" w:eastAsia="宋体" w:cs="Times New Roman"/>
                <w:color w:val="auto"/>
                <w:kern w:val="0"/>
                <w:sz w:val="24"/>
                <w:szCs w:val="24"/>
                <w:lang w:val="en-US" w:eastAsia="zh-CN" w:bidi="ar-SA"/>
              </w:rPr>
              <w:t>）</w:t>
            </w:r>
            <w:r>
              <w:rPr>
                <w:rFonts w:hint="default" w:ascii="Times New Roman" w:hAnsi="Times New Roman" w:eastAsia="宋体" w:cs="Times New Roman"/>
                <w:color w:val="auto"/>
                <w:kern w:val="0"/>
                <w:sz w:val="24"/>
                <w:szCs w:val="24"/>
                <w:lang w:val="en-US" w:eastAsia="zh-CN" w:bidi="ar-SA"/>
              </w:rPr>
              <w:t>中污染物排放总量控制管理要求，十四五期间主要控制污染物为氮氧化物、挥发性有机物、化学需氧量、氨氮。</w:t>
            </w:r>
            <w:r>
              <w:rPr>
                <w:rFonts w:hint="default" w:ascii="Times New Roman" w:hAnsi="Times New Roman" w:eastAsia="宋体" w:cs="Times New Roman"/>
                <w:color w:val="auto"/>
                <w:kern w:val="0"/>
                <w:sz w:val="24"/>
                <w:szCs w:val="24"/>
                <w:lang w:val="en-US" w:eastAsia="zh-Hans" w:bidi="ar-SA"/>
              </w:rPr>
              <w:t>结合本项目实际污染物排放情况</w:t>
            </w:r>
            <w:r>
              <w:rPr>
                <w:rFonts w:hint="default" w:ascii="Times New Roman" w:hAnsi="Times New Roman" w:eastAsia="宋体" w:cs="Times New Roman"/>
                <w:color w:val="auto"/>
                <w:kern w:val="0"/>
                <w:sz w:val="24"/>
                <w:szCs w:val="24"/>
                <w:lang w:val="en-US" w:eastAsia="zh-CN" w:bidi="ar-SA"/>
              </w:rPr>
              <w:t>，主要污染物为颗粒物</w:t>
            </w:r>
            <w:r>
              <w:rPr>
                <w:rFonts w:hint="default" w:ascii="Times New Roman" w:hAnsi="Times New Roman" w:eastAsia="宋体" w:cs="Times New Roman"/>
                <w:color w:val="auto"/>
                <w:kern w:val="0"/>
                <w:sz w:val="24"/>
                <w:szCs w:val="24"/>
                <w:lang w:val="en-US" w:eastAsia="zh-Hans" w:bidi="ar-SA"/>
              </w:rPr>
              <w:t>，</w:t>
            </w:r>
            <w:r>
              <w:rPr>
                <w:rFonts w:hint="default" w:ascii="Times New Roman" w:hAnsi="Times New Roman" w:eastAsia="宋体" w:cs="Times New Roman"/>
                <w:color w:val="auto"/>
                <w:kern w:val="0"/>
                <w:sz w:val="24"/>
                <w:szCs w:val="24"/>
                <w:lang w:val="en-US" w:eastAsia="zh-CN" w:bidi="ar-SA"/>
              </w:rPr>
              <w:t>故</w:t>
            </w:r>
            <w:r>
              <w:rPr>
                <w:rFonts w:hint="default" w:ascii="Times New Roman" w:hAnsi="Times New Roman" w:eastAsia="宋体" w:cs="Times New Roman"/>
                <w:color w:val="auto"/>
                <w:kern w:val="0"/>
                <w:sz w:val="24"/>
                <w:szCs w:val="24"/>
                <w:lang w:val="en-US" w:eastAsia="zh-Hans" w:bidi="ar-SA"/>
              </w:rPr>
              <w:t>本项</w:t>
            </w:r>
            <w:r>
              <w:rPr>
                <w:rFonts w:hint="default" w:ascii="Times New Roman" w:hAnsi="Times New Roman" w:eastAsia="宋体" w:cs="Times New Roman"/>
                <w:color w:val="auto"/>
                <w:kern w:val="0"/>
                <w:sz w:val="24"/>
                <w:szCs w:val="24"/>
                <w:lang w:val="en-US" w:eastAsia="zh-CN" w:bidi="ar-SA"/>
              </w:rPr>
              <w:t>目无需申请</w:t>
            </w:r>
            <w:r>
              <w:rPr>
                <w:rFonts w:hint="default" w:ascii="Times New Roman" w:hAnsi="Times New Roman" w:eastAsia="宋体" w:cs="Times New Roman"/>
                <w:color w:val="auto"/>
                <w:kern w:val="0"/>
                <w:sz w:val="24"/>
                <w:szCs w:val="24"/>
                <w:lang w:val="en-US" w:eastAsia="zh-Hans" w:bidi="ar-SA"/>
              </w:rPr>
              <w:t>总量控制指标</w:t>
            </w:r>
            <w:r>
              <w:rPr>
                <w:rFonts w:hint="default" w:ascii="Times New Roman" w:hAnsi="Times New Roman" w:cs="Times New Roman"/>
                <w:color w:val="auto"/>
                <w:kern w:val="0"/>
                <w:sz w:val="24"/>
                <w:szCs w:val="24"/>
                <w:lang w:val="en-US" w:eastAsia="zh-CN"/>
              </w:rPr>
              <w:t>。</w:t>
            </w:r>
            <w:bookmarkStart w:id="107" w:name="_GoBack"/>
            <w:bookmarkEnd w:id="107"/>
          </w:p>
        </w:tc>
      </w:tr>
    </w:tbl>
    <w:p w14:paraId="6F1DB251">
      <w:pPr>
        <w:pStyle w:val="18"/>
        <w:keepNext w:val="0"/>
        <w:keepLines w:val="0"/>
        <w:pageBreakBefore w:val="0"/>
        <w:widowControl/>
        <w:kinsoku/>
        <w:wordWrap/>
        <w:overflowPunct/>
        <w:topLinePunct w:val="0"/>
        <w:autoSpaceDE/>
        <w:autoSpaceDN/>
        <w:bidi w:val="0"/>
        <w:adjustRightInd/>
        <w:snapToGrid/>
        <w:spacing w:before="0" w:beforeAutospacing="0" w:after="313" w:afterLines="100" w:afterAutospacing="0"/>
        <w:jc w:val="center"/>
        <w:textAlignment w:val="auto"/>
        <w:outlineLvl w:val="0"/>
        <w:rPr>
          <w:rFonts w:hint="eastAsia" w:ascii="宋体" w:hAnsi="宋体" w:eastAsia="宋体" w:cs="宋体"/>
          <w:snapToGrid w:val="0"/>
          <w:color w:val="auto"/>
          <w:sz w:val="30"/>
          <w:szCs w:val="30"/>
          <w:highlight w:val="none"/>
        </w:rPr>
      </w:pPr>
      <w:r>
        <w:rPr>
          <w:rFonts w:hint="default" w:ascii="Times New Roman" w:hAnsi="Times New Roman" w:eastAsia="黑体" w:cs="Times New Roman"/>
          <w:snapToGrid w:val="0"/>
          <w:color w:val="auto"/>
          <w:sz w:val="36"/>
          <w:szCs w:val="36"/>
          <w:highlight w:val="none"/>
        </w:rPr>
        <w:br w:type="page"/>
      </w:r>
      <w:bookmarkStart w:id="33" w:name="_Toc17403"/>
      <w:bookmarkStart w:id="34" w:name="_Toc2802"/>
      <w:bookmarkStart w:id="35" w:name="_Toc11163"/>
      <w:bookmarkStart w:id="36" w:name="_Toc12897"/>
      <w:r>
        <w:rPr>
          <w:rFonts w:hint="eastAsia" w:ascii="宋体" w:hAnsi="宋体" w:eastAsia="宋体" w:cs="宋体"/>
          <w:snapToGrid w:val="0"/>
          <w:color w:val="auto"/>
          <w:sz w:val="30"/>
          <w:szCs w:val="30"/>
          <w:highlight w:val="none"/>
        </w:rPr>
        <w:t>四、主要环境影响和保护措施</w:t>
      </w:r>
      <w:bookmarkEnd w:id="33"/>
      <w:bookmarkEnd w:id="34"/>
      <w:bookmarkEnd w:id="35"/>
      <w:bookmarkEnd w:id="36"/>
    </w:p>
    <w:tbl>
      <w:tblPr>
        <w:tblStyle w:val="20"/>
        <w:tblW w:w="963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35"/>
        <w:gridCol w:w="9003"/>
      </w:tblGrid>
      <w:tr w14:paraId="2EF087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11" w:hRule="atLeast"/>
          <w:jc w:val="center"/>
        </w:trPr>
        <w:tc>
          <w:tcPr>
            <w:tcW w:w="635" w:type="dxa"/>
            <w:tcMar>
              <w:left w:w="28" w:type="dxa"/>
              <w:right w:w="28" w:type="dxa"/>
            </w:tcMar>
            <w:vAlign w:val="center"/>
          </w:tcPr>
          <w:p w14:paraId="44C98A09">
            <w:pPr>
              <w:pStyle w:val="18"/>
              <w:adjustRightInd w:val="0"/>
              <w:snapToGrid w:val="0"/>
              <w:spacing w:before="0" w:beforeAutospacing="0" w:after="0" w:afterAutospacing="0"/>
              <w:jc w:val="center"/>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施工</w:t>
            </w:r>
          </w:p>
          <w:p w14:paraId="27D59C08">
            <w:pPr>
              <w:pStyle w:val="18"/>
              <w:adjustRightInd w:val="0"/>
              <w:snapToGrid w:val="0"/>
              <w:spacing w:before="0" w:beforeAutospacing="0" w:after="0" w:afterAutospacing="0"/>
              <w:jc w:val="center"/>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期环</w:t>
            </w:r>
          </w:p>
          <w:p w14:paraId="4A9CBEF1">
            <w:pPr>
              <w:pStyle w:val="18"/>
              <w:adjustRightInd w:val="0"/>
              <w:snapToGrid w:val="0"/>
              <w:spacing w:before="0" w:beforeAutospacing="0" w:after="0" w:afterAutospacing="0"/>
              <w:jc w:val="center"/>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境保</w:t>
            </w:r>
          </w:p>
          <w:p w14:paraId="4089C4AE">
            <w:pPr>
              <w:pStyle w:val="18"/>
              <w:adjustRightInd w:val="0"/>
              <w:snapToGrid w:val="0"/>
              <w:spacing w:before="0" w:beforeAutospacing="0" w:after="0" w:afterAutospacing="0"/>
              <w:jc w:val="center"/>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护措</w:t>
            </w:r>
          </w:p>
          <w:p w14:paraId="587FD021">
            <w:pPr>
              <w:pStyle w:val="18"/>
              <w:adjustRightInd w:val="0"/>
              <w:snapToGrid w:val="0"/>
              <w:spacing w:before="0" w:beforeAutospacing="0" w:after="0" w:afterAutospacing="0"/>
              <w:jc w:val="center"/>
              <w:rPr>
                <w:rFonts w:hint="default" w:ascii="Times New Roman" w:hAnsi="Times New Roman" w:cs="Times New Roman"/>
                <w:bCs/>
                <w:color w:val="auto"/>
                <w:kern w:val="2"/>
                <w:szCs w:val="24"/>
                <w:highlight w:val="none"/>
              </w:rPr>
            </w:pPr>
            <w:r>
              <w:rPr>
                <w:rFonts w:hint="default" w:ascii="Times New Roman" w:hAnsi="Times New Roman" w:cs="Times New Roman"/>
                <w:color w:val="auto"/>
                <w:kern w:val="2"/>
                <w:szCs w:val="24"/>
                <w:highlight w:val="none"/>
              </w:rPr>
              <w:t>施</w:t>
            </w:r>
          </w:p>
        </w:tc>
        <w:tc>
          <w:tcPr>
            <w:tcW w:w="9003" w:type="dxa"/>
            <w:vAlign w:val="top"/>
          </w:tcPr>
          <w:p w14:paraId="022EBD62">
            <w:pPr>
              <w:numPr>
                <w:ilvl w:val="0"/>
                <w:numId w:val="0"/>
              </w:numPr>
              <w:adjustRightInd w:val="0"/>
              <w:snapToGrid w:val="0"/>
              <w:spacing w:line="360" w:lineRule="auto"/>
              <w:jc w:val="both"/>
              <w:rPr>
                <w:rFonts w:hint="default" w:ascii="Times New Roman" w:hAnsi="Times New Roman" w:cs="Times New Roman"/>
                <w:b/>
                <w:color w:val="auto"/>
                <w:sz w:val="24"/>
                <w:szCs w:val="28"/>
                <w:highlight w:val="none"/>
              </w:rPr>
            </w:pPr>
            <w:r>
              <w:rPr>
                <w:rFonts w:hint="default" w:ascii="Times New Roman" w:hAnsi="Times New Roman" w:eastAsia="宋体" w:cs="Times New Roman"/>
                <w:b/>
                <w:color w:val="auto"/>
                <w:kern w:val="2"/>
                <w:sz w:val="24"/>
                <w:szCs w:val="28"/>
                <w:lang w:val="en-US" w:eastAsia="zh-CN" w:bidi="ar-SA"/>
              </w:rPr>
              <w:t>1、</w:t>
            </w:r>
            <w:r>
              <w:rPr>
                <w:rFonts w:hint="default" w:ascii="Times New Roman" w:hAnsi="Times New Roman" w:cs="Times New Roman"/>
                <w:b/>
                <w:color w:val="auto"/>
                <w:sz w:val="24"/>
                <w:szCs w:val="28"/>
                <w:highlight w:val="none"/>
              </w:rPr>
              <w:t>施工扬尘</w:t>
            </w:r>
          </w:p>
          <w:p w14:paraId="3F848B31">
            <w:pPr>
              <w:adjustRightInd w:val="0"/>
              <w:snapToGrid w:val="0"/>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为了减少施工期的环境空气污染，施工现场周边应设置围挡，对施工现场内的施工道路进行硬质覆盖；</w:t>
            </w:r>
            <w:r>
              <w:rPr>
                <w:rFonts w:hint="default" w:ascii="Times New Roman" w:hAnsi="Times New Roman" w:cs="Times New Roman"/>
                <w:color w:val="auto"/>
                <w:sz w:val="24"/>
                <w:highlight w:val="none"/>
                <w:lang w:val="en-US" w:eastAsia="zh-CN"/>
              </w:rPr>
              <w:t>施工</w:t>
            </w:r>
            <w:r>
              <w:rPr>
                <w:rFonts w:hint="default" w:ascii="Times New Roman" w:hAnsi="Times New Roman" w:cs="Times New Roman"/>
                <w:color w:val="auto"/>
                <w:sz w:val="24"/>
                <w:highlight w:val="none"/>
              </w:rPr>
              <w:t>材料</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如砂石等</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采取遮盖措施；建筑材料运输车要用苫布盖好；现场装卸产生扬尘的物质、清理平整场地等活动时应当采取湿式作业等有效防尘措施。施工单位应当按照有关规定使用预拌混凝土，不得擅自在施工现场搅拌混凝土。施工车辆必须装有尾气净化装置，使污染降到最低。严格执行文明施工，建筑材料不允许乱堆乱放，弃土石渣每天清除。</w:t>
            </w:r>
            <w:r>
              <w:rPr>
                <w:rFonts w:hint="default" w:ascii="Times New Roman" w:hAnsi="Times New Roman" w:cs="Times New Roman"/>
                <w:color w:val="auto"/>
                <w:sz w:val="24"/>
                <w:highlight w:val="none"/>
                <w:lang w:val="en-US" w:eastAsia="zh-CN"/>
              </w:rPr>
              <w:t>在落实以上措施后，施工期废气</w:t>
            </w:r>
            <w:r>
              <w:rPr>
                <w:rFonts w:hint="default" w:ascii="Times New Roman" w:hAnsi="Times New Roman" w:cs="Times New Roman"/>
                <w:bCs/>
                <w:color w:val="auto"/>
                <w:sz w:val="24"/>
                <w:highlight w:val="none"/>
              </w:rPr>
              <w:t>排放浓度</w:t>
            </w:r>
            <w:r>
              <w:rPr>
                <w:rFonts w:hint="default" w:ascii="Times New Roman" w:hAnsi="Times New Roman" w:cs="Times New Roman"/>
                <w:bCs/>
                <w:color w:val="auto"/>
                <w:sz w:val="24"/>
                <w:highlight w:val="none"/>
                <w:lang w:val="en-US" w:eastAsia="zh-CN"/>
              </w:rPr>
              <w:t>能够</w:t>
            </w:r>
            <w:r>
              <w:rPr>
                <w:rFonts w:hint="default" w:ascii="Times New Roman" w:hAnsi="Times New Roman" w:cs="Times New Roman"/>
                <w:bCs/>
                <w:color w:val="auto"/>
                <w:sz w:val="24"/>
                <w:highlight w:val="none"/>
              </w:rPr>
              <w:t>满足《大气污染物综合排放标准》（GB16297-1996）表2中的无组织排放限值，对周围环境影响较小</w:t>
            </w:r>
            <w:r>
              <w:rPr>
                <w:rFonts w:hint="default" w:ascii="Times New Roman" w:hAnsi="Times New Roman" w:cs="Times New Roman"/>
                <w:bCs/>
                <w:color w:val="auto"/>
                <w:sz w:val="24"/>
                <w:highlight w:val="none"/>
                <w:lang w:eastAsia="zh-CN"/>
              </w:rPr>
              <w:t>。</w:t>
            </w:r>
          </w:p>
          <w:p w14:paraId="23D841FE">
            <w:pPr>
              <w:numPr>
                <w:ilvl w:val="0"/>
                <w:numId w:val="0"/>
              </w:numPr>
              <w:adjustRightInd w:val="0"/>
              <w:snapToGrid w:val="0"/>
              <w:spacing w:line="360" w:lineRule="auto"/>
              <w:jc w:val="both"/>
              <w:rPr>
                <w:rFonts w:hint="default" w:ascii="Times New Roman" w:hAnsi="Times New Roman" w:cs="Times New Roman"/>
                <w:b/>
                <w:color w:val="auto"/>
                <w:sz w:val="24"/>
                <w:szCs w:val="28"/>
                <w:highlight w:val="none"/>
              </w:rPr>
            </w:pPr>
            <w:r>
              <w:rPr>
                <w:rFonts w:hint="default" w:ascii="Times New Roman" w:hAnsi="Times New Roman" w:eastAsia="宋体" w:cs="Times New Roman"/>
                <w:b/>
                <w:color w:val="auto"/>
                <w:kern w:val="2"/>
                <w:sz w:val="24"/>
                <w:szCs w:val="28"/>
                <w:lang w:val="en-US" w:eastAsia="zh-CN" w:bidi="ar-SA"/>
              </w:rPr>
              <w:t>2、</w:t>
            </w:r>
            <w:r>
              <w:rPr>
                <w:rFonts w:hint="default" w:ascii="Times New Roman" w:hAnsi="Times New Roman" w:cs="Times New Roman"/>
                <w:b/>
                <w:color w:val="auto"/>
                <w:sz w:val="24"/>
                <w:szCs w:val="28"/>
                <w:highlight w:val="none"/>
              </w:rPr>
              <w:t>废水</w:t>
            </w:r>
          </w:p>
          <w:p w14:paraId="3C205400">
            <w:pPr>
              <w:spacing w:line="360" w:lineRule="auto"/>
              <w:ind w:firstLine="480" w:firstLineChars="200"/>
              <w:jc w:val="both"/>
              <w:rPr>
                <w:rFonts w:hint="default" w:ascii="Times New Roman" w:hAnsi="Times New Roman" w:cs="Times New Roman"/>
                <w:bCs/>
                <w:color w:val="auto"/>
                <w:sz w:val="24"/>
                <w:highlight w:val="none"/>
              </w:rPr>
            </w:pPr>
            <w:r>
              <w:rPr>
                <w:rFonts w:hint="default" w:ascii="Times New Roman" w:hAnsi="Times New Roman" w:cs="Times New Roman"/>
                <w:color w:val="auto"/>
                <w:sz w:val="24"/>
                <w:highlight w:val="none"/>
                <w:lang w:val="en-US" w:eastAsia="zh-CN"/>
              </w:rPr>
              <w:t>施工废水主要包括施工人员的生活污水，以及运输车辆轮胎的冲洗废水。生活污水将排入临时防渗旱厕，定期清掏外运进行堆肥处理，不外排。施工期间设置临时洗车区域及沉淀池，运输车辆轮胎的冲洗废水排入沉淀池，经沉淀后全部回用于混凝土养护、场地洒水降尘等环节，做到废水不外排，施工期所产生的废水均能妥善处理，不会对周边环境造成不良影响。</w:t>
            </w:r>
          </w:p>
          <w:p w14:paraId="2F11D542">
            <w:pPr>
              <w:numPr>
                <w:ilvl w:val="0"/>
                <w:numId w:val="0"/>
              </w:numPr>
              <w:adjustRightInd w:val="0"/>
              <w:snapToGrid w:val="0"/>
              <w:spacing w:line="360" w:lineRule="auto"/>
              <w:jc w:val="both"/>
              <w:rPr>
                <w:rFonts w:hint="default" w:ascii="Times New Roman" w:hAnsi="Times New Roman" w:cs="Times New Roman"/>
                <w:b/>
                <w:color w:val="auto"/>
                <w:sz w:val="24"/>
                <w:szCs w:val="28"/>
                <w:highlight w:val="none"/>
              </w:rPr>
            </w:pPr>
            <w:r>
              <w:rPr>
                <w:rFonts w:hint="default" w:ascii="Times New Roman" w:hAnsi="Times New Roman" w:eastAsia="宋体" w:cs="Times New Roman"/>
                <w:b/>
                <w:color w:val="auto"/>
                <w:kern w:val="2"/>
                <w:sz w:val="24"/>
                <w:szCs w:val="28"/>
                <w:lang w:val="en-US" w:eastAsia="zh-CN" w:bidi="ar-SA"/>
              </w:rPr>
              <w:t>3、</w:t>
            </w:r>
            <w:r>
              <w:rPr>
                <w:rFonts w:hint="default" w:ascii="Times New Roman" w:hAnsi="Times New Roman" w:cs="Times New Roman"/>
                <w:b/>
                <w:color w:val="auto"/>
                <w:sz w:val="24"/>
                <w:szCs w:val="28"/>
                <w:highlight w:val="none"/>
              </w:rPr>
              <w:t>噪声</w:t>
            </w:r>
          </w:p>
          <w:p w14:paraId="7CC4AD14">
            <w:pPr>
              <w:adjustRightInd w:val="0"/>
              <w:snapToGrid w:val="0"/>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过程中要做到文明施工，施工机械要采取减振措施，使用低噪声设备，大型施工机械应异地使用，对不能异地使用的应采取封闭措施，如高噪声的施工设备圆锯等必须封闭使用或四周加设隔声屏障，杜绝夜间施工现象。采取上述措施，施工场界噪声能够达到《建筑施工场界环境噪声排放标准》</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GB12523-2011</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标准值，故施工期噪声对周围环境影响会减小。</w:t>
            </w:r>
          </w:p>
          <w:p w14:paraId="078E9B39">
            <w:pPr>
              <w:numPr>
                <w:ilvl w:val="0"/>
                <w:numId w:val="0"/>
              </w:numPr>
              <w:adjustRightInd w:val="0"/>
              <w:snapToGrid w:val="0"/>
              <w:spacing w:line="360" w:lineRule="auto"/>
              <w:jc w:val="both"/>
              <w:rPr>
                <w:rFonts w:hint="default" w:ascii="Times New Roman" w:hAnsi="Times New Roman" w:cs="Times New Roman"/>
                <w:b/>
                <w:color w:val="auto"/>
                <w:sz w:val="24"/>
                <w:szCs w:val="28"/>
                <w:highlight w:val="none"/>
              </w:rPr>
            </w:pPr>
            <w:r>
              <w:rPr>
                <w:rFonts w:hint="default" w:ascii="Times New Roman" w:hAnsi="Times New Roman" w:eastAsia="宋体" w:cs="Times New Roman"/>
                <w:b/>
                <w:color w:val="auto"/>
                <w:kern w:val="2"/>
                <w:sz w:val="24"/>
                <w:szCs w:val="28"/>
                <w:lang w:val="en-US" w:eastAsia="zh-CN" w:bidi="ar-SA"/>
              </w:rPr>
              <w:t>4、</w:t>
            </w:r>
            <w:r>
              <w:rPr>
                <w:rFonts w:hint="default" w:ascii="Times New Roman" w:hAnsi="Times New Roman" w:cs="Times New Roman"/>
                <w:b/>
                <w:color w:val="auto"/>
                <w:sz w:val="24"/>
                <w:szCs w:val="28"/>
                <w:highlight w:val="none"/>
              </w:rPr>
              <w:t>固废</w:t>
            </w:r>
          </w:p>
          <w:p w14:paraId="403E8320">
            <w:pPr>
              <w:adjustRightInd w:val="0"/>
              <w:snapToGrid w:val="0"/>
              <w:spacing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w:t>建筑垃圾及生活垃圾要随产随清，驶出施工现场的车辆，应清除轮胎上的泥土。将建筑垃圾运至市政指定地点倾倒，生活垃圾及时清运至指定地点</w:t>
            </w:r>
            <w:r>
              <w:rPr>
                <w:rFonts w:hint="default" w:ascii="Times New Roman" w:hAnsi="Times New Roman" w:cs="Times New Roman"/>
                <w:color w:val="auto"/>
                <w:sz w:val="24"/>
                <w:highlight w:val="none"/>
                <w:lang w:eastAsia="zh-CN"/>
              </w:rPr>
              <w:t>。</w:t>
            </w:r>
          </w:p>
        </w:tc>
      </w:tr>
      <w:tr w14:paraId="0972A5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94" w:hRule="atLeast"/>
          <w:jc w:val="center"/>
        </w:trPr>
        <w:tc>
          <w:tcPr>
            <w:tcW w:w="635" w:type="dxa"/>
            <w:tcMar>
              <w:left w:w="28" w:type="dxa"/>
              <w:right w:w="28" w:type="dxa"/>
            </w:tcMar>
            <w:vAlign w:val="center"/>
          </w:tcPr>
          <w:p w14:paraId="251F5204">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运营</w:t>
            </w:r>
          </w:p>
          <w:p w14:paraId="3DFC282C">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期环</w:t>
            </w:r>
          </w:p>
          <w:p w14:paraId="1D676A0B">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境影</w:t>
            </w:r>
          </w:p>
          <w:p w14:paraId="3215D68B">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响和</w:t>
            </w:r>
          </w:p>
          <w:p w14:paraId="28554E6F">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保护</w:t>
            </w:r>
          </w:p>
          <w:p w14:paraId="0F4E940F">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措施</w:t>
            </w:r>
          </w:p>
        </w:tc>
        <w:tc>
          <w:tcPr>
            <w:tcW w:w="9003" w:type="dxa"/>
          </w:tcPr>
          <w:p w14:paraId="7DA3ECC0">
            <w:pPr>
              <w:adjustRightInd w:val="0"/>
              <w:snapToGrid w:val="0"/>
              <w:spacing w:line="360" w:lineRule="auto"/>
              <w:rPr>
                <w:rFonts w:hint="default" w:ascii="Times New Roman" w:hAnsi="Times New Roman" w:cs="Times New Roman"/>
                <w:color w:val="auto"/>
                <w:highlight w:val="none"/>
              </w:rPr>
            </w:pPr>
            <w:r>
              <w:rPr>
                <w:rFonts w:hint="default" w:ascii="Times New Roman" w:hAnsi="Times New Roman" w:cs="Times New Roman"/>
                <w:b/>
                <w:color w:val="auto"/>
                <w:sz w:val="24"/>
                <w:highlight w:val="none"/>
              </w:rPr>
              <w:t>1、废气</w:t>
            </w:r>
          </w:p>
          <w:p w14:paraId="6034F60F">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w:t>
            </w:r>
            <w:r>
              <w:rPr>
                <w:rFonts w:hint="default" w:ascii="Times New Roman" w:hAnsi="Times New Roman" w:cs="Times New Roman"/>
                <w:bCs/>
                <w:color w:val="auto"/>
                <w:sz w:val="24"/>
                <w:highlight w:val="none"/>
                <w:lang w:val="en-US" w:eastAsia="zh-CN"/>
              </w:rPr>
              <w:t>1</w:t>
            </w:r>
            <w:r>
              <w:rPr>
                <w:rFonts w:hint="default" w:ascii="Times New Roman" w:hAnsi="Times New Roman" w:cs="Times New Roman"/>
                <w:bCs/>
                <w:color w:val="auto"/>
                <w:sz w:val="24"/>
                <w:highlight w:val="none"/>
              </w:rPr>
              <w:t>）项目废气污染源</w:t>
            </w:r>
          </w:p>
          <w:p w14:paraId="502F2C0D">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eastAsia="zh-CN"/>
              </w:rPr>
            </w:pPr>
            <w:r>
              <w:rPr>
                <w:rFonts w:hint="default" w:ascii="Times New Roman" w:hAnsi="Times New Roman" w:cs="Times New Roman"/>
                <w:bCs/>
                <w:color w:val="auto"/>
                <w:sz w:val="24"/>
                <w:highlight w:val="none"/>
              </w:rPr>
              <w:t>①</w:t>
            </w:r>
            <w:r>
              <w:rPr>
                <w:rFonts w:hint="default" w:ascii="Times New Roman" w:hAnsi="Times New Roman" w:cs="Times New Roman"/>
                <w:bCs/>
                <w:color w:val="auto"/>
                <w:sz w:val="24"/>
                <w:highlight w:val="none"/>
                <w:lang w:val="en-US" w:eastAsia="zh-CN"/>
              </w:rPr>
              <w:t>储煤场装卸、堆存扬尘。</w:t>
            </w:r>
          </w:p>
          <w:p w14:paraId="285AB2B5">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本项目原料及产品堆存和装卸时会产生无组织颗粒物，根据</w:t>
            </w:r>
            <w:r>
              <w:rPr>
                <w:rFonts w:hint="default" w:ascii="Times New Roman" w:hAnsi="Times New Roman" w:eastAsia="宋体" w:cs="Times New Roman"/>
                <w:color w:val="auto"/>
                <w:sz w:val="24"/>
                <w:szCs w:val="24"/>
              </w:rPr>
              <w:t>《排放源统计调查产排污核算方法和系数手册》</w:t>
            </w:r>
            <w:r>
              <w:rPr>
                <w:rFonts w:hint="default" w:ascii="Times New Roman" w:hAnsi="Times New Roman" w:eastAsia="宋体" w:cs="Times New Roman"/>
                <w:color w:val="auto"/>
                <w:sz w:val="24"/>
                <w:szCs w:val="24"/>
                <w:lang w:eastAsia="zh-CN"/>
              </w:rPr>
              <w:t>附表</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kern w:val="0"/>
                <w:sz w:val="24"/>
                <w:szCs w:val="24"/>
              </w:rPr>
              <w:t>《工业源固体物料堆场颗粒物核算系数手册》，工业企业固体物料堆存颗粒物包括装卸扬尘和风蚀扬尘，颗粒物产生量核算公式如下：</w:t>
            </w:r>
          </w:p>
          <w:p w14:paraId="0E5D4030">
            <w:pPr>
              <w:keepNext w:val="0"/>
              <w:keepLines w:val="0"/>
              <w:pageBreakBefore w:val="0"/>
              <w:kinsoku/>
              <w:wordWrap/>
              <w:overflowPunct/>
              <w:topLinePunct w:val="0"/>
              <w:autoSpaceDE/>
              <w:autoSpaceDN/>
              <w:bidi w:val="0"/>
              <w:spacing w:line="360" w:lineRule="auto"/>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drawing>
                <wp:inline distT="0" distB="0" distL="114300" distR="114300">
                  <wp:extent cx="4019550" cy="447675"/>
                  <wp:effectExtent l="0" t="0" r="0" b="9525"/>
                  <wp:docPr id="35" name="图片 35" descr="167937711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679377115864"/>
                          <pic:cNvPicPr>
                            <a:picLocks noChangeAspect="1"/>
                          </pic:cNvPicPr>
                        </pic:nvPicPr>
                        <pic:blipFill>
                          <a:blip r:embed="rId21"/>
                          <a:stretch>
                            <a:fillRect/>
                          </a:stretch>
                        </pic:blipFill>
                        <pic:spPr>
                          <a:xfrm>
                            <a:off x="0" y="0"/>
                            <a:ext cx="4019550" cy="447675"/>
                          </a:xfrm>
                          <a:prstGeom prst="rect">
                            <a:avLst/>
                          </a:prstGeom>
                        </pic:spPr>
                      </pic:pic>
                    </a:graphicData>
                  </a:graphic>
                </wp:inline>
              </w:drawing>
            </w:r>
          </w:p>
          <w:p w14:paraId="7D7FE44E">
            <w:pPr>
              <w:keepNext w:val="0"/>
              <w:keepLines w:val="0"/>
              <w:pageBreakBefore w:val="0"/>
              <w:kinsoku/>
              <w:wordWrap/>
              <w:overflowPunct/>
              <w:topLinePunct w:val="0"/>
              <w:autoSpaceDE/>
              <w:autoSpaceDN/>
              <w:bidi w:val="0"/>
              <w:spacing w:line="360" w:lineRule="auto"/>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式中：P指颗粒物产生量（单位：吨）；</w:t>
            </w:r>
          </w:p>
          <w:p w14:paraId="0967B293">
            <w:pPr>
              <w:keepNext w:val="0"/>
              <w:keepLines w:val="0"/>
              <w:pageBreakBefore w:val="0"/>
              <w:kinsoku/>
              <w:wordWrap/>
              <w:overflowPunct/>
              <w:topLinePunct w:val="0"/>
              <w:autoSpaceDE/>
              <w:autoSpaceDN/>
              <w:bidi w:val="0"/>
              <w:spacing w:line="360" w:lineRule="auto"/>
              <w:ind w:firstLine="720" w:firstLineChars="300"/>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ZC</w:t>
            </w:r>
            <w:r>
              <w:rPr>
                <w:rFonts w:hint="default" w:ascii="Times New Roman" w:hAnsi="Times New Roman" w:eastAsia="宋体" w:cs="Times New Roman"/>
                <w:color w:val="auto"/>
                <w:kern w:val="0"/>
                <w:sz w:val="24"/>
                <w:szCs w:val="24"/>
                <w:vertAlign w:val="subscript"/>
              </w:rPr>
              <w:t>y</w:t>
            </w:r>
            <w:r>
              <w:rPr>
                <w:rFonts w:hint="default" w:ascii="Times New Roman" w:hAnsi="Times New Roman" w:eastAsia="宋体" w:cs="Times New Roman"/>
                <w:color w:val="auto"/>
                <w:kern w:val="0"/>
                <w:sz w:val="24"/>
                <w:szCs w:val="24"/>
              </w:rPr>
              <w:t>指装卸扬尘产生量（单位：吨）；</w:t>
            </w:r>
          </w:p>
          <w:p w14:paraId="1B7D3BB6">
            <w:pPr>
              <w:keepNext w:val="0"/>
              <w:keepLines w:val="0"/>
              <w:pageBreakBefore w:val="0"/>
              <w:kinsoku/>
              <w:wordWrap/>
              <w:overflowPunct/>
              <w:topLinePunct w:val="0"/>
              <w:autoSpaceDE/>
              <w:autoSpaceDN/>
              <w:bidi w:val="0"/>
              <w:spacing w:line="360" w:lineRule="auto"/>
              <w:ind w:firstLine="720" w:firstLineChars="300"/>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FC</w:t>
            </w:r>
            <w:r>
              <w:rPr>
                <w:rFonts w:hint="default" w:ascii="Times New Roman" w:hAnsi="Times New Roman" w:eastAsia="宋体" w:cs="Times New Roman"/>
                <w:color w:val="auto"/>
                <w:kern w:val="0"/>
                <w:sz w:val="24"/>
                <w:szCs w:val="24"/>
                <w:vertAlign w:val="subscript"/>
              </w:rPr>
              <w:t>y</w:t>
            </w:r>
            <w:r>
              <w:rPr>
                <w:rFonts w:hint="default" w:ascii="Times New Roman" w:hAnsi="Times New Roman" w:eastAsia="宋体" w:cs="Times New Roman"/>
                <w:color w:val="auto"/>
                <w:kern w:val="0"/>
                <w:sz w:val="24"/>
                <w:szCs w:val="24"/>
              </w:rPr>
              <w:t>指风蚀扬尘产生量（单位：吨）；</w:t>
            </w:r>
          </w:p>
          <w:p w14:paraId="2D414848">
            <w:pPr>
              <w:keepNext w:val="0"/>
              <w:keepLines w:val="0"/>
              <w:pageBreakBefore w:val="0"/>
              <w:kinsoku/>
              <w:wordWrap/>
              <w:overflowPunct/>
              <w:topLinePunct w:val="0"/>
              <w:autoSpaceDE/>
              <w:autoSpaceDN/>
              <w:bidi w:val="0"/>
              <w:spacing w:line="360" w:lineRule="auto"/>
              <w:ind w:firstLine="720" w:firstLineChars="300"/>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N</w:t>
            </w:r>
            <w:r>
              <w:rPr>
                <w:rFonts w:hint="default" w:ascii="Times New Roman" w:hAnsi="Times New Roman" w:eastAsia="宋体" w:cs="Times New Roman"/>
                <w:color w:val="auto"/>
                <w:kern w:val="0"/>
                <w:sz w:val="24"/>
                <w:szCs w:val="24"/>
                <w:vertAlign w:val="subscript"/>
              </w:rPr>
              <w:t>c</w:t>
            </w:r>
            <w:r>
              <w:rPr>
                <w:rFonts w:hint="default" w:ascii="Times New Roman" w:hAnsi="Times New Roman" w:eastAsia="宋体" w:cs="Times New Roman"/>
                <w:color w:val="auto"/>
                <w:kern w:val="0"/>
                <w:sz w:val="24"/>
                <w:szCs w:val="24"/>
              </w:rPr>
              <w:t>指年物料运载车次（单位：车）；</w:t>
            </w:r>
          </w:p>
          <w:p w14:paraId="7BF8C5E4">
            <w:pPr>
              <w:keepNext w:val="0"/>
              <w:keepLines w:val="0"/>
              <w:pageBreakBefore w:val="0"/>
              <w:kinsoku/>
              <w:wordWrap/>
              <w:overflowPunct/>
              <w:topLinePunct w:val="0"/>
              <w:autoSpaceDE/>
              <w:autoSpaceDN/>
              <w:bidi w:val="0"/>
              <w:spacing w:line="360" w:lineRule="auto"/>
              <w:ind w:firstLine="720" w:firstLineChars="300"/>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D指单车平均运载量（单位：吨/车）；</w:t>
            </w:r>
          </w:p>
          <w:p w14:paraId="4DD035C2">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（a/b）指装卸扬尘概化系数</w:t>
            </w: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单位：千克/吨</w:t>
            </w: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，a指各省风速概化系数，见附录1，b指物料含水率概化系数，见附录2；</w:t>
            </w:r>
          </w:p>
          <w:p w14:paraId="44EA0168">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E</w:t>
            </w:r>
            <w:r>
              <w:rPr>
                <w:rFonts w:hint="default" w:ascii="Times New Roman" w:hAnsi="Times New Roman" w:eastAsia="宋体" w:cs="Times New Roman"/>
                <w:color w:val="auto"/>
                <w:kern w:val="0"/>
                <w:sz w:val="24"/>
                <w:szCs w:val="24"/>
                <w:vertAlign w:val="subscript"/>
              </w:rPr>
              <w:t>f</w:t>
            </w:r>
            <w:r>
              <w:rPr>
                <w:rFonts w:hint="default" w:ascii="Times New Roman" w:hAnsi="Times New Roman" w:eastAsia="宋体" w:cs="Times New Roman"/>
                <w:color w:val="auto"/>
                <w:kern w:val="0"/>
                <w:sz w:val="24"/>
                <w:szCs w:val="24"/>
              </w:rPr>
              <w:t>指堆场风蚀扬尘概化系数，见附录3</w:t>
            </w: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单位：千克/平方米</w:t>
            </w: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w:t>
            </w:r>
          </w:p>
          <w:p w14:paraId="148BCB85">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S指堆场占地面积</w:t>
            </w: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单位：平方米</w:t>
            </w: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w:t>
            </w:r>
          </w:p>
          <w:p w14:paraId="4099263C">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本项目D煤炭装载车单车平均运载量为</w:t>
            </w:r>
            <w:r>
              <w:rPr>
                <w:rFonts w:hint="default" w:ascii="Times New Roman" w:hAnsi="Times New Roman" w:cs="Times New Roman"/>
                <w:color w:val="auto"/>
                <w:sz w:val="24"/>
                <w:szCs w:val="24"/>
                <w:lang w:val="en-US" w:eastAsia="zh-CN"/>
              </w:rPr>
              <w:t>30</w:t>
            </w:r>
            <w:r>
              <w:rPr>
                <w:rFonts w:hint="default" w:ascii="Times New Roman" w:hAnsi="Times New Roman" w:eastAsia="宋体" w:cs="Times New Roman"/>
                <w:color w:val="auto"/>
                <w:sz w:val="24"/>
                <w:szCs w:val="24"/>
              </w:rPr>
              <w:t>吨/车，</w:t>
            </w:r>
            <w:r>
              <w:rPr>
                <w:rFonts w:hint="default" w:ascii="Times New Roman" w:hAnsi="Times New Roman" w:eastAsia="宋体" w:cs="Times New Roman"/>
                <w:color w:val="auto"/>
                <w:kern w:val="0"/>
                <w:sz w:val="24"/>
                <w:szCs w:val="24"/>
              </w:rPr>
              <w:t>N</w:t>
            </w:r>
            <w:r>
              <w:rPr>
                <w:rFonts w:hint="default" w:ascii="Times New Roman" w:hAnsi="Times New Roman" w:eastAsia="宋体" w:cs="Times New Roman"/>
                <w:color w:val="auto"/>
                <w:kern w:val="0"/>
                <w:sz w:val="24"/>
                <w:szCs w:val="24"/>
                <w:vertAlign w:val="subscript"/>
              </w:rPr>
              <w:t>c</w:t>
            </w:r>
            <w:r>
              <w:rPr>
                <w:rFonts w:hint="default" w:ascii="Times New Roman" w:hAnsi="Times New Roman" w:eastAsia="宋体" w:cs="Times New Roman"/>
                <w:color w:val="auto"/>
                <w:sz w:val="24"/>
                <w:szCs w:val="24"/>
              </w:rPr>
              <w:t>年物料运载车次为</w:t>
            </w:r>
            <w:r>
              <w:rPr>
                <w:rFonts w:hint="default" w:ascii="Times New Roman" w:hAnsi="Times New Roman" w:cs="Times New Roman"/>
                <w:color w:val="auto"/>
                <w:sz w:val="24"/>
                <w:szCs w:val="24"/>
                <w:lang w:val="en-US" w:eastAsia="zh-CN"/>
              </w:rPr>
              <w:t>3000</w:t>
            </w:r>
            <w:r>
              <w:rPr>
                <w:rFonts w:hint="default" w:ascii="Times New Roman" w:hAnsi="Times New Roman" w:eastAsia="宋体" w:cs="Times New Roman"/>
                <w:color w:val="auto"/>
                <w:sz w:val="24"/>
                <w:szCs w:val="24"/>
              </w:rPr>
              <w:t>车，根据附录1，黑龙江省a取0.0015；本项目堆场物料为煤炭，参考附录2煤炭，b取0.0054；根据附录3，</w:t>
            </w:r>
            <w:r>
              <w:rPr>
                <w:rFonts w:hint="default" w:ascii="Times New Roman" w:hAnsi="Times New Roman" w:eastAsia="宋体" w:cs="Times New Roman"/>
                <w:color w:val="auto"/>
                <w:kern w:val="0"/>
                <w:sz w:val="24"/>
                <w:szCs w:val="24"/>
              </w:rPr>
              <w:t>E</w:t>
            </w:r>
            <w:r>
              <w:rPr>
                <w:rFonts w:hint="default" w:ascii="Times New Roman" w:hAnsi="Times New Roman" w:eastAsia="宋体" w:cs="Times New Roman"/>
                <w:color w:val="auto"/>
                <w:kern w:val="0"/>
                <w:sz w:val="24"/>
                <w:szCs w:val="24"/>
                <w:vertAlign w:val="subscript"/>
              </w:rPr>
              <w:t>f</w:t>
            </w:r>
            <w:r>
              <w:rPr>
                <w:rFonts w:hint="default" w:ascii="Times New Roman" w:hAnsi="Times New Roman" w:eastAsia="宋体" w:cs="Times New Roman"/>
                <w:color w:val="auto"/>
                <w:sz w:val="24"/>
                <w:szCs w:val="24"/>
              </w:rPr>
              <w:t>风蚀概化系数取31.1418，</w:t>
            </w:r>
            <w:r>
              <w:rPr>
                <w:rFonts w:hint="default" w:ascii="Times New Roman" w:hAnsi="Times New Roman" w:eastAsia="宋体" w:cs="Times New Roman"/>
                <w:color w:val="auto"/>
                <w:kern w:val="0"/>
                <w:sz w:val="24"/>
                <w:szCs w:val="24"/>
              </w:rPr>
              <w:t>S</w:t>
            </w:r>
            <w:r>
              <w:rPr>
                <w:rFonts w:hint="default" w:ascii="Times New Roman" w:hAnsi="Times New Roman" w:eastAsia="宋体" w:cs="Times New Roman"/>
                <w:color w:val="auto"/>
                <w:sz w:val="24"/>
                <w:szCs w:val="24"/>
              </w:rPr>
              <w:t>堆场占地面积取</w:t>
            </w:r>
            <w:r>
              <w:rPr>
                <w:rFonts w:hint="default" w:ascii="Times New Roman" w:hAnsi="Times New Roman" w:cs="Times New Roman"/>
                <w:color w:val="auto"/>
                <w:sz w:val="24"/>
                <w:szCs w:val="24"/>
                <w:lang w:val="en-US" w:eastAsia="zh-CN"/>
              </w:rPr>
              <w:t>14000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，经计算，</w:t>
            </w:r>
            <w:r>
              <w:rPr>
                <w:rFonts w:hint="default" w:ascii="Times New Roman" w:hAnsi="Times New Roman" w:cs="Times New Roman"/>
                <w:color w:val="auto"/>
                <w:sz w:val="24"/>
                <w:szCs w:val="24"/>
                <w:lang w:val="en-US" w:eastAsia="zh-CN"/>
              </w:rPr>
              <w:t>装卸扬尘产生量为25t/a，风蚀扬尘产生量为871.97t/a，</w:t>
            </w:r>
            <w:r>
              <w:rPr>
                <w:rFonts w:hint="default" w:ascii="Times New Roman" w:hAnsi="Times New Roman" w:eastAsia="宋体" w:cs="Times New Roman"/>
                <w:color w:val="auto"/>
                <w:sz w:val="24"/>
                <w:szCs w:val="24"/>
              </w:rPr>
              <w:t>堆场颗粒物产生</w:t>
            </w:r>
            <w:r>
              <w:rPr>
                <w:rFonts w:hint="default" w:ascii="Times New Roman" w:hAnsi="Times New Roman" w:cs="Times New Roman"/>
                <w:color w:val="auto"/>
                <w:sz w:val="24"/>
                <w:szCs w:val="24"/>
                <w:lang w:val="en-US" w:eastAsia="zh-CN"/>
              </w:rPr>
              <w:t>总</w:t>
            </w:r>
            <w:r>
              <w:rPr>
                <w:rFonts w:hint="default" w:ascii="Times New Roman" w:hAnsi="Times New Roman" w:eastAsia="宋体" w:cs="Times New Roman"/>
                <w:color w:val="auto"/>
                <w:sz w:val="24"/>
                <w:szCs w:val="24"/>
              </w:rPr>
              <w:t>量P为</w:t>
            </w:r>
            <w:r>
              <w:rPr>
                <w:rFonts w:hint="default" w:ascii="Times New Roman" w:hAnsi="Times New Roman" w:cs="Times New Roman"/>
                <w:color w:val="auto"/>
                <w:sz w:val="24"/>
                <w:szCs w:val="24"/>
                <w:lang w:val="en-US" w:eastAsia="zh-CN"/>
              </w:rPr>
              <w:t>896.97</w:t>
            </w:r>
            <w:r>
              <w:rPr>
                <w:rFonts w:hint="default" w:ascii="Times New Roman" w:hAnsi="Times New Roman" w:eastAsia="宋体" w:cs="Times New Roman"/>
                <w:color w:val="auto"/>
                <w:sz w:val="24"/>
                <w:szCs w:val="24"/>
              </w:rPr>
              <w:t>t/a。</w:t>
            </w:r>
          </w:p>
          <w:p w14:paraId="47294398">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工业企业固体物料堆场颗粒物排放量核算公式如下：</w:t>
            </w:r>
          </w:p>
          <w:p w14:paraId="0936D2CF">
            <w:pPr>
              <w:pStyle w:val="2"/>
              <w:keepNext w:val="0"/>
              <w:keepLines w:val="0"/>
              <w:pageBreakBefore w:val="0"/>
              <w:kinsoku/>
              <w:wordWrap/>
              <w:overflowPunct/>
              <w:topLinePunct w:val="0"/>
              <w:autoSpaceDE/>
              <w:autoSpaceDN/>
              <w:bidi w:val="0"/>
              <w:spacing w:before="0" w:after="0" w:line="360" w:lineRule="auto"/>
              <w:ind w:right="0"/>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drawing>
                <wp:inline distT="0" distB="0" distL="114300" distR="114300">
                  <wp:extent cx="2676525" cy="485775"/>
                  <wp:effectExtent l="0" t="0" r="9525" b="9525"/>
                  <wp:docPr id="115" name="图片 115" descr="1679378255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1679378255988"/>
                          <pic:cNvPicPr>
                            <a:picLocks noChangeAspect="1"/>
                          </pic:cNvPicPr>
                        </pic:nvPicPr>
                        <pic:blipFill>
                          <a:blip r:embed="rId22"/>
                          <a:stretch>
                            <a:fillRect/>
                          </a:stretch>
                        </pic:blipFill>
                        <pic:spPr>
                          <a:xfrm>
                            <a:off x="0" y="0"/>
                            <a:ext cx="2676525" cy="485775"/>
                          </a:xfrm>
                          <a:prstGeom prst="rect">
                            <a:avLst/>
                          </a:prstGeom>
                        </pic:spPr>
                      </pic:pic>
                    </a:graphicData>
                  </a:graphic>
                </wp:inline>
              </w:drawing>
            </w:r>
          </w:p>
          <w:p w14:paraId="577451E1">
            <w:pPr>
              <w:keepNext w:val="0"/>
              <w:keepLines w:val="0"/>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式中：P指颗粒物产生量（单位：吨）；</w:t>
            </w:r>
          </w:p>
          <w:p w14:paraId="5DD711FB">
            <w:pPr>
              <w:keepNext w:val="0"/>
              <w:keepLines w:val="0"/>
              <w:pageBreakBefore w:val="0"/>
              <w:kinsoku/>
              <w:wordWrap/>
              <w:overflowPunct/>
              <w:topLinePunct w:val="0"/>
              <w:autoSpaceDE/>
              <w:autoSpaceDN/>
              <w:bidi w:val="0"/>
              <w:adjustRightInd w:val="0"/>
              <w:snapToGrid w:val="0"/>
              <w:spacing w:line="360" w:lineRule="auto"/>
              <w:ind w:firstLine="720" w:firstLineChars="3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U</w:t>
            </w:r>
            <w:r>
              <w:rPr>
                <w:rFonts w:hint="default" w:ascii="Times New Roman" w:hAnsi="Times New Roman" w:eastAsia="宋体" w:cs="Times New Roman"/>
                <w:color w:val="auto"/>
                <w:sz w:val="24"/>
                <w:szCs w:val="24"/>
                <w:vertAlign w:val="subscript"/>
              </w:rPr>
              <w:t>c</w:t>
            </w:r>
            <w:r>
              <w:rPr>
                <w:rFonts w:hint="default" w:ascii="Times New Roman" w:hAnsi="Times New Roman" w:eastAsia="宋体" w:cs="Times New Roman"/>
                <w:color w:val="auto"/>
                <w:sz w:val="24"/>
                <w:szCs w:val="24"/>
              </w:rPr>
              <w:t>指颗粒物排放量（单位：吨）；</w:t>
            </w:r>
          </w:p>
          <w:p w14:paraId="7C4C5D61">
            <w:pPr>
              <w:keepNext w:val="0"/>
              <w:keepLines w:val="0"/>
              <w:pageBreakBefore w:val="0"/>
              <w:kinsoku/>
              <w:wordWrap/>
              <w:overflowPunct/>
              <w:topLinePunct w:val="0"/>
              <w:autoSpaceDE/>
              <w:autoSpaceDN/>
              <w:bidi w:val="0"/>
              <w:adjustRightInd w:val="0"/>
              <w:snapToGrid w:val="0"/>
              <w:spacing w:line="360" w:lineRule="auto"/>
              <w:ind w:firstLine="720" w:firstLineChars="3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C</w:t>
            </w:r>
            <w:r>
              <w:rPr>
                <w:rFonts w:hint="default" w:ascii="Times New Roman" w:hAnsi="Times New Roman" w:eastAsia="宋体" w:cs="Times New Roman"/>
                <w:color w:val="auto"/>
                <w:sz w:val="24"/>
                <w:szCs w:val="24"/>
                <w:vertAlign w:val="subscript"/>
              </w:rPr>
              <w:t>m</w:t>
            </w:r>
            <w:r>
              <w:rPr>
                <w:rFonts w:hint="default" w:ascii="Times New Roman" w:hAnsi="Times New Roman" w:eastAsia="宋体" w:cs="Times New Roman"/>
                <w:color w:val="auto"/>
                <w:sz w:val="24"/>
                <w:szCs w:val="24"/>
              </w:rPr>
              <w:t>指颗粒物控制措施控制效率（单位：%），见附录4；</w:t>
            </w:r>
          </w:p>
          <w:p w14:paraId="40683435">
            <w:pPr>
              <w:keepNext w:val="0"/>
              <w:keepLines w:val="0"/>
              <w:pageBreakBefore w:val="0"/>
              <w:kinsoku/>
              <w:wordWrap/>
              <w:overflowPunct/>
              <w:topLinePunct w:val="0"/>
              <w:autoSpaceDE/>
              <w:autoSpaceDN/>
              <w:bidi w:val="0"/>
              <w:adjustRightInd w:val="0"/>
              <w:snapToGrid w:val="0"/>
              <w:spacing w:line="360" w:lineRule="auto"/>
              <w:ind w:firstLine="720" w:firstLineChars="3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T</w:t>
            </w:r>
            <w:r>
              <w:rPr>
                <w:rFonts w:hint="default" w:ascii="Times New Roman" w:hAnsi="Times New Roman" w:eastAsia="宋体" w:cs="Times New Roman"/>
                <w:color w:val="auto"/>
                <w:sz w:val="24"/>
                <w:szCs w:val="24"/>
                <w:vertAlign w:val="subscript"/>
              </w:rPr>
              <w:t>m</w:t>
            </w:r>
            <w:r>
              <w:rPr>
                <w:rFonts w:hint="default" w:ascii="Times New Roman" w:hAnsi="Times New Roman" w:eastAsia="宋体" w:cs="Times New Roman"/>
                <w:color w:val="auto"/>
                <w:sz w:val="24"/>
                <w:szCs w:val="24"/>
              </w:rPr>
              <w:t>指堆场类型控制效率（单位：%），见附录5。</w:t>
            </w:r>
          </w:p>
          <w:p w14:paraId="4E59828A">
            <w:pPr>
              <w:pStyle w:val="30"/>
              <w:keepNext w:val="0"/>
              <w:keepLines w:val="0"/>
              <w:pageBreakBefore w:val="0"/>
              <w:kinsoku/>
              <w:wordWrap/>
              <w:overflowPunct/>
              <w:topLinePunct w:val="0"/>
              <w:autoSpaceDE/>
              <w:autoSpaceDN/>
              <w:bidi w:val="0"/>
              <w:spacing w:line="360" w:lineRule="auto"/>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color w:val="auto"/>
                <w:szCs w:val="21"/>
              </w:rPr>
              <w:t>本项目粉尘控制措施控制效率依据《固体物料堆存颗粒物产排污核算系数手册》“附录4：粉尘控制措施控制效率”。本项目</w:t>
            </w:r>
            <w:r>
              <w:rPr>
                <w:rFonts w:hint="default" w:ascii="Times New Roman" w:hAnsi="Times New Roman" w:cs="Times New Roman"/>
                <w:color w:val="auto"/>
                <w:szCs w:val="21"/>
                <w:lang w:eastAsia="zh-CN"/>
              </w:rPr>
              <w:t>采用洒水车降尘</w:t>
            </w:r>
            <w:r>
              <w:rPr>
                <w:rFonts w:hint="default" w:ascii="Times New Roman" w:hAnsi="Times New Roman" w:eastAsia="宋体" w:cs="Times New Roman"/>
                <w:color w:val="auto"/>
                <w:szCs w:val="21"/>
              </w:rPr>
              <w:t>，Cm取7</w:t>
            </w:r>
            <w:r>
              <w:rPr>
                <w:rFonts w:hint="default" w:ascii="Times New Roman" w:hAnsi="Times New Roman" w:cs="Times New Roman"/>
                <w:color w:val="auto"/>
                <w:szCs w:val="21"/>
                <w:lang w:val="en-US" w:eastAsia="zh-CN"/>
              </w:rPr>
              <w:t>4</w:t>
            </w:r>
            <w:r>
              <w:rPr>
                <w:rFonts w:hint="default" w:ascii="Times New Roman" w:hAnsi="Times New Roman" w:eastAsia="宋体" w:cs="Times New Roman"/>
                <w:color w:val="auto"/>
                <w:szCs w:val="21"/>
              </w:rPr>
              <w:t>%，厂区采用围挡（防风抑尘网），围挡Cm取60%，堆场采用苫布遮盖（防尘网）方式降尘，苫布遮盖Cm取86%，堆场为敞开式，Tm取0%，</w:t>
            </w:r>
            <w:r>
              <w:rPr>
                <w:rFonts w:hint="default" w:ascii="Times New Roman" w:hAnsi="Times New Roman" w:cs="Times New Roman"/>
                <w:color w:val="auto"/>
                <w:szCs w:val="21"/>
                <w:lang w:val="en-US" w:eastAsia="zh-CN"/>
              </w:rPr>
              <w:t>则堆场综合除尘效率为98.5%。装卸过程采取洒水车降尘，Cm取74%、围挡（防风抑尘网），Cm取60%，则装卸过程综合除</w:t>
            </w:r>
            <w:r>
              <w:rPr>
                <w:rFonts w:hint="default" w:ascii="Times New Roman" w:hAnsi="Times New Roman" w:cs="Times New Roman"/>
                <w:color w:val="auto"/>
                <w:szCs w:val="21"/>
                <w:highlight w:val="none"/>
                <w:lang w:val="en-US" w:eastAsia="zh-CN"/>
              </w:rPr>
              <w:t>尘效率为90%，</w:t>
            </w:r>
            <w:r>
              <w:rPr>
                <w:rFonts w:hint="default" w:ascii="Times New Roman" w:hAnsi="Times New Roman" w:eastAsia="宋体" w:cs="Times New Roman"/>
                <w:color w:val="auto"/>
                <w:szCs w:val="21"/>
                <w:highlight w:val="none"/>
              </w:rPr>
              <w:t>经计算</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堆场风蚀扬尘</w:t>
            </w:r>
            <w:r>
              <w:rPr>
                <w:rFonts w:hint="default" w:ascii="Times New Roman" w:hAnsi="Times New Roman" w:eastAsia="宋体" w:cs="Times New Roman"/>
                <w:color w:val="auto"/>
                <w:szCs w:val="21"/>
                <w:highlight w:val="none"/>
              </w:rPr>
              <w:t>颗粒物排放量为</w:t>
            </w:r>
            <w:r>
              <w:rPr>
                <w:rFonts w:hint="default" w:ascii="Times New Roman" w:hAnsi="Times New Roman" w:cs="Times New Roman"/>
                <w:color w:val="auto"/>
                <w:szCs w:val="21"/>
                <w:highlight w:val="none"/>
                <w:lang w:val="en-US" w:eastAsia="zh-CN"/>
              </w:rPr>
              <w:t>13.08</w:t>
            </w:r>
            <w:r>
              <w:rPr>
                <w:rFonts w:hint="default" w:ascii="Times New Roman" w:hAnsi="Times New Roman" w:eastAsia="宋体" w:cs="Times New Roman"/>
                <w:color w:val="auto"/>
                <w:szCs w:val="21"/>
                <w:highlight w:val="none"/>
              </w:rPr>
              <w:t>t/a，排放速率为</w:t>
            </w:r>
            <w:r>
              <w:rPr>
                <w:rFonts w:hint="default" w:ascii="Times New Roman" w:hAnsi="Times New Roman" w:cs="Times New Roman"/>
                <w:color w:val="auto"/>
                <w:szCs w:val="21"/>
                <w:highlight w:val="none"/>
                <w:lang w:val="en-US" w:eastAsia="zh-CN"/>
              </w:rPr>
              <w:t>1.817</w:t>
            </w:r>
            <w:r>
              <w:rPr>
                <w:rFonts w:hint="default" w:ascii="Times New Roman" w:hAnsi="Times New Roman" w:eastAsia="宋体" w:cs="Times New Roman"/>
                <w:color w:val="auto"/>
                <w:szCs w:val="21"/>
                <w:highlight w:val="none"/>
              </w:rPr>
              <w:t>kg/h，</w:t>
            </w:r>
            <w:r>
              <w:rPr>
                <w:rFonts w:hint="default" w:ascii="Times New Roman" w:hAnsi="Times New Roman" w:cs="Times New Roman"/>
                <w:color w:val="auto"/>
                <w:szCs w:val="21"/>
                <w:highlight w:val="none"/>
                <w:lang w:val="en-US" w:eastAsia="zh-CN"/>
              </w:rPr>
              <w:t>装卸扬尘排放量为2.5t/a，年装卸时间约为1500h，排放速率为1.666</w:t>
            </w:r>
            <w:r>
              <w:rPr>
                <w:rFonts w:hint="default" w:ascii="Times New Roman" w:hAnsi="Times New Roman" w:eastAsia="宋体" w:cs="Times New Roman"/>
                <w:color w:val="auto"/>
                <w:szCs w:val="21"/>
                <w:highlight w:val="none"/>
              </w:rPr>
              <w:t>kg/h</w:t>
            </w:r>
            <w:r>
              <w:rPr>
                <w:rFonts w:hint="default" w:ascii="Times New Roman" w:hAnsi="Times New Roman" w:cs="Times New Roman"/>
                <w:color w:val="auto"/>
                <w:szCs w:val="21"/>
                <w:highlight w:val="none"/>
                <w:lang w:eastAsia="zh-CN"/>
              </w:rPr>
              <w:t>。</w:t>
            </w:r>
            <w:r>
              <w:rPr>
                <w:rFonts w:hint="default" w:ascii="Times New Roman" w:hAnsi="Times New Roman" w:eastAsia="宋体" w:cs="Times New Roman"/>
                <w:color w:val="auto"/>
                <w:szCs w:val="21"/>
                <w:highlight w:val="none"/>
              </w:rPr>
              <w:t>处</w:t>
            </w:r>
            <w:r>
              <w:rPr>
                <w:rFonts w:hint="default" w:ascii="Times New Roman" w:hAnsi="Times New Roman" w:eastAsia="宋体" w:cs="Times New Roman"/>
                <w:color w:val="auto"/>
                <w:szCs w:val="21"/>
              </w:rPr>
              <w:t>理后颗粒物以无组织方式排放。</w:t>
            </w:r>
          </w:p>
          <w:p w14:paraId="0EC47D5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②运输车辆过程扬尘</w:t>
            </w:r>
          </w:p>
          <w:p w14:paraId="49A80E32">
            <w:pPr>
              <w:pStyle w:val="30"/>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本项目产品由厂区自有运输车运输。运输产生的颗粒物主要是沿途抛洒及道路行驶引起的扬尘，属于无组织排放源。根据《逸散性工业粉尘粉尘控制技术》“工厂道路和停车场”，铺砌路面的车辆的特定排放因子计算方法如下：</w:t>
            </w:r>
          </w:p>
          <w:p w14:paraId="6A1C8361">
            <w:pPr>
              <w:pStyle w:val="30"/>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3286125" cy="285750"/>
                  <wp:effectExtent l="0" t="0" r="9525" b="0"/>
                  <wp:docPr id="1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
                          <pic:cNvPicPr>
                            <a:picLocks noChangeAspect="1"/>
                          </pic:cNvPicPr>
                        </pic:nvPicPr>
                        <pic:blipFill>
                          <a:blip r:embed="rId23"/>
                          <a:stretch>
                            <a:fillRect/>
                          </a:stretch>
                        </pic:blipFill>
                        <pic:spPr>
                          <a:xfrm>
                            <a:off x="0" y="0"/>
                            <a:ext cx="3286125" cy="285750"/>
                          </a:xfrm>
                          <a:prstGeom prst="rect">
                            <a:avLst/>
                          </a:prstGeom>
                          <a:noFill/>
                          <a:ln>
                            <a:noFill/>
                          </a:ln>
                        </pic:spPr>
                      </pic:pic>
                    </a:graphicData>
                  </a:graphic>
                </wp:inline>
              </w:drawing>
            </w:r>
          </w:p>
          <w:p w14:paraId="26608F4A">
            <w:pPr>
              <w:keepNext w:val="0"/>
              <w:keepLines w:val="0"/>
              <w:pageBreakBefore w:val="0"/>
              <w:widowControl w:val="0"/>
              <w:kinsoku/>
              <w:wordWrap/>
              <w:overflowPunct/>
              <w:topLinePunct w:val="0"/>
              <w:autoSpaceDE/>
              <w:autoSpaceDN/>
              <w:bidi w:val="0"/>
              <w:spacing w:line="360" w:lineRule="auto"/>
              <w:textAlignment w:val="auto"/>
              <w:rPr>
                <w:rFonts w:hint="default" w:ascii="Times New Roman" w:hAnsi="Times New Roman" w:cs="Times New Roman"/>
                <w:color w:val="auto"/>
                <w:kern w:val="0"/>
                <w:sz w:val="24"/>
                <w:szCs w:val="20"/>
              </w:rPr>
            </w:pPr>
            <w:r>
              <w:rPr>
                <w:rFonts w:hint="default" w:ascii="Times New Roman" w:hAnsi="Times New Roman" w:cs="Times New Roman"/>
                <w:color w:val="auto"/>
                <w:kern w:val="0"/>
                <w:sz w:val="24"/>
                <w:szCs w:val="20"/>
              </w:rPr>
              <w:t>式中：EF—排放因子，车辆里程（单位：g/km）；</w:t>
            </w:r>
          </w:p>
          <w:p w14:paraId="502858CD">
            <w:pPr>
              <w:keepNext w:val="0"/>
              <w:keepLines w:val="0"/>
              <w:pageBreakBefore w:val="0"/>
              <w:widowControl w:val="0"/>
              <w:kinsoku/>
              <w:wordWrap/>
              <w:overflowPunct/>
              <w:topLinePunct w:val="0"/>
              <w:autoSpaceDE/>
              <w:autoSpaceDN/>
              <w:bidi w:val="0"/>
              <w:spacing w:line="360" w:lineRule="auto"/>
              <w:ind w:firstLine="720" w:firstLineChars="300"/>
              <w:textAlignment w:val="auto"/>
              <w:rPr>
                <w:rFonts w:hint="default" w:ascii="Times New Roman" w:hAnsi="Times New Roman" w:cs="Times New Roman"/>
                <w:color w:val="auto"/>
                <w:kern w:val="0"/>
                <w:sz w:val="24"/>
                <w:szCs w:val="20"/>
              </w:rPr>
            </w:pPr>
            <w:r>
              <w:rPr>
                <w:rFonts w:hint="default" w:ascii="Times New Roman" w:hAnsi="Times New Roman" w:cs="Times New Roman"/>
                <w:color w:val="auto"/>
                <w:kern w:val="0"/>
                <w:sz w:val="24"/>
                <w:szCs w:val="20"/>
              </w:rPr>
              <w:t>P—来自铺砌路面并保持悬浮状态的颗粒物（直径小于30μm）的分数，0.90；</w:t>
            </w:r>
          </w:p>
          <w:p w14:paraId="52E58238">
            <w:pPr>
              <w:keepNext w:val="0"/>
              <w:keepLines w:val="0"/>
              <w:pageBreakBefore w:val="0"/>
              <w:widowControl w:val="0"/>
              <w:kinsoku/>
              <w:wordWrap/>
              <w:overflowPunct/>
              <w:topLinePunct w:val="0"/>
              <w:autoSpaceDE/>
              <w:autoSpaceDN/>
              <w:bidi w:val="0"/>
              <w:spacing w:line="360" w:lineRule="auto"/>
              <w:ind w:firstLine="720" w:firstLineChars="300"/>
              <w:textAlignment w:val="auto"/>
              <w:rPr>
                <w:rFonts w:hint="default" w:ascii="Times New Roman" w:hAnsi="Times New Roman" w:cs="Times New Roman"/>
                <w:color w:val="auto"/>
                <w:kern w:val="0"/>
                <w:sz w:val="24"/>
                <w:szCs w:val="20"/>
              </w:rPr>
            </w:pPr>
            <w:r>
              <w:rPr>
                <w:rFonts w:hint="default" w:ascii="Times New Roman" w:hAnsi="Times New Roman" w:cs="Times New Roman"/>
                <w:color w:val="auto"/>
                <w:kern w:val="0"/>
                <w:sz w:val="24"/>
                <w:szCs w:val="20"/>
              </w:rPr>
              <w:t>E—来源于汽车尾气的颗粒物；</w:t>
            </w:r>
          </w:p>
          <w:p w14:paraId="2DFD293D">
            <w:pPr>
              <w:keepNext w:val="0"/>
              <w:keepLines w:val="0"/>
              <w:pageBreakBefore w:val="0"/>
              <w:widowControl w:val="0"/>
              <w:kinsoku/>
              <w:wordWrap/>
              <w:overflowPunct/>
              <w:topLinePunct w:val="0"/>
              <w:autoSpaceDE/>
              <w:autoSpaceDN/>
              <w:bidi w:val="0"/>
              <w:spacing w:line="360" w:lineRule="auto"/>
              <w:ind w:firstLine="720" w:firstLineChars="300"/>
              <w:textAlignment w:val="auto"/>
              <w:rPr>
                <w:rFonts w:hint="default" w:ascii="Times New Roman" w:hAnsi="Times New Roman" w:cs="Times New Roman"/>
                <w:color w:val="auto"/>
                <w:kern w:val="0"/>
                <w:sz w:val="24"/>
                <w:szCs w:val="20"/>
              </w:rPr>
            </w:pPr>
            <w:r>
              <w:rPr>
                <w:rFonts w:hint="default" w:ascii="Times New Roman" w:hAnsi="Times New Roman" w:cs="Times New Roman"/>
                <w:color w:val="auto"/>
                <w:kern w:val="0"/>
                <w:sz w:val="24"/>
                <w:szCs w:val="20"/>
              </w:rPr>
              <w:t>T—平均每辆车的轮胎数。</w:t>
            </w:r>
          </w:p>
          <w:p w14:paraId="172A3398">
            <w:pPr>
              <w:keepNext w:val="0"/>
              <w:keepLines w:val="0"/>
              <w:pageBreakBefore w:val="0"/>
              <w:widowControl w:val="0"/>
              <w:kinsoku/>
              <w:wordWrap/>
              <w:overflowPunct/>
              <w:topLinePunct w:val="0"/>
              <w:autoSpaceDE/>
              <w:autoSpaceDN/>
              <w:bidi w:val="0"/>
              <w:spacing w:line="360" w:lineRule="auto"/>
              <w:ind w:firstLine="720" w:firstLineChars="300"/>
              <w:textAlignment w:val="auto"/>
              <w:rPr>
                <w:rFonts w:hint="default" w:ascii="Times New Roman" w:hAnsi="Times New Roman" w:cs="Times New Roman"/>
                <w:color w:val="auto"/>
                <w:kern w:val="0"/>
                <w:sz w:val="24"/>
                <w:szCs w:val="20"/>
              </w:rPr>
            </w:pPr>
            <w:r>
              <w:rPr>
                <w:rFonts w:hint="default" w:ascii="Times New Roman" w:hAnsi="Times New Roman" w:cs="Times New Roman"/>
                <w:color w:val="auto"/>
                <w:kern w:val="0"/>
                <w:sz w:val="24"/>
                <w:szCs w:val="20"/>
              </w:rPr>
              <w:t>本项目P来自铺砌路面并保持悬浮状态的颗粒物（直径小于30μm）的分数，取0.90；E来源于汽车尾气的颗粒物，根据《逸散性工业粉尘粉尘控制技术》“工厂道路和停车场”表1-1</w:t>
            </w:r>
            <w:r>
              <w:rPr>
                <w:rFonts w:hint="default" w:ascii="Times New Roman" w:hAnsi="Times New Roman" w:cs="Times New Roman"/>
                <w:color w:val="auto"/>
                <w:kern w:val="0"/>
                <w:sz w:val="24"/>
                <w:szCs w:val="20"/>
                <w:lang w:eastAsia="zh-CN"/>
              </w:rPr>
              <w:t>铺砌</w:t>
            </w:r>
            <w:r>
              <w:rPr>
                <w:rFonts w:hint="default" w:ascii="Times New Roman" w:hAnsi="Times New Roman" w:cs="Times New Roman"/>
                <w:color w:val="auto"/>
                <w:kern w:val="0"/>
                <w:sz w:val="24"/>
                <w:szCs w:val="20"/>
              </w:rPr>
              <w:t>路面来往车辆的排放因子，重载汽油车（10轮），取0.57g/km；T平均每辆车的轮胎数，取10。经计算EF排放因子为7.87g/km。本项目运输车次为</w:t>
            </w:r>
            <w:r>
              <w:rPr>
                <w:rFonts w:hint="default" w:ascii="Times New Roman" w:hAnsi="Times New Roman" w:cs="Times New Roman"/>
                <w:color w:val="auto"/>
                <w:kern w:val="0"/>
                <w:sz w:val="24"/>
                <w:szCs w:val="20"/>
                <w:lang w:val="en-US" w:eastAsia="zh-CN"/>
              </w:rPr>
              <w:t>3000</w:t>
            </w:r>
            <w:r>
              <w:rPr>
                <w:rFonts w:hint="default" w:ascii="Times New Roman" w:hAnsi="Times New Roman" w:cs="Times New Roman"/>
                <w:color w:val="auto"/>
                <w:kern w:val="0"/>
                <w:sz w:val="24"/>
                <w:szCs w:val="20"/>
              </w:rPr>
              <w:t>车次，</w:t>
            </w:r>
            <w:r>
              <w:rPr>
                <w:rFonts w:hint="default" w:ascii="Times New Roman" w:hAnsi="Times New Roman" w:cs="Times New Roman"/>
                <w:color w:val="auto"/>
                <w:kern w:val="0"/>
                <w:sz w:val="24"/>
                <w:szCs w:val="20"/>
                <w:lang w:val="en-US" w:eastAsia="zh-CN"/>
              </w:rPr>
              <w:t>项目厂区内道路约为0.2km，</w:t>
            </w:r>
            <w:r>
              <w:rPr>
                <w:rFonts w:hint="default" w:ascii="Times New Roman" w:hAnsi="Times New Roman" w:cs="Times New Roman"/>
                <w:color w:val="auto"/>
                <w:kern w:val="0"/>
                <w:sz w:val="24"/>
                <w:szCs w:val="20"/>
              </w:rPr>
              <w:t>则本项目产品运输产生的颗粒物产生量为0.</w:t>
            </w:r>
            <w:r>
              <w:rPr>
                <w:rFonts w:hint="default" w:ascii="Times New Roman" w:hAnsi="Times New Roman" w:cs="Times New Roman"/>
                <w:color w:val="auto"/>
                <w:kern w:val="0"/>
                <w:sz w:val="24"/>
                <w:szCs w:val="20"/>
                <w:lang w:val="en-US" w:eastAsia="zh-CN"/>
              </w:rPr>
              <w:t>0047</w:t>
            </w:r>
            <w:r>
              <w:rPr>
                <w:rFonts w:hint="default" w:ascii="Times New Roman" w:hAnsi="Times New Roman" w:cs="Times New Roman"/>
                <w:color w:val="auto"/>
                <w:kern w:val="0"/>
                <w:sz w:val="24"/>
                <w:szCs w:val="20"/>
              </w:rPr>
              <w:t>t/a，排放速率为0.</w:t>
            </w:r>
            <w:r>
              <w:rPr>
                <w:rFonts w:hint="default" w:ascii="Times New Roman" w:hAnsi="Times New Roman" w:cs="Times New Roman"/>
                <w:color w:val="auto"/>
                <w:kern w:val="0"/>
                <w:sz w:val="24"/>
                <w:szCs w:val="20"/>
                <w:lang w:val="en-US" w:eastAsia="zh-CN"/>
              </w:rPr>
              <w:t>016</w:t>
            </w:r>
            <w:r>
              <w:rPr>
                <w:rFonts w:hint="default" w:ascii="Times New Roman" w:hAnsi="Times New Roman" w:cs="Times New Roman"/>
                <w:color w:val="auto"/>
                <w:kern w:val="0"/>
                <w:sz w:val="24"/>
                <w:szCs w:val="20"/>
              </w:rPr>
              <w:t>kg/h。本项目要求原料及产品运输过程中采用苫布覆盖，防止物料洒落，</w:t>
            </w:r>
            <w:r>
              <w:rPr>
                <w:rFonts w:hint="default" w:ascii="Times New Roman" w:hAnsi="Times New Roman" w:cs="Times New Roman"/>
                <w:color w:val="auto"/>
                <w:kern w:val="0"/>
                <w:sz w:val="24"/>
                <w:szCs w:val="20"/>
                <w:lang w:eastAsia="zh-CN"/>
              </w:rPr>
              <w:t>厂区道路洒水降尘，</w:t>
            </w:r>
            <w:r>
              <w:rPr>
                <w:rFonts w:hint="default" w:ascii="Times New Roman" w:hAnsi="Times New Roman" w:cs="Times New Roman"/>
                <w:color w:val="auto"/>
                <w:kern w:val="0"/>
                <w:sz w:val="24"/>
                <w:szCs w:val="20"/>
              </w:rPr>
              <w:t>减少运输过程中粉尘排放量。则本项目综合去除效率为80%，则无组织颗粒物排放量为0.0</w:t>
            </w:r>
            <w:r>
              <w:rPr>
                <w:rFonts w:hint="default" w:ascii="Times New Roman" w:hAnsi="Times New Roman" w:cs="Times New Roman"/>
                <w:color w:val="auto"/>
                <w:kern w:val="0"/>
                <w:sz w:val="24"/>
                <w:szCs w:val="20"/>
                <w:lang w:val="en-US" w:eastAsia="zh-CN"/>
              </w:rPr>
              <w:t>009</w:t>
            </w:r>
            <w:r>
              <w:rPr>
                <w:rFonts w:hint="default" w:ascii="Times New Roman" w:hAnsi="Times New Roman" w:cs="Times New Roman"/>
                <w:color w:val="auto"/>
                <w:kern w:val="0"/>
                <w:sz w:val="24"/>
                <w:szCs w:val="20"/>
              </w:rPr>
              <w:t>t/a，排放速率为0.0</w:t>
            </w:r>
            <w:r>
              <w:rPr>
                <w:rFonts w:hint="default" w:ascii="Times New Roman" w:hAnsi="Times New Roman" w:cs="Times New Roman"/>
                <w:color w:val="auto"/>
                <w:kern w:val="0"/>
                <w:sz w:val="24"/>
                <w:szCs w:val="20"/>
                <w:lang w:val="en-US" w:eastAsia="zh-CN"/>
              </w:rPr>
              <w:t>031</w:t>
            </w:r>
            <w:r>
              <w:rPr>
                <w:rFonts w:hint="default" w:ascii="Times New Roman" w:hAnsi="Times New Roman" w:cs="Times New Roman"/>
                <w:color w:val="auto"/>
                <w:kern w:val="0"/>
                <w:sz w:val="24"/>
                <w:szCs w:val="20"/>
              </w:rPr>
              <w:t>kg/h。</w:t>
            </w:r>
          </w:p>
          <w:p w14:paraId="014A0328">
            <w:pPr>
              <w:adjustRightInd w:val="0"/>
              <w:snapToGrid w:val="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表4-1  废气源强核算表</w:t>
            </w:r>
          </w:p>
          <w:tbl>
            <w:tblPr>
              <w:tblStyle w:val="20"/>
              <w:tblW w:w="0" w:type="auto"/>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5"/>
              <w:gridCol w:w="485"/>
              <w:gridCol w:w="674"/>
              <w:gridCol w:w="642"/>
              <w:gridCol w:w="820"/>
              <w:gridCol w:w="889"/>
              <w:gridCol w:w="1113"/>
              <w:gridCol w:w="759"/>
              <w:gridCol w:w="629"/>
              <w:gridCol w:w="689"/>
              <w:gridCol w:w="778"/>
              <w:gridCol w:w="794"/>
            </w:tblGrid>
            <w:tr w14:paraId="637B949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26" w:type="dxa"/>
                  <w:vMerge w:val="restart"/>
                  <w:noWrap w:val="0"/>
                  <w:vAlign w:val="center"/>
                </w:tcPr>
                <w:p w14:paraId="39F00271">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排放源</w:t>
                  </w:r>
                </w:p>
              </w:tc>
              <w:tc>
                <w:tcPr>
                  <w:tcW w:w="492" w:type="dxa"/>
                  <w:vMerge w:val="restart"/>
                  <w:noWrap w:val="0"/>
                  <w:vAlign w:val="center"/>
                </w:tcPr>
                <w:p w14:paraId="15B44053">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污染物</w:t>
                  </w:r>
                </w:p>
              </w:tc>
              <w:tc>
                <w:tcPr>
                  <w:tcW w:w="3072" w:type="dxa"/>
                  <w:gridSpan w:val="4"/>
                  <w:noWrap w:val="0"/>
                  <w:vAlign w:val="center"/>
                </w:tcPr>
                <w:p w14:paraId="6F781447">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污染物产生</w:t>
                  </w:r>
                </w:p>
              </w:tc>
              <w:tc>
                <w:tcPr>
                  <w:tcW w:w="1775" w:type="dxa"/>
                  <w:gridSpan w:val="2"/>
                  <w:noWrap w:val="0"/>
                  <w:vAlign w:val="center"/>
                </w:tcPr>
                <w:p w14:paraId="7D1EAB9A">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治理措施</w:t>
                  </w:r>
                </w:p>
              </w:tc>
              <w:tc>
                <w:tcPr>
                  <w:tcW w:w="2922" w:type="dxa"/>
                  <w:gridSpan w:val="4"/>
                  <w:noWrap w:val="0"/>
                  <w:vAlign w:val="center"/>
                </w:tcPr>
                <w:p w14:paraId="339FD7E8">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污染物排放</w:t>
                  </w:r>
                </w:p>
              </w:tc>
            </w:tr>
            <w:tr w14:paraId="16692C3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1" w:hRule="atLeast"/>
                <w:jc w:val="center"/>
              </w:trPr>
              <w:tc>
                <w:tcPr>
                  <w:tcW w:w="526" w:type="dxa"/>
                  <w:vMerge w:val="continue"/>
                  <w:noWrap w:val="0"/>
                  <w:vAlign w:val="center"/>
                </w:tcPr>
                <w:p w14:paraId="18E4729B">
                  <w:pPr>
                    <w:jc w:val="center"/>
                    <w:rPr>
                      <w:rFonts w:hint="default" w:ascii="Times New Roman" w:hAnsi="Times New Roman" w:cs="Times New Roman"/>
                      <w:color w:val="auto"/>
                      <w:szCs w:val="21"/>
                      <w:highlight w:val="none"/>
                    </w:rPr>
                  </w:pPr>
                </w:p>
              </w:tc>
              <w:tc>
                <w:tcPr>
                  <w:tcW w:w="492" w:type="dxa"/>
                  <w:vMerge w:val="continue"/>
                  <w:noWrap w:val="0"/>
                  <w:vAlign w:val="center"/>
                </w:tcPr>
                <w:p w14:paraId="50EAA081">
                  <w:pPr>
                    <w:jc w:val="center"/>
                    <w:rPr>
                      <w:rFonts w:hint="default" w:ascii="Times New Roman" w:hAnsi="Times New Roman" w:cs="Times New Roman"/>
                      <w:color w:val="auto"/>
                      <w:szCs w:val="21"/>
                      <w:highlight w:val="none"/>
                    </w:rPr>
                  </w:pPr>
                </w:p>
              </w:tc>
              <w:tc>
                <w:tcPr>
                  <w:tcW w:w="702" w:type="dxa"/>
                  <w:noWrap w:val="0"/>
                  <w:vAlign w:val="center"/>
                </w:tcPr>
                <w:p w14:paraId="0D6A544E">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核算方法</w:t>
                  </w:r>
                </w:p>
              </w:tc>
              <w:tc>
                <w:tcPr>
                  <w:tcW w:w="645" w:type="dxa"/>
                  <w:noWrap w:val="0"/>
                  <w:vAlign w:val="center"/>
                </w:tcPr>
                <w:p w14:paraId="1AFE088E">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废气量m</w:t>
                  </w:r>
                  <w:r>
                    <w:rPr>
                      <w:rFonts w:hint="default" w:ascii="Times New Roman" w:hAnsi="Times New Roman" w:cs="Times New Roman"/>
                      <w:color w:val="auto"/>
                      <w:kern w:val="0"/>
                      <w:szCs w:val="21"/>
                      <w:highlight w:val="none"/>
                      <w:vertAlign w:val="superscript"/>
                    </w:rPr>
                    <w:t>3</w:t>
                  </w:r>
                  <w:r>
                    <w:rPr>
                      <w:rFonts w:hint="default" w:ascii="Times New Roman" w:hAnsi="Times New Roman" w:cs="Times New Roman"/>
                      <w:color w:val="auto"/>
                      <w:kern w:val="0"/>
                      <w:szCs w:val="21"/>
                      <w:highlight w:val="none"/>
                    </w:rPr>
                    <w:t>/h</w:t>
                  </w:r>
                </w:p>
              </w:tc>
              <w:tc>
                <w:tcPr>
                  <w:tcW w:w="825" w:type="dxa"/>
                  <w:noWrap w:val="0"/>
                  <w:vAlign w:val="center"/>
                </w:tcPr>
                <w:p w14:paraId="686DE4E8">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产生浓度mg/m</w:t>
                  </w:r>
                  <w:r>
                    <w:rPr>
                      <w:rFonts w:hint="default" w:ascii="Times New Roman" w:hAnsi="Times New Roman" w:cs="Times New Roman"/>
                      <w:color w:val="auto"/>
                      <w:kern w:val="0"/>
                      <w:szCs w:val="21"/>
                      <w:highlight w:val="none"/>
                      <w:vertAlign w:val="superscript"/>
                    </w:rPr>
                    <w:t>3</w:t>
                  </w:r>
                </w:p>
              </w:tc>
              <w:tc>
                <w:tcPr>
                  <w:tcW w:w="900" w:type="dxa"/>
                  <w:noWrap w:val="0"/>
                  <w:vAlign w:val="center"/>
                </w:tcPr>
                <w:p w14:paraId="0C54B777">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产生量t/a</w:t>
                  </w:r>
                </w:p>
              </w:tc>
              <w:tc>
                <w:tcPr>
                  <w:tcW w:w="1168" w:type="dxa"/>
                  <w:noWrap w:val="0"/>
                  <w:vAlign w:val="center"/>
                </w:tcPr>
                <w:p w14:paraId="01F5D721">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工艺</w:t>
                  </w:r>
                </w:p>
              </w:tc>
              <w:tc>
                <w:tcPr>
                  <w:tcW w:w="607" w:type="dxa"/>
                  <w:noWrap w:val="0"/>
                  <w:vAlign w:val="center"/>
                </w:tcPr>
                <w:p w14:paraId="27098341">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效率</w:t>
                  </w:r>
                </w:p>
              </w:tc>
              <w:tc>
                <w:tcPr>
                  <w:tcW w:w="652" w:type="dxa"/>
                  <w:noWrap w:val="0"/>
                  <w:vAlign w:val="center"/>
                </w:tcPr>
                <w:p w14:paraId="16025456">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核算方法</w:t>
                  </w:r>
                </w:p>
              </w:tc>
              <w:tc>
                <w:tcPr>
                  <w:tcW w:w="698" w:type="dxa"/>
                  <w:noWrap w:val="0"/>
                  <w:vAlign w:val="center"/>
                </w:tcPr>
                <w:p w14:paraId="5FF4B655">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废气量m</w:t>
                  </w:r>
                  <w:r>
                    <w:rPr>
                      <w:rFonts w:hint="default" w:ascii="Times New Roman" w:hAnsi="Times New Roman" w:cs="Times New Roman"/>
                      <w:color w:val="auto"/>
                      <w:kern w:val="0"/>
                      <w:szCs w:val="21"/>
                      <w:highlight w:val="none"/>
                      <w:vertAlign w:val="superscript"/>
                    </w:rPr>
                    <w:t>3</w:t>
                  </w:r>
                  <w:r>
                    <w:rPr>
                      <w:rFonts w:hint="default" w:ascii="Times New Roman" w:hAnsi="Times New Roman" w:cs="Times New Roman"/>
                      <w:color w:val="auto"/>
                      <w:kern w:val="0"/>
                      <w:szCs w:val="21"/>
                      <w:highlight w:val="none"/>
                    </w:rPr>
                    <w:t>/h</w:t>
                  </w:r>
                </w:p>
              </w:tc>
              <w:tc>
                <w:tcPr>
                  <w:tcW w:w="778" w:type="dxa"/>
                  <w:noWrap w:val="0"/>
                  <w:vAlign w:val="center"/>
                </w:tcPr>
                <w:p w14:paraId="75F98F2F">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排放</w:t>
                  </w:r>
                </w:p>
                <w:p w14:paraId="141782FA">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浓度mg/m</w:t>
                  </w:r>
                  <w:r>
                    <w:rPr>
                      <w:rFonts w:hint="default" w:ascii="Times New Roman" w:hAnsi="Times New Roman" w:cs="Times New Roman"/>
                      <w:color w:val="auto"/>
                      <w:kern w:val="0"/>
                      <w:szCs w:val="21"/>
                      <w:highlight w:val="none"/>
                      <w:vertAlign w:val="superscript"/>
                    </w:rPr>
                    <w:t>3</w:t>
                  </w:r>
                </w:p>
              </w:tc>
              <w:tc>
                <w:tcPr>
                  <w:tcW w:w="794" w:type="dxa"/>
                  <w:noWrap w:val="0"/>
                  <w:vAlign w:val="center"/>
                </w:tcPr>
                <w:p w14:paraId="50333568">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排放量t/a</w:t>
                  </w:r>
                </w:p>
              </w:tc>
            </w:tr>
            <w:tr w14:paraId="6F60A29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26" w:type="dxa"/>
                  <w:noWrap w:val="0"/>
                  <w:vAlign w:val="center"/>
                </w:tcPr>
                <w:p w14:paraId="09F5F10E">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堆场扬尘</w:t>
                  </w:r>
                </w:p>
              </w:tc>
              <w:tc>
                <w:tcPr>
                  <w:tcW w:w="492" w:type="dxa"/>
                  <w:noWrap w:val="0"/>
                  <w:vAlign w:val="center"/>
                </w:tcPr>
                <w:p w14:paraId="54FDB05A">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颗粒物</w:t>
                  </w:r>
                </w:p>
              </w:tc>
              <w:tc>
                <w:tcPr>
                  <w:tcW w:w="702" w:type="dxa"/>
                  <w:noWrap w:val="0"/>
                  <w:vAlign w:val="center"/>
                </w:tcPr>
                <w:p w14:paraId="0D79825C">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系数法</w:t>
                  </w:r>
                </w:p>
              </w:tc>
              <w:tc>
                <w:tcPr>
                  <w:tcW w:w="645" w:type="dxa"/>
                  <w:noWrap w:val="0"/>
                  <w:vAlign w:val="center"/>
                </w:tcPr>
                <w:p w14:paraId="52BA846C">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825" w:type="dxa"/>
                  <w:noWrap w:val="0"/>
                  <w:vAlign w:val="center"/>
                </w:tcPr>
                <w:p w14:paraId="0AD6FF5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900" w:type="dxa"/>
                  <w:noWrap w:val="0"/>
                  <w:vAlign w:val="center"/>
                </w:tcPr>
                <w:p w14:paraId="47743A04">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871.97</w:t>
                  </w:r>
                </w:p>
              </w:tc>
              <w:tc>
                <w:tcPr>
                  <w:tcW w:w="1168" w:type="dxa"/>
                  <w:noWrap w:val="0"/>
                  <w:vAlign w:val="center"/>
                </w:tcPr>
                <w:p w14:paraId="1B8139BC">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储煤场四周设置防风抑尘网，定期洒水降尘效率</w:t>
                  </w:r>
                </w:p>
              </w:tc>
              <w:tc>
                <w:tcPr>
                  <w:tcW w:w="607" w:type="dxa"/>
                  <w:noWrap w:val="0"/>
                  <w:vAlign w:val="center"/>
                </w:tcPr>
                <w:p w14:paraId="67D7EC14">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98.5%</w:t>
                  </w:r>
                </w:p>
              </w:tc>
              <w:tc>
                <w:tcPr>
                  <w:tcW w:w="652" w:type="dxa"/>
                  <w:noWrap w:val="0"/>
                  <w:vAlign w:val="center"/>
                </w:tcPr>
                <w:p w14:paraId="3ADC9294">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系数法</w:t>
                  </w:r>
                </w:p>
              </w:tc>
              <w:tc>
                <w:tcPr>
                  <w:tcW w:w="698" w:type="dxa"/>
                  <w:noWrap w:val="0"/>
                  <w:vAlign w:val="center"/>
                </w:tcPr>
                <w:p w14:paraId="4F1D1A56">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778" w:type="dxa"/>
                  <w:noWrap w:val="0"/>
                  <w:vAlign w:val="center"/>
                </w:tcPr>
                <w:p w14:paraId="5D6EA2D3">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794" w:type="dxa"/>
                  <w:noWrap w:val="0"/>
                  <w:vAlign w:val="center"/>
                </w:tcPr>
                <w:p w14:paraId="4B39E955">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13.08</w:t>
                  </w:r>
                </w:p>
              </w:tc>
            </w:tr>
            <w:tr w14:paraId="601AC2C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26" w:type="dxa"/>
                  <w:shd w:val="clear" w:color="auto" w:fill="auto"/>
                  <w:noWrap w:val="0"/>
                  <w:vAlign w:val="center"/>
                </w:tcPr>
                <w:p w14:paraId="78779C51">
                  <w:pPr>
                    <w:pStyle w:val="34"/>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装卸扬尘</w:t>
                  </w:r>
                </w:p>
              </w:tc>
              <w:tc>
                <w:tcPr>
                  <w:tcW w:w="492" w:type="dxa"/>
                  <w:shd w:val="clear" w:color="auto" w:fill="auto"/>
                  <w:noWrap w:val="0"/>
                  <w:vAlign w:val="center"/>
                </w:tcPr>
                <w:p w14:paraId="25607870">
                  <w:pP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eastAsia="zh-CN"/>
                    </w:rPr>
                    <w:t>颗粒物</w:t>
                  </w:r>
                </w:p>
              </w:tc>
              <w:tc>
                <w:tcPr>
                  <w:tcW w:w="702" w:type="dxa"/>
                  <w:shd w:val="clear" w:color="auto" w:fill="auto"/>
                  <w:noWrap w:val="0"/>
                  <w:vAlign w:val="center"/>
                </w:tcPr>
                <w:p w14:paraId="04A7035E">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eastAsia="zh-CN"/>
                    </w:rPr>
                    <w:t>系数法</w:t>
                  </w:r>
                </w:p>
              </w:tc>
              <w:tc>
                <w:tcPr>
                  <w:tcW w:w="645" w:type="dxa"/>
                  <w:shd w:val="clear" w:color="auto" w:fill="auto"/>
                  <w:noWrap w:val="0"/>
                  <w:vAlign w:val="center"/>
                </w:tcPr>
                <w:p w14:paraId="340B7F01">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w:t>
                  </w:r>
                </w:p>
              </w:tc>
              <w:tc>
                <w:tcPr>
                  <w:tcW w:w="825" w:type="dxa"/>
                  <w:shd w:val="clear" w:color="auto" w:fill="auto"/>
                  <w:noWrap w:val="0"/>
                  <w:vAlign w:val="center"/>
                </w:tcPr>
                <w:p w14:paraId="479E63D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w:t>
                  </w:r>
                </w:p>
              </w:tc>
              <w:tc>
                <w:tcPr>
                  <w:tcW w:w="900" w:type="dxa"/>
                  <w:shd w:val="clear" w:color="auto" w:fill="auto"/>
                  <w:noWrap w:val="0"/>
                  <w:vAlign w:val="center"/>
                </w:tcPr>
                <w:p w14:paraId="0D53B59D">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25</w:t>
                  </w:r>
                </w:p>
              </w:tc>
              <w:tc>
                <w:tcPr>
                  <w:tcW w:w="1168" w:type="dxa"/>
                  <w:shd w:val="clear" w:color="auto" w:fill="auto"/>
                  <w:noWrap w:val="0"/>
                  <w:vAlign w:val="center"/>
                </w:tcPr>
                <w:p w14:paraId="35B7F455">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lang w:val="en-US" w:eastAsia="zh-CN"/>
                    </w:rPr>
                    <w:t>储煤场四周设置防风抑尘网，洒水降尘</w:t>
                  </w:r>
                </w:p>
              </w:tc>
              <w:tc>
                <w:tcPr>
                  <w:tcW w:w="607" w:type="dxa"/>
                  <w:shd w:val="clear" w:color="auto" w:fill="auto"/>
                  <w:noWrap w:val="0"/>
                  <w:vAlign w:val="center"/>
                </w:tcPr>
                <w:p w14:paraId="6CE4C103">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lang w:val="en-US" w:eastAsia="zh-CN"/>
                    </w:rPr>
                    <w:t>90%</w:t>
                  </w:r>
                </w:p>
              </w:tc>
              <w:tc>
                <w:tcPr>
                  <w:tcW w:w="652" w:type="dxa"/>
                  <w:shd w:val="clear" w:color="auto" w:fill="auto"/>
                  <w:noWrap w:val="0"/>
                  <w:vAlign w:val="center"/>
                </w:tcPr>
                <w:p w14:paraId="34D65664">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系数法</w:t>
                  </w:r>
                </w:p>
              </w:tc>
              <w:tc>
                <w:tcPr>
                  <w:tcW w:w="698" w:type="dxa"/>
                  <w:shd w:val="clear" w:color="auto" w:fill="auto"/>
                  <w:noWrap w:val="0"/>
                  <w:vAlign w:val="center"/>
                </w:tcPr>
                <w:p w14:paraId="2F79BD80">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w:t>
                  </w:r>
                </w:p>
              </w:tc>
              <w:tc>
                <w:tcPr>
                  <w:tcW w:w="778" w:type="dxa"/>
                  <w:shd w:val="clear" w:color="auto" w:fill="auto"/>
                  <w:noWrap w:val="0"/>
                  <w:vAlign w:val="center"/>
                </w:tcPr>
                <w:p w14:paraId="2748FFF0">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w:t>
                  </w:r>
                </w:p>
              </w:tc>
              <w:tc>
                <w:tcPr>
                  <w:tcW w:w="794" w:type="dxa"/>
                  <w:shd w:val="clear" w:color="auto" w:fill="auto"/>
                  <w:noWrap w:val="0"/>
                  <w:vAlign w:val="center"/>
                </w:tcPr>
                <w:p w14:paraId="1B602BE3">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2.5</w:t>
                  </w:r>
                </w:p>
              </w:tc>
            </w:tr>
            <w:tr w14:paraId="331A1EC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26" w:type="dxa"/>
                  <w:noWrap w:val="0"/>
                  <w:vAlign w:val="center"/>
                </w:tcPr>
                <w:p w14:paraId="7D4BA755">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运输扬尘</w:t>
                  </w:r>
                </w:p>
              </w:tc>
              <w:tc>
                <w:tcPr>
                  <w:tcW w:w="492" w:type="dxa"/>
                  <w:noWrap w:val="0"/>
                  <w:vAlign w:val="center"/>
                </w:tcPr>
                <w:p w14:paraId="7C3AFDB3">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颗粒物</w:t>
                  </w:r>
                </w:p>
              </w:tc>
              <w:tc>
                <w:tcPr>
                  <w:tcW w:w="702" w:type="dxa"/>
                  <w:noWrap w:val="0"/>
                  <w:vAlign w:val="center"/>
                </w:tcPr>
                <w:p w14:paraId="45BA23FB">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系数法</w:t>
                  </w:r>
                </w:p>
              </w:tc>
              <w:tc>
                <w:tcPr>
                  <w:tcW w:w="645" w:type="dxa"/>
                  <w:noWrap w:val="0"/>
                  <w:vAlign w:val="center"/>
                </w:tcPr>
                <w:p w14:paraId="6F6AC751">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825" w:type="dxa"/>
                  <w:noWrap w:val="0"/>
                  <w:vAlign w:val="center"/>
                </w:tcPr>
                <w:p w14:paraId="2D245DC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900" w:type="dxa"/>
                  <w:noWrap w:val="0"/>
                  <w:vAlign w:val="center"/>
                </w:tcPr>
                <w:p w14:paraId="3D5E698C">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0.0047</w:t>
                  </w:r>
                </w:p>
              </w:tc>
              <w:tc>
                <w:tcPr>
                  <w:tcW w:w="1168" w:type="dxa"/>
                  <w:noWrap w:val="0"/>
                  <w:vAlign w:val="center"/>
                </w:tcPr>
                <w:p w14:paraId="25C3F87C">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加盖苫布、控制车速、道路洒水抑尘</w:t>
                  </w:r>
                </w:p>
              </w:tc>
              <w:tc>
                <w:tcPr>
                  <w:tcW w:w="607" w:type="dxa"/>
                  <w:noWrap w:val="0"/>
                  <w:vAlign w:val="center"/>
                </w:tcPr>
                <w:p w14:paraId="06567CA6">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80</w:t>
                  </w:r>
                  <w:r>
                    <w:rPr>
                      <w:rFonts w:hint="default" w:ascii="Times New Roman" w:hAnsi="Times New Roman" w:cs="Times New Roman"/>
                      <w:color w:val="auto"/>
                      <w:szCs w:val="21"/>
                      <w:highlight w:val="none"/>
                    </w:rPr>
                    <w:t>%</w:t>
                  </w:r>
                </w:p>
              </w:tc>
              <w:tc>
                <w:tcPr>
                  <w:tcW w:w="652" w:type="dxa"/>
                  <w:noWrap w:val="0"/>
                  <w:vAlign w:val="center"/>
                </w:tcPr>
                <w:p w14:paraId="08CCA71C">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系数法</w:t>
                  </w:r>
                </w:p>
              </w:tc>
              <w:tc>
                <w:tcPr>
                  <w:tcW w:w="698" w:type="dxa"/>
                  <w:noWrap w:val="0"/>
                  <w:vAlign w:val="center"/>
                </w:tcPr>
                <w:p w14:paraId="38ACEBDB">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778" w:type="dxa"/>
                  <w:noWrap w:val="0"/>
                  <w:vAlign w:val="center"/>
                </w:tcPr>
                <w:p w14:paraId="59F18B99">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794" w:type="dxa"/>
                  <w:noWrap w:val="0"/>
                  <w:vAlign w:val="center"/>
                </w:tcPr>
                <w:p w14:paraId="751091A4">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0.0009</w:t>
                  </w:r>
                </w:p>
              </w:tc>
            </w:tr>
          </w:tbl>
          <w:p w14:paraId="0789C306">
            <w:pPr>
              <w:numPr>
                <w:ilvl w:val="0"/>
                <w:numId w:val="0"/>
              </w:num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lang w:val="en-US" w:eastAsia="zh-CN"/>
              </w:rPr>
              <w:t>2</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lang w:val="en-US" w:eastAsia="zh-CN"/>
              </w:rPr>
              <w:t>大气环境影响分析</w:t>
            </w:r>
          </w:p>
          <w:p w14:paraId="56D92636">
            <w:pPr>
              <w:numPr>
                <w:ilvl w:val="0"/>
                <w:numId w:val="0"/>
              </w:numPr>
              <w:adjustRightInd w:val="0"/>
              <w:snapToGrid w:val="0"/>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highlight w:val="none"/>
              </w:rPr>
              <w:t>本项目所在区域为环境质量达标区，本项目</w:t>
            </w:r>
            <w:r>
              <w:rPr>
                <w:rFonts w:hint="default" w:ascii="Times New Roman" w:hAnsi="Times New Roman" w:cs="Times New Roman"/>
                <w:bCs/>
                <w:color w:val="auto"/>
                <w:sz w:val="24"/>
                <w:highlight w:val="none"/>
                <w:lang w:val="en-US" w:eastAsia="zh-CN"/>
              </w:rPr>
              <w:t>仅用于煤炭储存和转运</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项目仅在</w:t>
            </w:r>
            <w:r>
              <w:rPr>
                <w:rFonts w:hint="default" w:ascii="Times New Roman" w:hAnsi="Times New Roman" w:cs="Times New Roman"/>
                <w:bCs/>
                <w:color w:val="auto"/>
                <w:sz w:val="24"/>
                <w:highlight w:val="none"/>
              </w:rPr>
              <w:t>物料装卸、堆存</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运输过程中产生粉尘，储煤场四周均设有防风抑尘网，储煤场内部地面硬化，洒水车定期对煤场</w:t>
            </w:r>
            <w:r>
              <w:rPr>
                <w:rFonts w:hint="default" w:ascii="Times New Roman" w:hAnsi="Times New Roman" w:cs="Times New Roman"/>
                <w:bCs/>
                <w:color w:val="auto"/>
                <w:sz w:val="24"/>
                <w:highlight w:val="none"/>
              </w:rPr>
              <w:t>进行洒水</w:t>
            </w:r>
            <w:r>
              <w:rPr>
                <w:rFonts w:hint="default" w:ascii="Times New Roman" w:hAnsi="Times New Roman" w:cs="Times New Roman"/>
                <w:bCs/>
                <w:color w:val="auto"/>
                <w:sz w:val="24"/>
                <w:highlight w:val="none"/>
                <w:lang w:val="en-US" w:eastAsia="zh-CN"/>
              </w:rPr>
              <w:t>降尘防燃</w:t>
            </w:r>
            <w:r>
              <w:rPr>
                <w:rFonts w:hint="default" w:ascii="Times New Roman" w:hAnsi="Times New Roman" w:cs="Times New Roman"/>
                <w:bCs/>
                <w:color w:val="auto"/>
                <w:sz w:val="24"/>
                <w:highlight w:val="none"/>
              </w:rPr>
              <w:t>，</w:t>
            </w:r>
            <w:r>
              <w:rPr>
                <w:rFonts w:hint="default" w:ascii="Times New Roman" w:hAnsi="Times New Roman" w:cs="Times New Roman"/>
                <w:bCs/>
                <w:color w:val="auto"/>
                <w:sz w:val="24"/>
                <w:highlight w:val="none"/>
                <w:lang w:val="en-US" w:eastAsia="zh-CN"/>
              </w:rPr>
              <w:t>储存煤炭使用绿网进行苫盖，并</w:t>
            </w:r>
            <w:r>
              <w:rPr>
                <w:rFonts w:hint="default" w:ascii="Times New Roman" w:hAnsi="Times New Roman" w:cs="Times New Roman"/>
                <w:bCs/>
                <w:color w:val="auto"/>
                <w:sz w:val="24"/>
                <w:highlight w:val="none"/>
              </w:rPr>
              <w:t>保持地面清洁，对运输车辆进行苫盖</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定期去外部指定洗车点对运输车辆进行清洗，保持车辆清洁。</w:t>
            </w:r>
            <w:r>
              <w:rPr>
                <w:rFonts w:hint="default" w:ascii="Times New Roman" w:hAnsi="Times New Roman" w:cs="Times New Roman"/>
                <w:color w:val="auto"/>
                <w:sz w:val="24"/>
                <w:szCs w:val="24"/>
                <w:lang w:val="en-US" w:eastAsia="zh-CN"/>
              </w:rPr>
              <w:t>本项目严禁在</w:t>
            </w:r>
            <w:r>
              <w:rPr>
                <w:rFonts w:hint="default" w:ascii="Times New Roman" w:hAnsi="Times New Roman" w:cs="Times New Roman"/>
                <w:color w:val="auto"/>
                <w:sz w:val="24"/>
              </w:rPr>
              <w:t>污染天气期间、大风天气时生产作业</w:t>
            </w:r>
            <w:r>
              <w:rPr>
                <w:rFonts w:hint="default" w:ascii="Times New Roman" w:hAnsi="Times New Roman" w:cs="Times New Roman"/>
                <w:color w:val="auto"/>
                <w:sz w:val="24"/>
                <w:lang w:eastAsia="zh-CN"/>
              </w:rPr>
              <w:t>，</w:t>
            </w:r>
            <w:r>
              <w:rPr>
                <w:rFonts w:hint="default" w:ascii="Times New Roman" w:hAnsi="Times New Roman" w:cs="Times New Roman"/>
                <w:bCs/>
                <w:color w:val="auto"/>
                <w:sz w:val="24"/>
              </w:rPr>
              <w:t>无组织颗粒物排放满足</w:t>
            </w:r>
            <w:r>
              <w:rPr>
                <w:rFonts w:hint="default" w:ascii="Times New Roman" w:hAnsi="Times New Roman" w:cs="Times New Roman"/>
                <w:bCs/>
                <w:color w:val="auto"/>
                <w:sz w:val="24"/>
                <w:lang w:val="en-US" w:eastAsia="zh-CN"/>
              </w:rPr>
              <w:t>《煤炭工业污染物排放标准》（</w:t>
            </w:r>
            <w:r>
              <w:rPr>
                <w:rFonts w:hint="default" w:ascii="Times New Roman" w:hAnsi="Times New Roman" w:cs="Times New Roman"/>
                <w:bCs/>
                <w:color w:val="auto"/>
                <w:sz w:val="24"/>
              </w:rPr>
              <w:t>GB20426-2006</w:t>
            </w:r>
            <w:r>
              <w:rPr>
                <w:rFonts w:hint="default" w:ascii="Times New Roman" w:hAnsi="Times New Roman" w:cs="Times New Roman"/>
                <w:bCs/>
                <w:color w:val="auto"/>
                <w:sz w:val="24"/>
                <w:lang w:val="en-US" w:eastAsia="zh-CN"/>
              </w:rPr>
              <w:t>）表5煤炭工业无组织排放限值</w:t>
            </w:r>
            <w:r>
              <w:rPr>
                <w:rFonts w:hint="default" w:ascii="Times New Roman" w:hAnsi="Times New Roman" w:cs="Times New Roman"/>
                <w:bCs/>
                <w:color w:val="auto"/>
                <w:sz w:val="24"/>
              </w:rPr>
              <w:t>要求。对区域环境空气影响较小。</w:t>
            </w:r>
          </w:p>
          <w:p w14:paraId="55DD007C">
            <w:pPr>
              <w:numPr>
                <w:ilvl w:val="0"/>
                <w:numId w:val="0"/>
              </w:numPr>
              <w:tabs>
                <w:tab w:val="left" w:pos="1291"/>
              </w:tabs>
              <w:spacing w:line="360" w:lineRule="auto"/>
              <w:ind w:firstLine="480" w:firstLineChars="200"/>
              <w:jc w:val="left"/>
              <w:rPr>
                <w:rFonts w:hint="default" w:ascii="Times New Roman" w:hAnsi="Times New Roman" w:cs="Times New Roman"/>
                <w:lang w:eastAsia="zh-CN"/>
              </w:rPr>
            </w:pPr>
            <w:r>
              <w:rPr>
                <w:rFonts w:hint="default" w:ascii="Times New Roman" w:hAnsi="Times New Roman" w:cs="Times New Roman"/>
                <w:bCs/>
                <w:color w:val="auto"/>
                <w:sz w:val="24"/>
              </w:rPr>
              <w:t>综上所述，从环境空气的角度，本项目的建设是可行的。</w:t>
            </w:r>
          </w:p>
          <w:p w14:paraId="3797CE11">
            <w:pPr>
              <w:numPr>
                <w:ilvl w:val="0"/>
                <w:numId w:val="0"/>
              </w:numPr>
              <w:adjustRightInd w:val="0"/>
              <w:snapToGrid w:val="0"/>
              <w:spacing w:line="360" w:lineRule="auto"/>
              <w:ind w:firstLine="480" w:firstLineChars="200"/>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3</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环保措施可行性分析</w:t>
            </w:r>
          </w:p>
          <w:p w14:paraId="3D16DCE9">
            <w:pPr>
              <w:numPr>
                <w:ilvl w:val="0"/>
                <w:numId w:val="0"/>
              </w:numPr>
              <w:adjustRightInd w:val="0"/>
              <w:snapToGrid w:val="0"/>
              <w:spacing w:line="360" w:lineRule="auto"/>
              <w:ind w:firstLine="480" w:firstLineChars="200"/>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lang w:val="en-US" w:eastAsia="zh-CN"/>
              </w:rPr>
              <w:t>本环评要求项目储煤场四周均设有闭合的防风抑尘网，防风抑尘网高度3m</w:t>
            </w:r>
            <w:r>
              <w:rPr>
                <w:rFonts w:hint="default" w:ascii="Times New Roman" w:hAnsi="Times New Roman" w:cs="Times New Roman"/>
                <w:bCs/>
                <w:color w:val="auto"/>
                <w:sz w:val="24"/>
                <w:lang w:val="en-US" w:eastAsia="zh-CN"/>
              </w:rPr>
              <w:t>，贮存的煤炭使用绿网进行苫盖，定期对储煤场进行洒水降尘、储煤场厂区地面硬化，对进出储煤场运输车辆进行苫盖，运输车辆日常装卸煤炭过程中</w:t>
            </w:r>
            <w:r>
              <w:rPr>
                <w:rFonts w:hint="default" w:ascii="Times New Roman" w:hAnsi="Times New Roman" w:cs="Times New Roman"/>
                <w:color w:val="auto"/>
                <w:sz w:val="24"/>
                <w:highlight w:val="none"/>
                <w:lang w:val="en-US" w:eastAsia="zh-CN"/>
              </w:rPr>
              <w:t>装车使用洒水车对装车过程进行降尘，卸料过程尽量减少煤炭落料过程中高差</w:t>
            </w:r>
            <w:r>
              <w:rPr>
                <w:rFonts w:hint="default" w:ascii="Times New Roman" w:hAnsi="Times New Roman" w:cs="Times New Roman"/>
                <w:bCs/>
                <w:color w:val="auto"/>
                <w:sz w:val="24"/>
                <w:lang w:val="en-US" w:eastAsia="zh-CN"/>
              </w:rPr>
              <w:t>，煤场日常运行中进行</w:t>
            </w:r>
            <w:r>
              <w:rPr>
                <w:rFonts w:hint="default" w:ascii="Times New Roman" w:hAnsi="Times New Roman" w:cs="Times New Roman"/>
                <w:bCs/>
                <w:color w:val="auto"/>
                <w:sz w:val="24"/>
              </w:rPr>
              <w:t>洒水降尘</w:t>
            </w:r>
            <w:r>
              <w:rPr>
                <w:rFonts w:hint="default" w:ascii="Times New Roman" w:hAnsi="Times New Roman" w:cs="Times New Roman"/>
                <w:bCs/>
                <w:color w:val="auto"/>
                <w:sz w:val="24"/>
                <w:lang w:val="en-US" w:eastAsia="zh-CN"/>
              </w:rPr>
              <w:t>，禁止在重污染天气、大风天气进行作业，在严格落实以上措施后</w:t>
            </w:r>
            <w:r>
              <w:rPr>
                <w:rFonts w:hint="default" w:ascii="Times New Roman" w:hAnsi="Times New Roman" w:cs="Times New Roman"/>
                <w:bCs/>
                <w:color w:val="auto"/>
                <w:sz w:val="24"/>
                <w:highlight w:val="none"/>
                <w:lang w:val="en-US" w:eastAsia="zh-CN"/>
              </w:rPr>
              <w:t>，项目能够满足《中华人民共和国大气污染防治法》《鸡西市洗煤厂、储煤场环境综合整治验收标准》中大气污染治理措施要求。</w:t>
            </w:r>
          </w:p>
          <w:p w14:paraId="662CD29F">
            <w:pPr>
              <w:numPr>
                <w:ilvl w:val="0"/>
                <w:numId w:val="0"/>
              </w:num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4</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监测要求</w:t>
            </w:r>
          </w:p>
          <w:p w14:paraId="5670B5BB">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根据《排污单位自行监测技术指南 总则》（HJ819-2017），废气监测要求详见表4-</w:t>
            </w:r>
            <w:r>
              <w:rPr>
                <w:rFonts w:hint="default" w:ascii="Times New Roman" w:hAnsi="Times New Roman" w:cs="Times New Roman"/>
                <w:bCs/>
                <w:color w:val="auto"/>
                <w:sz w:val="24"/>
                <w:highlight w:val="none"/>
                <w:lang w:val="en-US" w:eastAsia="zh-CN"/>
              </w:rPr>
              <w:t>2</w:t>
            </w:r>
            <w:r>
              <w:rPr>
                <w:rFonts w:hint="default" w:ascii="Times New Roman" w:hAnsi="Times New Roman" w:cs="Times New Roman"/>
                <w:bCs/>
                <w:color w:val="auto"/>
                <w:sz w:val="24"/>
                <w:highlight w:val="none"/>
              </w:rPr>
              <w:t>。</w:t>
            </w:r>
          </w:p>
          <w:p w14:paraId="5B87EF59">
            <w:pPr>
              <w:adjustRightInd w:val="0"/>
              <w:snapToGrid w:val="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表4-2  监测要求</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14"/>
              <w:gridCol w:w="1138"/>
              <w:gridCol w:w="1150"/>
              <w:gridCol w:w="1237"/>
              <w:gridCol w:w="4148"/>
            </w:tblGrid>
            <w:tr w14:paraId="3B7B085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14" w:type="dxa"/>
                  <w:noWrap w:val="0"/>
                  <w:vAlign w:val="center"/>
                </w:tcPr>
                <w:p w14:paraId="404E1DDC">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监测类别</w:t>
                  </w:r>
                </w:p>
              </w:tc>
              <w:tc>
                <w:tcPr>
                  <w:tcW w:w="1138" w:type="dxa"/>
                  <w:noWrap w:val="0"/>
                  <w:vAlign w:val="center"/>
                </w:tcPr>
                <w:p w14:paraId="7F4CA823">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监测点位</w:t>
                  </w:r>
                </w:p>
              </w:tc>
              <w:tc>
                <w:tcPr>
                  <w:tcW w:w="1150" w:type="dxa"/>
                  <w:noWrap w:val="0"/>
                  <w:vAlign w:val="center"/>
                </w:tcPr>
                <w:p w14:paraId="0E974492">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监测因子</w:t>
                  </w:r>
                </w:p>
              </w:tc>
              <w:tc>
                <w:tcPr>
                  <w:tcW w:w="1237" w:type="dxa"/>
                  <w:noWrap w:val="0"/>
                  <w:vAlign w:val="center"/>
                </w:tcPr>
                <w:p w14:paraId="1CCEB048">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监测频次</w:t>
                  </w:r>
                </w:p>
              </w:tc>
              <w:tc>
                <w:tcPr>
                  <w:tcW w:w="4148" w:type="dxa"/>
                  <w:noWrap w:val="0"/>
                  <w:vAlign w:val="center"/>
                </w:tcPr>
                <w:p w14:paraId="003525C4">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执行标准</w:t>
                  </w:r>
                </w:p>
              </w:tc>
            </w:tr>
            <w:tr w14:paraId="6C60BE0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14" w:type="dxa"/>
                  <w:noWrap w:val="0"/>
                  <w:vAlign w:val="center"/>
                </w:tcPr>
                <w:p w14:paraId="5714A6BA">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无组织废气</w:t>
                  </w:r>
                </w:p>
              </w:tc>
              <w:tc>
                <w:tcPr>
                  <w:tcW w:w="1138" w:type="dxa"/>
                  <w:noWrap w:val="0"/>
                  <w:vAlign w:val="center"/>
                </w:tcPr>
                <w:p w14:paraId="18AEE229">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厂界</w:t>
                  </w:r>
                </w:p>
              </w:tc>
              <w:tc>
                <w:tcPr>
                  <w:tcW w:w="1150" w:type="dxa"/>
                  <w:noWrap w:val="0"/>
                  <w:vAlign w:val="center"/>
                </w:tcPr>
                <w:p w14:paraId="1E97CA77">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颗粒物</w:t>
                  </w:r>
                </w:p>
              </w:tc>
              <w:tc>
                <w:tcPr>
                  <w:tcW w:w="1237" w:type="dxa"/>
                  <w:noWrap w:val="0"/>
                  <w:vAlign w:val="center"/>
                </w:tcPr>
                <w:p w14:paraId="3DC77DE6">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1次/年</w:t>
                  </w:r>
                </w:p>
              </w:tc>
              <w:tc>
                <w:tcPr>
                  <w:tcW w:w="4148" w:type="dxa"/>
                  <w:noWrap w:val="0"/>
                  <w:vAlign w:val="center"/>
                </w:tcPr>
                <w:p w14:paraId="4A7F17C1">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color w:val="auto"/>
                      <w:szCs w:val="21"/>
                    </w:rPr>
                    <w:t>《煤炭工业污染物排放标准》（GB20426-2006）</w:t>
                  </w:r>
                </w:p>
              </w:tc>
            </w:tr>
          </w:tbl>
          <w:p w14:paraId="6E33202B">
            <w:pPr>
              <w:numPr>
                <w:ilvl w:val="0"/>
                <w:numId w:val="0"/>
              </w:numPr>
              <w:adjustRightInd w:val="0"/>
              <w:snapToGrid w:val="0"/>
              <w:spacing w:line="360" w:lineRule="auto"/>
              <w:ind w:firstLine="480" w:firstLineChars="200"/>
              <w:rPr>
                <w:rFonts w:hint="default" w:ascii="Times New Roman" w:hAnsi="Times New Roman" w:cs="Times New Roman"/>
                <w:bCs/>
                <w:color w:val="auto"/>
                <w:sz w:val="24"/>
                <w:highlight w:val="none"/>
                <w:lang w:eastAsia="zh-CN"/>
              </w:rPr>
            </w:pPr>
            <w:r>
              <w:rPr>
                <w:rFonts w:hint="default" w:ascii="Times New Roman" w:hAnsi="Times New Roman" w:cs="Times New Roman"/>
                <w:bCs/>
                <w:color w:val="auto"/>
                <w:sz w:val="24"/>
                <w:highlight w:val="none"/>
                <w:lang w:val="en-US" w:eastAsia="zh-CN"/>
              </w:rPr>
              <w:t>（5）</w:t>
            </w:r>
            <w:r>
              <w:rPr>
                <w:rFonts w:hint="default" w:ascii="Times New Roman" w:hAnsi="Times New Roman" w:cs="Times New Roman"/>
                <w:bCs/>
                <w:color w:val="auto"/>
                <w:sz w:val="24"/>
                <w:highlight w:val="none"/>
                <w:lang w:eastAsia="zh-CN"/>
              </w:rPr>
              <w:t>非正常工况</w:t>
            </w:r>
          </w:p>
          <w:p w14:paraId="5EE0C6E2">
            <w:pPr>
              <w:numPr>
                <w:ilvl w:val="0"/>
                <w:numId w:val="0"/>
              </w:numPr>
              <w:adjustRightInd w:val="0"/>
              <w:snapToGrid w:val="0"/>
              <w:spacing w:line="360" w:lineRule="auto"/>
              <w:ind w:firstLine="480" w:firstLineChars="200"/>
              <w:rPr>
                <w:rFonts w:hint="default" w:ascii="Times New Roman" w:hAnsi="Times New Roman" w:cs="Times New Roman"/>
                <w:b/>
                <w:color w:val="auto"/>
                <w:sz w:val="24"/>
                <w:highlight w:val="none"/>
              </w:rPr>
            </w:pPr>
            <w:r>
              <w:rPr>
                <w:rFonts w:hint="default" w:ascii="Times New Roman" w:hAnsi="Times New Roman" w:cs="Times New Roman"/>
                <w:bCs/>
                <w:color w:val="auto"/>
                <w:sz w:val="24"/>
                <w:highlight w:val="none"/>
                <w:lang w:val="en-US" w:eastAsia="zh-CN"/>
              </w:rPr>
              <w:t>本项目可能发生最不利的非正常工况是防风抑尘网故障、苫布破损，按最不利情况计算，仅有洒水降尘措施，去除效率为74%，则堆场风蚀扬尘颗粒物排放速率为32.39kg/h。本项目在非正常工况下和重污染天气期间、大风天气时不进行作业。本项目应加强防风抑尘网的运行维护，制订巡检制度，采取上述措施后，可有效降低非正常工况的发生概率，降低对周边环境影响。</w:t>
            </w:r>
          </w:p>
          <w:p w14:paraId="77D905EF">
            <w:pPr>
              <w:adjustRightInd w:val="0"/>
              <w:snapToGrid w:val="0"/>
              <w:spacing w:line="360" w:lineRule="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2、废水</w:t>
            </w:r>
          </w:p>
          <w:p w14:paraId="6F0207A4">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bCs/>
                <w:color w:val="auto"/>
                <w:sz w:val="24"/>
                <w:highlight w:val="none"/>
              </w:rPr>
              <w:t>（</w:t>
            </w:r>
            <w:r>
              <w:rPr>
                <w:rFonts w:hint="default" w:ascii="Times New Roman" w:hAnsi="Times New Roman" w:cs="Times New Roman"/>
                <w:bCs/>
                <w:color w:val="auto"/>
                <w:sz w:val="24"/>
                <w:highlight w:val="none"/>
                <w:lang w:val="en-US" w:eastAsia="zh-CN"/>
              </w:rPr>
              <w:t>1</w:t>
            </w:r>
            <w:r>
              <w:rPr>
                <w:rFonts w:hint="default" w:ascii="Times New Roman" w:hAnsi="Times New Roman" w:cs="Times New Roman"/>
                <w:bCs/>
                <w:color w:val="auto"/>
                <w:sz w:val="24"/>
                <w:highlight w:val="none"/>
              </w:rPr>
              <w:t>）项目废</w:t>
            </w:r>
            <w:r>
              <w:rPr>
                <w:rFonts w:hint="default" w:ascii="Times New Roman" w:hAnsi="Times New Roman" w:cs="Times New Roman"/>
                <w:bCs/>
                <w:color w:val="auto"/>
                <w:sz w:val="24"/>
                <w:highlight w:val="none"/>
                <w:lang w:val="en-US" w:eastAsia="zh-CN"/>
              </w:rPr>
              <w:t>水源强</w:t>
            </w:r>
          </w:p>
          <w:p w14:paraId="68855B3F">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本项目</w:t>
            </w:r>
            <w:r>
              <w:rPr>
                <w:rFonts w:hint="default" w:ascii="Times New Roman" w:hAnsi="Times New Roman" w:cs="Times New Roman"/>
                <w:color w:val="auto"/>
                <w:sz w:val="24"/>
                <w:szCs w:val="24"/>
                <w:highlight w:val="none"/>
                <w:lang w:val="en-US" w:eastAsia="zh-CN"/>
              </w:rPr>
              <w:t>用水外购，</w:t>
            </w:r>
            <w:r>
              <w:rPr>
                <w:rFonts w:hint="default" w:ascii="Times New Roman" w:hAnsi="Times New Roman" w:cs="Times New Roman"/>
                <w:color w:val="auto"/>
                <w:sz w:val="24"/>
                <w:szCs w:val="24"/>
                <w:highlight w:val="none"/>
              </w:rPr>
              <w:t>运营期用水主要为职工生活用水</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堆场及道路洒水</w:t>
            </w:r>
            <w:r>
              <w:rPr>
                <w:rFonts w:hint="default" w:ascii="Times New Roman" w:hAnsi="Times New Roman" w:cs="Times New Roman"/>
                <w:color w:val="auto"/>
                <w:sz w:val="24"/>
                <w:szCs w:val="24"/>
                <w:highlight w:val="none"/>
                <w:lang w:eastAsia="zh-CN"/>
              </w:rPr>
              <w:t>。</w:t>
            </w:r>
          </w:p>
          <w:p w14:paraId="79E6EFB3">
            <w:pPr>
              <w:adjustRightInd w:val="0"/>
              <w:snapToGrid w:val="0"/>
              <w:spacing w:line="360" w:lineRule="auto"/>
              <w:ind w:firstLine="480" w:firstLineChars="200"/>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lang w:val="en-US" w:eastAsia="zh-CN"/>
              </w:rPr>
              <w:t>1</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生活污水</w:t>
            </w:r>
          </w:p>
          <w:p w14:paraId="239DDC0C">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color w:val="auto"/>
                <w:sz w:val="24"/>
                <w:szCs w:val="24"/>
                <w:highlight w:val="none"/>
              </w:rPr>
              <w:t>生活污水产生量为0</w:t>
            </w:r>
            <w:r>
              <w:rPr>
                <w:rFonts w:hint="default" w:ascii="Times New Roman" w:hAnsi="Times New Roman" w:cs="Times New Roman"/>
                <w:color w:val="auto"/>
                <w:sz w:val="24"/>
                <w:szCs w:val="24"/>
                <w:highlight w:val="none"/>
                <w:lang w:val="en-US" w:eastAsia="zh-CN"/>
              </w:rPr>
              <w:t>.32</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/d，年产生量为</w:t>
            </w:r>
            <w:r>
              <w:rPr>
                <w:rFonts w:hint="default" w:ascii="Times New Roman" w:hAnsi="Times New Roman" w:cs="Times New Roman"/>
                <w:color w:val="auto"/>
                <w:sz w:val="24"/>
                <w:szCs w:val="24"/>
                <w:highlight w:val="none"/>
                <w:lang w:val="en-US" w:eastAsia="zh-CN"/>
              </w:rPr>
              <w:t>96</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，排入防渗旱厕，</w:t>
            </w:r>
            <w:r>
              <w:rPr>
                <w:rFonts w:hint="default" w:ascii="Times New Roman" w:hAnsi="Times New Roman" w:cs="Times New Roman"/>
                <w:bCs/>
                <w:color w:val="auto"/>
                <w:sz w:val="24"/>
                <w:highlight w:val="none"/>
              </w:rPr>
              <w:t>定期清掏外运，不外排。</w:t>
            </w:r>
          </w:p>
          <w:p w14:paraId="7822D1F9">
            <w:pPr>
              <w:numPr>
                <w:ilvl w:val="0"/>
                <w:numId w:val="0"/>
              </w:num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2）</w:t>
            </w:r>
            <w:r>
              <w:rPr>
                <w:rFonts w:hint="default" w:ascii="Times New Roman" w:hAnsi="Times New Roman" w:cs="Times New Roman"/>
                <w:bCs/>
                <w:color w:val="auto"/>
                <w:sz w:val="24"/>
                <w:highlight w:val="none"/>
                <w:lang w:val="en-US" w:eastAsia="zh-CN"/>
              </w:rPr>
              <w:t>道路及堆场洒</w:t>
            </w:r>
            <w:r>
              <w:rPr>
                <w:rFonts w:hint="default" w:ascii="Times New Roman" w:hAnsi="Times New Roman" w:eastAsia="宋体" w:cs="Times New Roman"/>
                <w:bCs/>
                <w:color w:val="auto"/>
                <w:sz w:val="24"/>
                <w:highlight w:val="none"/>
                <w:lang w:val="en-US" w:eastAsia="zh-CN"/>
              </w:rPr>
              <w:t>水</w:t>
            </w:r>
          </w:p>
          <w:p w14:paraId="1B412CE1">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储煤场日常工作中通过对堆场及道路进行洒水降尘，减少粉尘产生。</w:t>
            </w:r>
            <w:r>
              <w:rPr>
                <w:rFonts w:hint="default" w:ascii="Times New Roman" w:hAnsi="Times New Roman" w:cs="Times New Roman"/>
                <w:bCs/>
                <w:color w:val="auto"/>
                <w:sz w:val="24"/>
                <w:highlight w:val="none"/>
                <w:lang w:val="en-US" w:eastAsia="zh-CN"/>
              </w:rPr>
              <w:t>道路及堆场洒</w:t>
            </w:r>
            <w:r>
              <w:rPr>
                <w:rFonts w:hint="default" w:ascii="Times New Roman" w:hAnsi="Times New Roman" w:eastAsia="宋体" w:cs="Times New Roman"/>
                <w:bCs/>
                <w:color w:val="auto"/>
                <w:sz w:val="24"/>
                <w:highlight w:val="none"/>
                <w:lang w:val="en-US" w:eastAsia="zh-CN"/>
              </w:rPr>
              <w:t>水</w:t>
            </w:r>
            <w:r>
              <w:rPr>
                <w:rFonts w:hint="default" w:ascii="Times New Roman" w:hAnsi="Times New Roman" w:cs="Times New Roman"/>
                <w:color w:val="auto"/>
                <w:sz w:val="24"/>
                <w:szCs w:val="24"/>
                <w:highlight w:val="none"/>
                <w:lang w:val="en-US" w:eastAsia="zh-CN"/>
              </w:rPr>
              <w:t>随空气蒸发，不外排。</w:t>
            </w:r>
          </w:p>
          <w:p w14:paraId="2EEDC0CD">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eastAsia="zh-CN"/>
              </w:rPr>
            </w:pPr>
            <w:r>
              <w:rPr>
                <w:rFonts w:hint="default" w:ascii="Times New Roman" w:hAnsi="Times New Roman" w:cs="Times New Roman"/>
                <w:bCs/>
                <w:color w:val="auto"/>
                <w:sz w:val="24"/>
                <w:highlight w:val="none"/>
                <w:lang w:val="en-US" w:eastAsia="zh-CN"/>
              </w:rPr>
              <w:t>3）初期</w:t>
            </w:r>
            <w:r>
              <w:rPr>
                <w:rFonts w:hint="default" w:ascii="Times New Roman" w:hAnsi="Times New Roman" w:eastAsia="宋体" w:cs="Times New Roman"/>
                <w:bCs/>
                <w:color w:val="auto"/>
                <w:sz w:val="24"/>
                <w:highlight w:val="none"/>
                <w:lang w:eastAsia="zh-CN"/>
              </w:rPr>
              <w:t>雨水</w:t>
            </w:r>
          </w:p>
          <w:p w14:paraId="74182188">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本项目堆场汇集雨水主要污染因子均为SS，类比调查平均SS浓度为700mg/L。雨水收集至</w:t>
            </w:r>
            <w:r>
              <w:rPr>
                <w:rFonts w:hint="default" w:ascii="Times New Roman" w:hAnsi="Times New Roman" w:cs="Times New Roman"/>
                <w:bCs/>
                <w:color w:val="auto"/>
                <w:sz w:val="24"/>
                <w:highlight w:val="none"/>
                <w:lang w:val="en-US" w:eastAsia="zh-CN"/>
              </w:rPr>
              <w:t>初期雨水收集池</w:t>
            </w:r>
            <w:r>
              <w:rPr>
                <w:rFonts w:hint="default" w:ascii="Times New Roman" w:hAnsi="Times New Roman" w:eastAsia="宋体" w:cs="Times New Roman"/>
                <w:bCs/>
                <w:color w:val="auto"/>
                <w:sz w:val="24"/>
                <w:highlight w:val="none"/>
                <w:lang w:val="en-US" w:eastAsia="zh-CN"/>
              </w:rPr>
              <w:t>，回用于堆场洒水以及道路洒水抑尘等用水，不外排。</w:t>
            </w:r>
          </w:p>
          <w:p w14:paraId="72BCB61D">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厂区汇集雨水主要来源为降水，即初期雨水。按照暴雨强度公式，进而推出雨水汇水量，暴雨强度根据软件计算：</w:t>
            </w:r>
          </w:p>
          <w:p w14:paraId="3DD51DCD">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暴雨强度为171.46L/（s·ha）。</w:t>
            </w:r>
          </w:p>
          <w:p w14:paraId="10644249">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雨水流量按下式计算，计算结果见下表：</w:t>
            </w:r>
          </w:p>
          <w:p w14:paraId="17C2C8FC">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Q=q•ψ•F；</w:t>
            </w:r>
          </w:p>
          <w:p w14:paraId="47527228">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Q─雨水设计流量（l/s）；</w:t>
            </w:r>
          </w:p>
          <w:p w14:paraId="3C5C7A02">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ψ─径流系数，取ψ=</w:t>
            </w:r>
            <w:r>
              <w:rPr>
                <w:rFonts w:hint="default" w:ascii="Times New Roman" w:hAnsi="Times New Roman" w:cs="Times New Roman"/>
                <w:bCs/>
                <w:color w:val="auto"/>
                <w:sz w:val="24"/>
                <w:highlight w:val="none"/>
                <w:lang w:val="en-US" w:eastAsia="zh-CN"/>
              </w:rPr>
              <w:t>0.9</w:t>
            </w:r>
            <w:r>
              <w:rPr>
                <w:rFonts w:hint="default" w:ascii="Times New Roman" w:hAnsi="Times New Roman" w:eastAsia="宋体" w:cs="Times New Roman"/>
                <w:bCs/>
                <w:color w:val="auto"/>
                <w:sz w:val="24"/>
                <w:highlight w:val="none"/>
                <w:lang w:val="en-US" w:eastAsia="zh-CN"/>
              </w:rPr>
              <w:t>；</w:t>
            </w:r>
          </w:p>
          <w:p w14:paraId="168663E9">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F─汇水面积（ha）；</w:t>
            </w:r>
          </w:p>
          <w:p w14:paraId="604E93B6">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q—暴雨量，L/s•ha；</w:t>
            </w:r>
          </w:p>
          <w:p w14:paraId="53E48A08">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V=Q×t/1000</w:t>
            </w:r>
          </w:p>
          <w:p w14:paraId="354E5C59">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V─</w:t>
            </w:r>
            <w:r>
              <w:rPr>
                <w:rFonts w:hint="default" w:ascii="Times New Roman" w:hAnsi="Times New Roman" w:cs="Times New Roman"/>
                <w:bCs/>
                <w:color w:val="auto"/>
                <w:sz w:val="24"/>
                <w:highlight w:val="none"/>
                <w:lang w:val="en-US" w:eastAsia="zh-CN"/>
              </w:rPr>
              <w:t>初期雨水15min汇水量，m</w:t>
            </w:r>
            <w:r>
              <w:rPr>
                <w:rFonts w:hint="default" w:ascii="Times New Roman" w:hAnsi="Times New Roman" w:cs="Times New Roman"/>
                <w:bCs/>
                <w:color w:val="auto"/>
                <w:sz w:val="24"/>
                <w:highlight w:val="none"/>
                <w:vertAlign w:val="superscript"/>
                <w:lang w:val="en-US" w:eastAsia="zh-CN"/>
              </w:rPr>
              <w:t>3</w:t>
            </w:r>
            <w:r>
              <w:rPr>
                <w:rFonts w:hint="default" w:ascii="Times New Roman" w:hAnsi="Times New Roman" w:eastAsia="宋体" w:cs="Times New Roman"/>
                <w:bCs/>
                <w:color w:val="auto"/>
                <w:sz w:val="24"/>
                <w:highlight w:val="none"/>
                <w:lang w:val="en-US" w:eastAsia="zh-CN"/>
              </w:rPr>
              <w:t>；</w:t>
            </w:r>
          </w:p>
          <w:p w14:paraId="471AB62A">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t─初期雨水时间，取</w:t>
            </w:r>
            <w:r>
              <w:rPr>
                <w:rFonts w:hint="default" w:ascii="Times New Roman" w:hAnsi="Times New Roman" w:cs="Times New Roman"/>
                <w:bCs/>
                <w:color w:val="auto"/>
                <w:sz w:val="24"/>
                <w:highlight w:val="none"/>
                <w:lang w:val="en-US" w:eastAsia="zh-CN"/>
              </w:rPr>
              <w:t>900s</w:t>
            </w:r>
            <w:r>
              <w:rPr>
                <w:rFonts w:hint="default" w:ascii="Times New Roman" w:hAnsi="Times New Roman" w:eastAsia="宋体" w:cs="Times New Roman"/>
                <w:bCs/>
                <w:color w:val="auto"/>
                <w:sz w:val="24"/>
                <w:highlight w:val="none"/>
                <w:lang w:val="en-US" w:eastAsia="zh-CN"/>
              </w:rPr>
              <w:t>；</w:t>
            </w:r>
          </w:p>
          <w:p w14:paraId="42BC2FED">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由上计算可知，</w:t>
            </w:r>
            <w:r>
              <w:rPr>
                <w:rFonts w:hint="default" w:ascii="Times New Roman" w:hAnsi="Times New Roman" w:cs="Times New Roman"/>
                <w:bCs/>
                <w:color w:val="auto"/>
                <w:sz w:val="24"/>
                <w:highlight w:val="none"/>
                <w:lang w:val="en-US" w:eastAsia="zh-CN"/>
              </w:rPr>
              <w:t>初期雨水15min汇水量</w:t>
            </w:r>
            <w:r>
              <w:rPr>
                <w:rFonts w:hint="default" w:ascii="Times New Roman" w:hAnsi="Times New Roman" w:eastAsia="宋体" w:cs="Times New Roman"/>
                <w:bCs/>
                <w:color w:val="auto"/>
                <w:sz w:val="24"/>
                <w:highlight w:val="none"/>
                <w:lang w:val="en-US" w:eastAsia="zh-CN"/>
              </w:rPr>
              <w:t>为</w:t>
            </w:r>
            <w:r>
              <w:rPr>
                <w:rFonts w:hint="default" w:ascii="Times New Roman" w:hAnsi="Times New Roman" w:cs="Times New Roman"/>
                <w:bCs/>
                <w:color w:val="auto"/>
                <w:sz w:val="24"/>
                <w:highlight w:val="none"/>
                <w:lang w:val="en-US" w:eastAsia="zh-CN"/>
              </w:rPr>
              <w:t>287.49</w:t>
            </w:r>
            <w:r>
              <w:rPr>
                <w:rFonts w:hint="default" w:ascii="Times New Roman" w:hAnsi="Times New Roman" w:eastAsia="宋体" w:cs="Times New Roman"/>
                <w:bCs/>
                <w:color w:val="auto"/>
                <w:sz w:val="24"/>
                <w:highlight w:val="none"/>
                <w:lang w:val="en-US" w:eastAsia="zh-CN"/>
              </w:rPr>
              <w:t>m</w:t>
            </w:r>
            <w:r>
              <w:rPr>
                <w:rFonts w:hint="default" w:ascii="Times New Roman" w:hAnsi="Times New Roman" w:eastAsia="宋体" w:cs="Times New Roman"/>
                <w:bCs/>
                <w:color w:val="auto"/>
                <w:sz w:val="24"/>
                <w:highlight w:val="none"/>
                <w:vertAlign w:val="superscript"/>
                <w:lang w:val="en-US" w:eastAsia="zh-CN"/>
              </w:rPr>
              <w:t>3</w:t>
            </w:r>
            <w:r>
              <w:rPr>
                <w:rFonts w:hint="default" w:ascii="Times New Roman" w:hAnsi="Times New Roman" w:eastAsia="宋体" w:cs="Times New Roman"/>
                <w:bCs/>
                <w:color w:val="auto"/>
                <w:sz w:val="24"/>
                <w:highlight w:val="none"/>
                <w:lang w:val="en-US" w:eastAsia="zh-CN"/>
              </w:rPr>
              <w:t>，根据厂区地势，</w:t>
            </w:r>
            <w:r>
              <w:rPr>
                <w:rFonts w:hint="default" w:ascii="Times New Roman" w:hAnsi="Times New Roman" w:cs="Times New Roman"/>
                <w:bCs/>
                <w:color w:val="auto"/>
                <w:sz w:val="24"/>
                <w:highlight w:val="none"/>
                <w:lang w:val="en-US" w:eastAsia="zh-CN"/>
              </w:rPr>
              <w:t>初期雨水收集池</w:t>
            </w:r>
            <w:r>
              <w:rPr>
                <w:rFonts w:hint="default" w:ascii="Times New Roman" w:hAnsi="Times New Roman" w:eastAsia="宋体" w:cs="Times New Roman"/>
                <w:bCs/>
                <w:color w:val="auto"/>
                <w:sz w:val="24"/>
                <w:highlight w:val="none"/>
                <w:lang w:val="en-US" w:eastAsia="zh-CN"/>
              </w:rPr>
              <w:t>建设在厂区地势较低的</w:t>
            </w:r>
            <w:r>
              <w:rPr>
                <w:rFonts w:hint="default" w:ascii="Times New Roman" w:hAnsi="Times New Roman" w:cs="Times New Roman"/>
                <w:bCs/>
                <w:color w:val="auto"/>
                <w:sz w:val="24"/>
                <w:highlight w:val="none"/>
                <w:lang w:val="en-US" w:eastAsia="zh-CN"/>
              </w:rPr>
              <w:t>南</w:t>
            </w:r>
            <w:r>
              <w:rPr>
                <w:rFonts w:hint="default" w:ascii="Times New Roman" w:hAnsi="Times New Roman" w:eastAsia="宋体" w:cs="Times New Roman"/>
                <w:bCs/>
                <w:color w:val="auto"/>
                <w:sz w:val="24"/>
                <w:highlight w:val="none"/>
                <w:lang w:val="en-US" w:eastAsia="zh-CN"/>
              </w:rPr>
              <w:t>侧，本项目设置容积为</w:t>
            </w:r>
            <w:r>
              <w:rPr>
                <w:rFonts w:hint="default" w:ascii="Times New Roman" w:hAnsi="Times New Roman" w:cs="Times New Roman"/>
                <w:bCs/>
                <w:color w:val="auto"/>
                <w:sz w:val="24"/>
                <w:highlight w:val="none"/>
                <w:lang w:val="en-US" w:eastAsia="zh-CN"/>
              </w:rPr>
              <w:t>300</w:t>
            </w:r>
            <w:r>
              <w:rPr>
                <w:rFonts w:hint="default" w:ascii="Times New Roman" w:hAnsi="Times New Roman" w:eastAsia="宋体" w:cs="Times New Roman"/>
                <w:bCs/>
                <w:color w:val="auto"/>
                <w:sz w:val="24"/>
                <w:highlight w:val="none"/>
                <w:lang w:val="en-US" w:eastAsia="zh-CN"/>
              </w:rPr>
              <w:t>m</w:t>
            </w:r>
            <w:r>
              <w:rPr>
                <w:rFonts w:hint="default" w:ascii="Times New Roman" w:hAnsi="Times New Roman" w:eastAsia="宋体" w:cs="Times New Roman"/>
                <w:bCs/>
                <w:color w:val="auto"/>
                <w:sz w:val="24"/>
                <w:highlight w:val="none"/>
                <w:vertAlign w:val="superscript"/>
                <w:lang w:val="en-US" w:eastAsia="zh-CN"/>
              </w:rPr>
              <w:t>3</w:t>
            </w:r>
            <w:r>
              <w:rPr>
                <w:rFonts w:hint="default" w:ascii="Times New Roman" w:hAnsi="Times New Roman" w:cs="Times New Roman"/>
                <w:bCs/>
                <w:color w:val="auto"/>
                <w:sz w:val="24"/>
                <w:highlight w:val="none"/>
                <w:vertAlign w:val="baseline"/>
                <w:lang w:val="en-US" w:eastAsia="zh-CN"/>
              </w:rPr>
              <w:t>（10*10*3）初期</w:t>
            </w:r>
            <w:r>
              <w:rPr>
                <w:rFonts w:hint="default" w:ascii="Times New Roman" w:hAnsi="Times New Roman" w:eastAsia="宋体" w:cs="Times New Roman"/>
                <w:bCs/>
                <w:color w:val="auto"/>
                <w:sz w:val="24"/>
                <w:highlight w:val="none"/>
                <w:lang w:val="en-US" w:eastAsia="zh-CN"/>
              </w:rPr>
              <w:t>雨水收集池用于收集</w:t>
            </w:r>
            <w:r>
              <w:rPr>
                <w:rFonts w:hint="default" w:ascii="Times New Roman" w:hAnsi="Times New Roman" w:cs="Times New Roman"/>
                <w:bCs/>
                <w:color w:val="auto"/>
                <w:sz w:val="24"/>
                <w:highlight w:val="none"/>
                <w:lang w:val="en-US" w:eastAsia="zh-CN"/>
              </w:rPr>
              <w:t>初期</w:t>
            </w:r>
            <w:r>
              <w:rPr>
                <w:rFonts w:hint="default" w:ascii="Times New Roman" w:hAnsi="Times New Roman" w:eastAsia="宋体" w:cs="Times New Roman"/>
                <w:bCs/>
                <w:color w:val="auto"/>
                <w:sz w:val="24"/>
                <w:highlight w:val="none"/>
                <w:lang w:val="en-US" w:eastAsia="zh-CN"/>
              </w:rPr>
              <w:t>雨水，收集沉淀后用于降尘用水。</w:t>
            </w:r>
            <w:r>
              <w:rPr>
                <w:rFonts w:hint="default" w:ascii="Times New Roman" w:hAnsi="Times New Roman" w:cs="Times New Roman"/>
                <w:bCs/>
                <w:color w:val="auto"/>
                <w:sz w:val="24"/>
                <w:highlight w:val="none"/>
                <w:lang w:val="en-US" w:eastAsia="zh-CN"/>
              </w:rPr>
              <w:t>初期雨水收集池满后，非初期雨水随地势流出厂区。</w:t>
            </w:r>
          </w:p>
          <w:p w14:paraId="6B2F3ED0">
            <w:pPr>
              <w:pStyle w:val="2"/>
              <w:ind w:firstLine="0" w:firstLineChars="0"/>
              <w:jc w:val="center"/>
              <w:rPr>
                <w:rFonts w:hint="default" w:ascii="Times New Roman" w:hAnsi="Times New Roman" w:cs="Times New Roman"/>
                <w:color w:val="auto"/>
                <w:highlight w:val="none"/>
              </w:rPr>
            </w:pPr>
            <w:r>
              <w:rPr>
                <w:rFonts w:hint="default" w:ascii="Times New Roman" w:hAnsi="Times New Roman" w:cs="Times New Roman"/>
              </w:rPr>
              <w:drawing>
                <wp:inline distT="0" distB="0" distL="114300" distR="114300">
                  <wp:extent cx="3260725" cy="3522345"/>
                  <wp:effectExtent l="0" t="0" r="15875" b="190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24"/>
                          <a:stretch>
                            <a:fillRect/>
                          </a:stretch>
                        </pic:blipFill>
                        <pic:spPr>
                          <a:xfrm>
                            <a:off x="0" y="0"/>
                            <a:ext cx="3260725" cy="3522345"/>
                          </a:xfrm>
                          <a:prstGeom prst="rect">
                            <a:avLst/>
                          </a:prstGeom>
                          <a:noFill/>
                          <a:ln>
                            <a:noFill/>
                          </a:ln>
                        </pic:spPr>
                      </pic:pic>
                    </a:graphicData>
                  </a:graphic>
                </wp:inline>
              </w:drawing>
            </w:r>
          </w:p>
          <w:p w14:paraId="45181F6B">
            <w:pPr>
              <w:adjustRightInd w:val="0"/>
              <w:snapToGrid w:val="0"/>
              <w:jc w:val="center"/>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图4-1  暴雨强度及雨水流量计算截图</w:t>
            </w:r>
          </w:p>
          <w:p w14:paraId="49589673">
            <w:pPr>
              <w:numPr>
                <w:ilvl w:val="0"/>
                <w:numId w:val="0"/>
              </w:numPr>
              <w:spacing w:line="500" w:lineRule="exact"/>
              <w:ind w:firstLine="480" w:firstLineChars="200"/>
              <w:rPr>
                <w:rFonts w:hint="default" w:ascii="Times New Roman" w:hAnsi="Times New Roman" w:eastAsia="宋体" w:cs="Times New Roman"/>
                <w:color w:val="auto"/>
                <w:sz w:val="24"/>
                <w:szCs w:val="22"/>
                <w:highlight w:val="none"/>
                <w:lang w:val="en-US" w:eastAsia="zh-CN"/>
              </w:rPr>
            </w:pP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lang w:val="en-US" w:eastAsia="zh-CN"/>
              </w:rPr>
              <w:t>2</w:t>
            </w: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lang w:val="en-US" w:eastAsia="zh-CN"/>
              </w:rPr>
              <w:t>水环境影响分析</w:t>
            </w:r>
          </w:p>
          <w:p w14:paraId="4F454858">
            <w:pPr>
              <w:numPr>
                <w:ilvl w:val="0"/>
                <w:numId w:val="0"/>
              </w:numPr>
              <w:spacing w:line="500" w:lineRule="exact"/>
              <w:ind w:firstLine="480" w:firstLineChars="200"/>
              <w:rPr>
                <w:rFonts w:hint="default" w:ascii="Times New Roman" w:hAnsi="Times New Roman" w:eastAsia="宋体" w:cs="Times New Roman"/>
                <w:color w:val="auto"/>
                <w:kern w:val="0"/>
                <w:sz w:val="24"/>
                <w:szCs w:val="22"/>
                <w:highlight w:val="none"/>
                <w:lang w:eastAsia="zh-CN"/>
              </w:rPr>
            </w:pPr>
            <w:r>
              <w:rPr>
                <w:rFonts w:hint="default" w:ascii="Times New Roman" w:hAnsi="Times New Roman" w:cs="Times New Roman"/>
                <w:color w:val="auto"/>
                <w:kern w:val="0"/>
                <w:sz w:val="24"/>
                <w:szCs w:val="22"/>
                <w:highlight w:val="none"/>
                <w:lang w:val="en-US" w:eastAsia="zh-CN"/>
              </w:rPr>
              <w:t>本项目产生的生活污水排入防渗旱厕，定期清掏外运堆肥；生产抑尘用水全部进入物料中挥发，不外排；初期雨水导入初期雨水收集池沉淀后回用于生产，不外排。</w:t>
            </w:r>
            <w:r>
              <w:rPr>
                <w:rFonts w:hint="default" w:ascii="Times New Roman" w:hAnsi="Times New Roman" w:cs="Times New Roman"/>
                <w:color w:val="auto"/>
                <w:kern w:val="0"/>
                <w:sz w:val="24"/>
                <w:szCs w:val="22"/>
                <w:highlight w:val="none"/>
              </w:rPr>
              <w:t>因此，本项目</w:t>
            </w:r>
            <w:r>
              <w:rPr>
                <w:rFonts w:hint="default" w:ascii="Times New Roman" w:hAnsi="Times New Roman" w:cs="Times New Roman"/>
                <w:color w:val="auto"/>
                <w:kern w:val="0"/>
                <w:sz w:val="24"/>
                <w:szCs w:val="22"/>
                <w:highlight w:val="none"/>
                <w:lang w:val="en-US" w:eastAsia="zh-CN"/>
              </w:rPr>
              <w:t>产生的废水均不会排放至外环境，</w:t>
            </w:r>
            <w:r>
              <w:rPr>
                <w:rFonts w:hint="default" w:ascii="Times New Roman" w:hAnsi="Times New Roman" w:cs="Times New Roman"/>
                <w:color w:val="auto"/>
                <w:kern w:val="0"/>
                <w:sz w:val="24"/>
                <w:szCs w:val="22"/>
                <w:highlight w:val="none"/>
              </w:rPr>
              <w:t>项目对地表水的影响在可接受范围内</w:t>
            </w:r>
            <w:r>
              <w:rPr>
                <w:rFonts w:hint="default" w:ascii="Times New Roman" w:hAnsi="Times New Roman" w:cs="Times New Roman"/>
                <w:color w:val="auto"/>
                <w:kern w:val="0"/>
                <w:sz w:val="24"/>
                <w:szCs w:val="22"/>
                <w:highlight w:val="none"/>
                <w:lang w:eastAsia="zh-CN"/>
              </w:rPr>
              <w:t>。</w:t>
            </w:r>
          </w:p>
          <w:p w14:paraId="4EC2B88A">
            <w:pPr>
              <w:numPr>
                <w:ilvl w:val="0"/>
                <w:numId w:val="0"/>
              </w:numPr>
              <w:spacing w:line="500" w:lineRule="exact"/>
              <w:ind w:firstLine="480" w:firstLineChars="200"/>
              <w:rPr>
                <w:rFonts w:hint="default" w:ascii="Times New Roman" w:hAnsi="Times New Roman" w:cs="Times New Roman"/>
                <w:color w:val="auto"/>
                <w:sz w:val="24"/>
                <w:szCs w:val="22"/>
                <w:highlight w:val="none"/>
                <w:lang w:val="en-US" w:eastAsia="zh-CN"/>
              </w:rPr>
            </w:pP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lang w:val="en-US" w:eastAsia="zh-CN"/>
              </w:rPr>
              <w:t>3</w:t>
            </w: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lang w:val="en-US" w:eastAsia="zh-CN"/>
              </w:rPr>
              <w:t>环保措施可行性分析</w:t>
            </w:r>
          </w:p>
          <w:p w14:paraId="6CED1411">
            <w:pPr>
              <w:numPr>
                <w:ilvl w:val="0"/>
                <w:numId w:val="0"/>
              </w:numPr>
              <w:spacing w:line="500" w:lineRule="exact"/>
              <w:ind w:firstLine="480" w:firstLineChars="200"/>
              <w:rPr>
                <w:rFonts w:hint="default" w:ascii="Times New Roman" w:hAnsi="Times New Roman" w:cs="Times New Roman"/>
                <w:color w:val="auto"/>
                <w:sz w:val="24"/>
                <w:szCs w:val="22"/>
                <w:highlight w:val="none"/>
                <w:lang w:val="en-US" w:eastAsia="zh-CN"/>
              </w:rPr>
            </w:pPr>
            <w:r>
              <w:rPr>
                <w:rFonts w:hint="default" w:ascii="Times New Roman" w:hAnsi="Times New Roman" w:cs="Times New Roman"/>
                <w:color w:val="auto"/>
                <w:sz w:val="24"/>
                <w:szCs w:val="22"/>
                <w:highlight w:val="none"/>
                <w:lang w:val="en-US" w:eastAsia="zh-CN"/>
              </w:rPr>
              <w:t>本项目设置初期雨水收集池及导流沟对初期雨水进行收集，收集后的初期雨水经沉淀后回用于洒水降尘。由上文可知，本项目雨水收集池体积通过鸡西市暴雨强度推导出雨水汇水量进而计算得出的，项目雨水收集池体积在计算结果上进行增加，初期雨水收集池池容能够满足初期雨水收集需求。</w:t>
            </w:r>
          </w:p>
          <w:p w14:paraId="30F47C84">
            <w:pPr>
              <w:numPr>
                <w:ilvl w:val="0"/>
                <w:numId w:val="0"/>
              </w:numPr>
              <w:spacing w:line="500" w:lineRule="exact"/>
              <w:ind w:firstLine="480" w:firstLineChars="200"/>
              <w:rPr>
                <w:rFonts w:hint="default" w:ascii="Times New Roman" w:hAnsi="Times New Roman" w:cs="Times New Roman"/>
                <w:color w:val="auto"/>
                <w:sz w:val="24"/>
                <w:szCs w:val="22"/>
                <w:highlight w:val="none"/>
                <w:lang w:eastAsia="zh-CN"/>
              </w:rPr>
            </w:pPr>
            <w:r>
              <w:rPr>
                <w:rFonts w:hint="default" w:ascii="Times New Roman" w:hAnsi="Times New Roman" w:cs="Times New Roman"/>
                <w:color w:val="auto"/>
                <w:sz w:val="24"/>
                <w:szCs w:val="22"/>
                <w:highlight w:val="none"/>
                <w:lang w:val="en-US" w:eastAsia="zh-CN"/>
              </w:rPr>
              <w:t>雨水：在鸡西市</w:t>
            </w:r>
            <w:r>
              <w:rPr>
                <w:rFonts w:hint="default" w:ascii="Times New Roman" w:hAnsi="Times New Roman" w:cs="Times New Roman"/>
                <w:color w:val="auto"/>
                <w:sz w:val="24"/>
                <w:szCs w:val="22"/>
                <w:highlight w:val="none"/>
                <w:lang w:eastAsia="zh-CN"/>
              </w:rPr>
              <w:t>近十年</w:t>
            </w:r>
            <w:r>
              <w:rPr>
                <w:rFonts w:hint="default" w:ascii="Times New Roman" w:hAnsi="Times New Roman" w:cs="Times New Roman"/>
                <w:color w:val="auto"/>
                <w:sz w:val="24"/>
                <w:szCs w:val="22"/>
                <w:highlight w:val="none"/>
                <w:lang w:val="en-US" w:eastAsia="zh-CN"/>
              </w:rPr>
              <w:t>年均</w:t>
            </w:r>
            <w:r>
              <w:rPr>
                <w:rFonts w:hint="default" w:ascii="Times New Roman" w:hAnsi="Times New Roman" w:cs="Times New Roman"/>
                <w:color w:val="auto"/>
                <w:sz w:val="24"/>
                <w:szCs w:val="22"/>
                <w:highlight w:val="none"/>
                <w:lang w:eastAsia="zh-CN"/>
              </w:rPr>
              <w:t>降雨量为55</w:t>
            </w:r>
            <w:r>
              <w:rPr>
                <w:rFonts w:hint="default" w:ascii="Times New Roman" w:hAnsi="Times New Roman" w:cs="Times New Roman"/>
                <w:color w:val="auto"/>
                <w:sz w:val="24"/>
                <w:szCs w:val="22"/>
                <w:highlight w:val="none"/>
                <w:lang w:val="en-US" w:eastAsia="zh-CN"/>
              </w:rPr>
              <w:t>9</w:t>
            </w:r>
            <w:r>
              <w:rPr>
                <w:rFonts w:hint="default" w:ascii="Times New Roman" w:hAnsi="Times New Roman" w:cs="Times New Roman"/>
                <w:color w:val="auto"/>
                <w:sz w:val="24"/>
                <w:szCs w:val="22"/>
                <w:highlight w:val="none"/>
                <w:lang w:eastAsia="zh-CN"/>
              </w:rPr>
              <w:t>mm，</w:t>
            </w:r>
            <w:r>
              <w:rPr>
                <w:rFonts w:hint="default" w:ascii="Times New Roman" w:hAnsi="Times New Roman" w:cs="Times New Roman"/>
                <w:color w:val="auto"/>
                <w:sz w:val="24"/>
                <w:szCs w:val="22"/>
                <w:highlight w:val="none"/>
                <w:lang w:val="en-US" w:eastAsia="zh-CN"/>
              </w:rPr>
              <w:t>径流系数取0.9，以平均降雨量集中在降雨前3h计，初期雨水为前15分钟降水，年均收集雨水量及年均初期雨水量计算公式如下：</w:t>
            </w:r>
          </w:p>
          <w:p w14:paraId="0FDDFD80">
            <w:pPr>
              <w:numPr>
                <w:ilvl w:val="0"/>
                <w:numId w:val="0"/>
              </w:numPr>
              <w:spacing w:line="500" w:lineRule="exact"/>
              <w:ind w:firstLine="480" w:firstLineChars="200"/>
              <w:rPr>
                <w:rFonts w:hint="default" w:ascii="Times New Roman" w:hAnsi="Times New Roman" w:cs="Times New Roman"/>
                <w:b/>
                <w:bCs/>
                <w:color w:val="auto"/>
                <w:kern w:val="2"/>
                <w:sz w:val="24"/>
                <w:szCs w:val="24"/>
                <w:highlight w:val="none"/>
                <w:lang w:val="en-US" w:eastAsia="zh-CN" w:bidi="ar-SA"/>
              </w:rPr>
            </w:pPr>
            <w:r>
              <w:rPr>
                <w:rFonts w:hint="default" w:ascii="Times New Roman" w:hAnsi="Times New Roman" w:cs="Times New Roman"/>
                <w:color w:val="auto"/>
                <w:sz w:val="24"/>
                <w:szCs w:val="22"/>
                <w:highlight w:val="none"/>
                <w:lang w:val="en-US" w:eastAsia="zh-CN"/>
              </w:rPr>
              <w:t>年均雨水量=年均降雨量*径流系数*汇水面积</w:t>
            </w:r>
            <w:r>
              <w:rPr>
                <w:rFonts w:hint="default" w:ascii="Times New Roman" w:hAnsi="Times New Roman" w:cs="Times New Roman"/>
                <w:b/>
                <w:bCs/>
                <w:color w:val="auto"/>
                <w:kern w:val="2"/>
                <w:sz w:val="24"/>
                <w:szCs w:val="24"/>
                <w:highlight w:val="none"/>
                <w:lang w:val="en-US" w:eastAsia="zh-CN" w:bidi="ar-SA"/>
              </w:rPr>
              <w:t xml:space="preserve">  </w:t>
            </w:r>
          </w:p>
          <w:p w14:paraId="07591BD8">
            <w:pPr>
              <w:numPr>
                <w:ilvl w:val="0"/>
                <w:numId w:val="0"/>
              </w:numPr>
              <w:spacing w:line="500" w:lineRule="exact"/>
              <w:ind w:firstLine="480" w:firstLineChars="200"/>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cs="Times New Roman"/>
                <w:color w:val="auto"/>
                <w:sz w:val="24"/>
                <w:szCs w:val="22"/>
                <w:highlight w:val="none"/>
                <w:lang w:val="en-US" w:eastAsia="zh-CN"/>
              </w:rPr>
              <w:t>年均初期雨水量=年均降雨量*径流系数*汇水面积*15/180</w:t>
            </w:r>
            <w:r>
              <w:rPr>
                <w:rFonts w:hint="default" w:ascii="Times New Roman" w:hAnsi="Times New Roman" w:cs="Times New Roman"/>
                <w:b/>
                <w:bCs/>
                <w:color w:val="auto"/>
                <w:kern w:val="2"/>
                <w:sz w:val="24"/>
                <w:szCs w:val="24"/>
                <w:highlight w:val="none"/>
                <w:lang w:val="en-US" w:eastAsia="zh-CN" w:bidi="ar-SA"/>
              </w:rPr>
              <w:t xml:space="preserve">                  </w:t>
            </w:r>
          </w:p>
          <w:p w14:paraId="07BED6BB">
            <w:pPr>
              <w:numPr>
                <w:ilvl w:val="0"/>
                <w:numId w:val="0"/>
              </w:numPr>
              <w:spacing w:line="500" w:lineRule="exact"/>
              <w:ind w:firstLine="480" w:firstLineChars="200"/>
              <w:rPr>
                <w:rFonts w:hint="default" w:ascii="Times New Roman" w:hAnsi="Times New Roman" w:eastAsia="宋体" w:cs="Times New Roman"/>
                <w:color w:val="auto"/>
                <w:sz w:val="24"/>
                <w:szCs w:val="22"/>
                <w:highlight w:val="none"/>
                <w:lang w:val="en-US" w:eastAsia="zh-CN"/>
              </w:rPr>
            </w:pPr>
            <w:r>
              <w:rPr>
                <w:rFonts w:hint="default" w:ascii="Times New Roman" w:hAnsi="Times New Roman" w:cs="Times New Roman"/>
                <w:color w:val="auto"/>
                <w:sz w:val="24"/>
                <w:szCs w:val="22"/>
                <w:highlight w:val="none"/>
                <w:lang w:val="en-US" w:eastAsia="zh-CN"/>
              </w:rPr>
              <w:t>由上式计算可知，储煤场年雨水量10414.17m</w:t>
            </w:r>
            <w:r>
              <w:rPr>
                <w:rFonts w:hint="default" w:ascii="Times New Roman" w:hAnsi="Times New Roman" w:cs="Times New Roman"/>
                <w:color w:val="auto"/>
                <w:sz w:val="24"/>
                <w:szCs w:val="22"/>
                <w:highlight w:val="none"/>
                <w:vertAlign w:val="superscript"/>
                <w:lang w:val="en-US" w:eastAsia="zh-CN"/>
              </w:rPr>
              <w:t>3</w:t>
            </w:r>
            <w:r>
              <w:rPr>
                <w:rFonts w:hint="default" w:ascii="Times New Roman" w:hAnsi="Times New Roman" w:cs="Times New Roman"/>
                <w:color w:val="auto"/>
                <w:sz w:val="24"/>
                <w:szCs w:val="22"/>
                <w:highlight w:val="none"/>
                <w:lang w:val="en-US" w:eastAsia="zh-CN"/>
              </w:rPr>
              <w:t>，年初期雨水量为867.85m</w:t>
            </w:r>
            <w:r>
              <w:rPr>
                <w:rFonts w:hint="default" w:ascii="Times New Roman" w:hAnsi="Times New Roman" w:cs="Times New Roman"/>
                <w:color w:val="auto"/>
                <w:sz w:val="24"/>
                <w:szCs w:val="22"/>
                <w:highlight w:val="none"/>
                <w:vertAlign w:val="superscript"/>
                <w:lang w:val="en-US" w:eastAsia="zh-CN"/>
              </w:rPr>
              <w:t>3</w:t>
            </w:r>
            <w:r>
              <w:rPr>
                <w:rFonts w:hint="default" w:ascii="Times New Roman" w:hAnsi="Times New Roman" w:cs="Times New Roman"/>
                <w:color w:val="auto"/>
                <w:sz w:val="24"/>
                <w:szCs w:val="22"/>
                <w:highlight w:val="none"/>
                <w:lang w:val="en-US" w:eastAsia="zh-CN"/>
              </w:rPr>
              <w:t>，根据上文水平衡可知，堆场及道路洒水年使用量7452m</w:t>
            </w:r>
            <w:r>
              <w:rPr>
                <w:rFonts w:hint="default" w:ascii="Times New Roman" w:hAnsi="Times New Roman" w:cs="Times New Roman"/>
                <w:color w:val="auto"/>
                <w:sz w:val="24"/>
                <w:szCs w:val="22"/>
                <w:highlight w:val="none"/>
                <w:vertAlign w:val="superscript"/>
                <w:lang w:val="en-US" w:eastAsia="zh-CN"/>
              </w:rPr>
              <w:t>3</w:t>
            </w:r>
            <w:r>
              <w:rPr>
                <w:rFonts w:hint="default" w:ascii="Times New Roman" w:hAnsi="Times New Roman" w:cs="Times New Roman"/>
                <w:color w:val="auto"/>
                <w:sz w:val="24"/>
                <w:szCs w:val="22"/>
                <w:highlight w:val="none"/>
                <w:lang w:val="en-US" w:eastAsia="zh-CN"/>
              </w:rPr>
              <w:t>，收集的初期雨水能够全部被消纳。</w:t>
            </w:r>
          </w:p>
          <w:p w14:paraId="064F7660">
            <w:pPr>
              <w:adjustRightInd w:val="0"/>
              <w:snapToGrid w:val="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w:t>
            </w:r>
            <w:r>
              <w:rPr>
                <w:rFonts w:hint="default" w:ascii="Times New Roman" w:hAnsi="Times New Roman"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kern w:val="2"/>
                <w:sz w:val="24"/>
                <w:szCs w:val="24"/>
                <w:highlight w:val="none"/>
                <w:lang w:val="en-US" w:eastAsia="zh-CN" w:bidi="ar-SA"/>
              </w:rPr>
              <w:t xml:space="preserve">  废水污染物排放源</w:t>
            </w:r>
          </w:p>
          <w:tbl>
            <w:tblPr>
              <w:tblStyle w:val="2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12"/>
              <w:gridCol w:w="1000"/>
              <w:gridCol w:w="1293"/>
              <w:gridCol w:w="1444"/>
              <w:gridCol w:w="1357"/>
              <w:gridCol w:w="2576"/>
            </w:tblGrid>
            <w:tr w14:paraId="1D543D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3" w:type="pct"/>
                  <w:noWrap w:val="0"/>
                  <w:vAlign w:val="center"/>
                </w:tcPr>
                <w:p w14:paraId="308B2EBB">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产排污环节</w:t>
                  </w:r>
                </w:p>
              </w:tc>
              <w:tc>
                <w:tcPr>
                  <w:tcW w:w="569" w:type="pct"/>
                  <w:noWrap w:val="0"/>
                  <w:vAlign w:val="center"/>
                </w:tcPr>
                <w:p w14:paraId="45009FB0">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污染物种类</w:t>
                  </w:r>
                </w:p>
              </w:tc>
              <w:tc>
                <w:tcPr>
                  <w:tcW w:w="736" w:type="pct"/>
                  <w:noWrap w:val="0"/>
                  <w:vAlign w:val="center"/>
                </w:tcPr>
                <w:p w14:paraId="684696B7">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污染物产生量t/a</w:t>
                  </w:r>
                </w:p>
              </w:tc>
              <w:tc>
                <w:tcPr>
                  <w:tcW w:w="822" w:type="pct"/>
                  <w:noWrap w:val="0"/>
                  <w:vAlign w:val="center"/>
                </w:tcPr>
                <w:p w14:paraId="1D63A112">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污染物产生浓度mg/L</w:t>
                  </w:r>
                </w:p>
              </w:tc>
              <w:tc>
                <w:tcPr>
                  <w:tcW w:w="772" w:type="pct"/>
                  <w:noWrap w:val="0"/>
                  <w:vAlign w:val="center"/>
                </w:tcPr>
                <w:p w14:paraId="4A7AA32E">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排放形式</w:t>
                  </w:r>
                </w:p>
              </w:tc>
              <w:tc>
                <w:tcPr>
                  <w:tcW w:w="1466" w:type="pct"/>
                  <w:noWrap w:val="0"/>
                  <w:vAlign w:val="center"/>
                </w:tcPr>
                <w:p w14:paraId="0DAFE8FD">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治理设施</w:t>
                  </w:r>
                </w:p>
              </w:tc>
            </w:tr>
            <w:tr w14:paraId="284DF5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3" w:type="pct"/>
                  <w:vMerge w:val="restart"/>
                  <w:noWrap w:val="0"/>
                  <w:vAlign w:val="center"/>
                </w:tcPr>
                <w:p w14:paraId="0CEFCDD5">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生活污水</w:t>
                  </w:r>
                </w:p>
              </w:tc>
              <w:tc>
                <w:tcPr>
                  <w:tcW w:w="569" w:type="pct"/>
                  <w:noWrap w:val="0"/>
                  <w:vAlign w:val="center"/>
                </w:tcPr>
                <w:p w14:paraId="53C86225">
                  <w:pPr>
                    <w:adjustRightInd w:val="0"/>
                    <w:snapToGrid w:val="0"/>
                    <w:jc w:val="center"/>
                    <w:rPr>
                      <w:rFonts w:hint="default" w:ascii="Times New Roman" w:hAnsi="Times New Roman" w:eastAsia="宋体" w:cs="Times New Roman"/>
                      <w:bCs/>
                      <w:color w:val="auto"/>
                      <w:szCs w:val="21"/>
                      <w:highlight w:val="yellow"/>
                    </w:rPr>
                  </w:pPr>
                  <w:r>
                    <w:rPr>
                      <w:rFonts w:hint="default" w:ascii="Times New Roman" w:hAnsi="Times New Roman" w:eastAsia="宋体" w:cs="Times New Roman"/>
                      <w:bCs/>
                      <w:color w:val="auto"/>
                      <w:szCs w:val="21"/>
                      <w:highlight w:val="none"/>
                    </w:rPr>
                    <w:t>COD</w:t>
                  </w:r>
                </w:p>
              </w:tc>
              <w:tc>
                <w:tcPr>
                  <w:tcW w:w="736" w:type="pct"/>
                  <w:noWrap w:val="0"/>
                  <w:vAlign w:val="center"/>
                </w:tcPr>
                <w:p w14:paraId="306F8948">
                  <w:pPr>
                    <w:adjustRightInd w:val="0"/>
                    <w:snapToGrid w:val="0"/>
                    <w:jc w:val="center"/>
                    <w:rPr>
                      <w:rFonts w:hint="default" w:ascii="Times New Roman" w:hAnsi="Times New Roman" w:eastAsia="宋体" w:cs="Times New Roman"/>
                      <w:bCs/>
                      <w:color w:val="auto"/>
                      <w:szCs w:val="21"/>
                      <w:highlight w:val="yellow"/>
                      <w:lang w:val="en-US" w:eastAsia="zh-CN"/>
                    </w:rPr>
                  </w:pPr>
                  <w:r>
                    <w:rPr>
                      <w:rFonts w:hint="default" w:ascii="Times New Roman" w:hAnsi="Times New Roman" w:eastAsia="宋体" w:cs="Times New Roman"/>
                      <w:bCs/>
                      <w:color w:val="auto"/>
                      <w:szCs w:val="21"/>
                      <w:highlight w:val="none"/>
                    </w:rPr>
                    <w:t>0.0</w:t>
                  </w:r>
                  <w:r>
                    <w:rPr>
                      <w:rFonts w:hint="default" w:ascii="Times New Roman" w:hAnsi="Times New Roman" w:cs="Times New Roman"/>
                      <w:bCs/>
                      <w:color w:val="auto"/>
                      <w:szCs w:val="21"/>
                      <w:highlight w:val="none"/>
                      <w:lang w:val="en-US" w:eastAsia="zh-CN"/>
                    </w:rPr>
                    <w:t>288</w:t>
                  </w:r>
                </w:p>
              </w:tc>
              <w:tc>
                <w:tcPr>
                  <w:tcW w:w="822" w:type="pct"/>
                  <w:noWrap w:val="0"/>
                  <w:vAlign w:val="center"/>
                </w:tcPr>
                <w:p w14:paraId="39CA35E6">
                  <w:pPr>
                    <w:adjustRightInd w:val="0"/>
                    <w:snapToGrid w:val="0"/>
                    <w:jc w:val="center"/>
                    <w:rPr>
                      <w:rFonts w:hint="default" w:ascii="Times New Roman" w:hAnsi="Times New Roman" w:eastAsia="宋体" w:cs="Times New Roman"/>
                      <w:bCs/>
                      <w:color w:val="auto"/>
                      <w:szCs w:val="21"/>
                      <w:highlight w:val="yellow"/>
                    </w:rPr>
                  </w:pPr>
                  <w:r>
                    <w:rPr>
                      <w:rFonts w:hint="default" w:ascii="Times New Roman" w:hAnsi="Times New Roman" w:eastAsia="宋体" w:cs="Times New Roman"/>
                      <w:bCs/>
                      <w:color w:val="auto"/>
                      <w:szCs w:val="21"/>
                      <w:highlight w:val="none"/>
                    </w:rPr>
                    <w:t>300</w:t>
                  </w:r>
                </w:p>
              </w:tc>
              <w:tc>
                <w:tcPr>
                  <w:tcW w:w="772" w:type="pct"/>
                  <w:noWrap w:val="0"/>
                  <w:vAlign w:val="center"/>
                </w:tcPr>
                <w:p w14:paraId="5E47A788">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不排放</w:t>
                  </w:r>
                </w:p>
              </w:tc>
              <w:tc>
                <w:tcPr>
                  <w:tcW w:w="1466" w:type="pct"/>
                  <w:vMerge w:val="restart"/>
                  <w:noWrap w:val="0"/>
                  <w:vAlign w:val="center"/>
                </w:tcPr>
                <w:p w14:paraId="470DF77E">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排入防渗旱厕、定期清掏</w:t>
                  </w:r>
                </w:p>
              </w:tc>
            </w:tr>
            <w:tr w14:paraId="506C26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3" w:type="pct"/>
                  <w:vMerge w:val="continue"/>
                  <w:noWrap w:val="0"/>
                  <w:vAlign w:val="center"/>
                </w:tcPr>
                <w:p w14:paraId="0BEBBB22">
                  <w:pPr>
                    <w:adjustRightInd w:val="0"/>
                    <w:snapToGrid w:val="0"/>
                    <w:jc w:val="center"/>
                    <w:rPr>
                      <w:rFonts w:hint="default" w:ascii="Times New Roman" w:hAnsi="Times New Roman" w:eastAsia="宋体" w:cs="Times New Roman"/>
                      <w:bCs/>
                      <w:color w:val="auto"/>
                      <w:szCs w:val="21"/>
                      <w:highlight w:val="none"/>
                    </w:rPr>
                  </w:pPr>
                </w:p>
              </w:tc>
              <w:tc>
                <w:tcPr>
                  <w:tcW w:w="569" w:type="pct"/>
                  <w:noWrap w:val="0"/>
                  <w:vAlign w:val="center"/>
                </w:tcPr>
                <w:p w14:paraId="62C3CEA9">
                  <w:pPr>
                    <w:adjustRightInd w:val="0"/>
                    <w:snapToGrid w:val="0"/>
                    <w:jc w:val="center"/>
                    <w:rPr>
                      <w:rFonts w:hint="default" w:ascii="Times New Roman" w:hAnsi="Times New Roman" w:eastAsia="宋体" w:cs="Times New Roman"/>
                      <w:bCs/>
                      <w:color w:val="auto"/>
                      <w:szCs w:val="21"/>
                      <w:highlight w:val="yellow"/>
                    </w:rPr>
                  </w:pPr>
                  <w:r>
                    <w:rPr>
                      <w:rFonts w:hint="default" w:ascii="Times New Roman" w:hAnsi="Times New Roman" w:eastAsia="宋体" w:cs="Times New Roman"/>
                      <w:bCs/>
                      <w:color w:val="auto"/>
                      <w:szCs w:val="21"/>
                      <w:highlight w:val="none"/>
                    </w:rPr>
                    <w:t>氨氮</w:t>
                  </w:r>
                </w:p>
              </w:tc>
              <w:tc>
                <w:tcPr>
                  <w:tcW w:w="736" w:type="pct"/>
                  <w:noWrap w:val="0"/>
                  <w:vAlign w:val="center"/>
                </w:tcPr>
                <w:p w14:paraId="4F09DDED">
                  <w:pPr>
                    <w:adjustRightInd w:val="0"/>
                    <w:snapToGrid w:val="0"/>
                    <w:jc w:val="center"/>
                    <w:rPr>
                      <w:rFonts w:hint="default" w:ascii="Times New Roman" w:hAnsi="Times New Roman" w:eastAsia="宋体" w:cs="Times New Roman"/>
                      <w:bCs/>
                      <w:color w:val="auto"/>
                      <w:szCs w:val="21"/>
                      <w:highlight w:val="yellow"/>
                      <w:lang w:val="en-US" w:eastAsia="zh-CN"/>
                    </w:rPr>
                  </w:pPr>
                  <w:r>
                    <w:rPr>
                      <w:rFonts w:hint="default" w:ascii="Times New Roman" w:hAnsi="Times New Roman" w:eastAsia="宋体" w:cs="Times New Roman"/>
                      <w:bCs/>
                      <w:color w:val="auto"/>
                      <w:szCs w:val="21"/>
                      <w:highlight w:val="none"/>
                    </w:rPr>
                    <w:t>0.</w:t>
                  </w:r>
                  <w:r>
                    <w:rPr>
                      <w:rFonts w:hint="default" w:ascii="Times New Roman" w:hAnsi="Times New Roman" w:cs="Times New Roman"/>
                      <w:bCs/>
                      <w:color w:val="auto"/>
                      <w:szCs w:val="21"/>
                      <w:highlight w:val="none"/>
                      <w:lang w:val="en-US" w:eastAsia="zh-CN"/>
                    </w:rPr>
                    <w:t>00192</w:t>
                  </w:r>
                </w:p>
              </w:tc>
              <w:tc>
                <w:tcPr>
                  <w:tcW w:w="822" w:type="pct"/>
                  <w:noWrap w:val="0"/>
                  <w:vAlign w:val="center"/>
                </w:tcPr>
                <w:p w14:paraId="7AD3464B">
                  <w:pPr>
                    <w:adjustRightInd w:val="0"/>
                    <w:snapToGrid w:val="0"/>
                    <w:jc w:val="center"/>
                    <w:rPr>
                      <w:rFonts w:hint="default" w:ascii="Times New Roman" w:hAnsi="Times New Roman" w:eastAsia="宋体" w:cs="Times New Roman"/>
                      <w:bCs/>
                      <w:color w:val="auto"/>
                      <w:szCs w:val="21"/>
                      <w:highlight w:val="yellow"/>
                    </w:rPr>
                  </w:pPr>
                  <w:r>
                    <w:rPr>
                      <w:rFonts w:hint="default" w:ascii="Times New Roman" w:hAnsi="Times New Roman" w:eastAsia="宋体" w:cs="Times New Roman"/>
                      <w:bCs/>
                      <w:color w:val="auto"/>
                      <w:szCs w:val="21"/>
                      <w:highlight w:val="none"/>
                    </w:rPr>
                    <w:t>20</w:t>
                  </w:r>
                </w:p>
              </w:tc>
              <w:tc>
                <w:tcPr>
                  <w:tcW w:w="772" w:type="pct"/>
                  <w:noWrap w:val="0"/>
                  <w:vAlign w:val="center"/>
                </w:tcPr>
                <w:p w14:paraId="07C4E54B">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不排放</w:t>
                  </w:r>
                </w:p>
              </w:tc>
              <w:tc>
                <w:tcPr>
                  <w:tcW w:w="1466" w:type="pct"/>
                  <w:vMerge w:val="continue"/>
                  <w:noWrap w:val="0"/>
                  <w:vAlign w:val="center"/>
                </w:tcPr>
                <w:p w14:paraId="09C7690C">
                  <w:pPr>
                    <w:adjustRightInd w:val="0"/>
                    <w:snapToGrid w:val="0"/>
                    <w:jc w:val="center"/>
                    <w:rPr>
                      <w:rFonts w:hint="default" w:ascii="Times New Roman" w:hAnsi="Times New Roman" w:eastAsia="宋体" w:cs="Times New Roman"/>
                      <w:bCs/>
                      <w:color w:val="auto"/>
                      <w:szCs w:val="21"/>
                      <w:highlight w:val="none"/>
                    </w:rPr>
                  </w:pPr>
                </w:p>
              </w:tc>
            </w:tr>
            <w:tr w14:paraId="023AF9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3" w:type="pct"/>
                  <w:noWrap w:val="0"/>
                  <w:vAlign w:val="center"/>
                </w:tcPr>
                <w:p w14:paraId="36B2BA55">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初期雨水</w:t>
                  </w:r>
                </w:p>
              </w:tc>
              <w:tc>
                <w:tcPr>
                  <w:tcW w:w="569" w:type="pct"/>
                  <w:noWrap w:val="0"/>
                  <w:vAlign w:val="center"/>
                </w:tcPr>
                <w:p w14:paraId="2C9CAB8F">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SS</w:t>
                  </w:r>
                </w:p>
              </w:tc>
              <w:tc>
                <w:tcPr>
                  <w:tcW w:w="736" w:type="pct"/>
                  <w:noWrap w:val="0"/>
                  <w:vAlign w:val="center"/>
                </w:tcPr>
                <w:p w14:paraId="2399E4CD">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0.607</w:t>
                  </w:r>
                </w:p>
              </w:tc>
              <w:tc>
                <w:tcPr>
                  <w:tcW w:w="822" w:type="pct"/>
                  <w:noWrap w:val="0"/>
                  <w:vAlign w:val="center"/>
                </w:tcPr>
                <w:p w14:paraId="14BB0BE4">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700</w:t>
                  </w:r>
                </w:p>
              </w:tc>
              <w:tc>
                <w:tcPr>
                  <w:tcW w:w="772" w:type="pct"/>
                  <w:noWrap w:val="0"/>
                  <w:vAlign w:val="center"/>
                </w:tcPr>
                <w:p w14:paraId="2C3868AF">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不排放</w:t>
                  </w:r>
                </w:p>
              </w:tc>
              <w:tc>
                <w:tcPr>
                  <w:tcW w:w="1466" w:type="pct"/>
                  <w:noWrap w:val="0"/>
                  <w:vAlign w:val="center"/>
                </w:tcPr>
                <w:p w14:paraId="2849A118">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洒水降尘</w:t>
                  </w:r>
                </w:p>
              </w:tc>
            </w:tr>
          </w:tbl>
          <w:p w14:paraId="6B411E39">
            <w:pPr>
              <w:pStyle w:val="31"/>
              <w:spacing w:before="0" w:beforeLines="0" w:after="0" w:afterLines="0" w:line="360" w:lineRule="auto"/>
              <w:ind w:firstLine="0" w:firstLineChars="0"/>
              <w:textAlignment w:val="baseline"/>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3</w:t>
            </w:r>
            <w:r>
              <w:rPr>
                <w:rFonts w:hint="default" w:ascii="Times New Roman" w:hAnsi="Times New Roman" w:cs="Times New Roman"/>
                <w:b/>
                <w:bCs/>
                <w:color w:val="auto"/>
                <w:highlight w:val="none"/>
              </w:rPr>
              <w:t>、噪声</w:t>
            </w:r>
          </w:p>
          <w:p w14:paraId="2EF05D63">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（1）噪声污染源源强</w:t>
            </w:r>
          </w:p>
          <w:p w14:paraId="246629F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Cs/>
                <w:color w:val="auto"/>
                <w:sz w:val="24"/>
                <w:highlight w:val="none"/>
              </w:rPr>
              <w:t>本项目噪声主要</w:t>
            </w:r>
            <w:r>
              <w:rPr>
                <w:rFonts w:hint="default" w:ascii="Times New Roman" w:hAnsi="Times New Roman" w:eastAsia="宋体" w:cs="Times New Roman"/>
                <w:bCs/>
                <w:color w:val="auto"/>
                <w:sz w:val="24"/>
                <w:highlight w:val="none"/>
                <w:lang w:val="en-US" w:eastAsia="zh-CN"/>
              </w:rPr>
              <w:t>为</w:t>
            </w:r>
            <w:r>
              <w:rPr>
                <w:rFonts w:hint="default" w:ascii="Times New Roman" w:hAnsi="Times New Roman" w:cs="Times New Roman"/>
                <w:bCs/>
                <w:color w:val="auto"/>
                <w:sz w:val="24"/>
                <w:highlight w:val="none"/>
                <w:lang w:val="en-US" w:eastAsia="zh-CN"/>
              </w:rPr>
              <w:t>厂区内铲车、运输车辆</w:t>
            </w:r>
            <w:r>
              <w:rPr>
                <w:rFonts w:hint="default" w:ascii="Times New Roman" w:hAnsi="Times New Roman" w:eastAsia="宋体" w:cs="Times New Roman"/>
                <w:color w:val="auto"/>
                <w:sz w:val="24"/>
                <w:szCs w:val="24"/>
                <w:highlight w:val="none"/>
                <w:lang w:val="en-US" w:eastAsia="zh-CN"/>
              </w:rPr>
              <w:t>设备运行产生的机械噪声。本项目针对各种机械设备的噪声，采取的治理措施有：企业在购买时选用低噪声设备；平时加强设备的维护，使设备长期运行在良好状态，为了减少噪声对周围环境的影响。根据类比调查，噪声源强在</w:t>
            </w:r>
            <w:r>
              <w:rPr>
                <w:rFonts w:hint="default" w:ascii="Times New Roman" w:hAnsi="Times New Roman" w:cs="Times New Roman"/>
                <w:color w:val="auto"/>
                <w:sz w:val="24"/>
                <w:szCs w:val="24"/>
                <w:highlight w:val="none"/>
                <w:lang w:val="en-US" w:eastAsia="zh-CN"/>
              </w:rPr>
              <w:t>70</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80</w:t>
            </w:r>
            <w:r>
              <w:rPr>
                <w:rFonts w:hint="default" w:ascii="Times New Roman" w:hAnsi="Times New Roman" w:eastAsia="宋体" w:cs="Times New Roman"/>
                <w:color w:val="auto"/>
                <w:sz w:val="24"/>
                <w:szCs w:val="24"/>
                <w:highlight w:val="none"/>
                <w:lang w:val="en-US" w:eastAsia="zh-CN"/>
              </w:rPr>
              <w:t>dB</w: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A</w: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，根据工程设备噪声源强分析及对其采取噪声控制措施，通过公式计算厂界噪声值。</w:t>
            </w:r>
          </w:p>
          <w:p w14:paraId="4FC57A2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yellow"/>
                <w:lang w:val="en-US" w:eastAsia="zh-CN"/>
              </w:rPr>
            </w:pPr>
            <w:r>
              <w:rPr>
                <w:rFonts w:hint="default" w:ascii="Times New Roman" w:hAnsi="Times New Roman" w:eastAsia="宋体" w:cs="Times New Roman"/>
                <w:color w:val="auto"/>
                <w:sz w:val="24"/>
                <w:szCs w:val="24"/>
                <w:highlight w:val="none"/>
                <w:lang w:val="en-US" w:eastAsia="zh-CN"/>
              </w:rPr>
              <w:t>噪声预测按照《环境影响评价技术导则 声环境》（HJ2.4-2021）进行。</w:t>
            </w:r>
          </w:p>
          <w:p w14:paraId="0380D26F">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如果声源处于半自由声场，计算公式如下：</w:t>
            </w:r>
          </w:p>
          <w:p w14:paraId="0C13C17A">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cs="Times New Roman"/>
                <w:bCs/>
                <w:color w:val="auto"/>
                <w:sz w:val="24"/>
                <w:szCs w:val="24"/>
                <w:highlight w:val="none"/>
              </w:rPr>
            </w:pPr>
            <w:r>
              <w:rPr>
                <w:rFonts w:hint="default" w:ascii="Times New Roman" w:hAnsi="Times New Roman" w:cs="Times New Roman"/>
                <w:color w:val="auto"/>
                <w:position w:val="-14"/>
                <w:sz w:val="24"/>
                <w:szCs w:val="24"/>
                <w:highlight w:val="none"/>
              </w:rPr>
              <w:object>
                <v:shape id="_x0000_i1025" o:spt="75" type="#_x0000_t75" style="height:18.8pt;width:110.2pt;" o:ole="t" filled="f" o:preferrelative="t" stroked="f" coordsize="21600,21600">
                  <v:path/>
                  <v:fill on="f" focussize="0,0"/>
                  <v:stroke on="f" joinstyle="miter"/>
                  <v:imagedata r:id="rId26" o:title=""/>
                  <o:lock v:ext="edit" aspectratio="t"/>
                  <w10:wrap type="none"/>
                  <w10:anchorlock/>
                </v:shape>
                <o:OLEObject Type="Embed" ProgID="Equation.3" ShapeID="_x0000_i1025" DrawAspect="Content" ObjectID="_1468075725" r:id="rId25">
                  <o:LockedField>false</o:LockedField>
                </o:OLEObject>
              </w:object>
            </w:r>
          </w:p>
          <w:p w14:paraId="66B0E723">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式中：L</w:t>
            </w:r>
            <w:r>
              <w:rPr>
                <w:rFonts w:hint="default" w:ascii="Times New Roman" w:hAnsi="Times New Roman" w:cs="Times New Roman"/>
                <w:bCs/>
                <w:color w:val="auto"/>
                <w:sz w:val="24"/>
                <w:szCs w:val="24"/>
                <w:highlight w:val="none"/>
                <w:vertAlign w:val="subscript"/>
              </w:rPr>
              <w:t>p</w:t>
            </w:r>
            <w:r>
              <w:rPr>
                <w:rFonts w:hint="default" w:ascii="Times New Roman" w:hAnsi="Times New Roman" w:cs="Times New Roman"/>
                <w:bCs/>
                <w:color w:val="auto"/>
                <w:sz w:val="24"/>
                <w:szCs w:val="24"/>
                <w:highlight w:val="none"/>
                <w:lang w:eastAsia="zh-CN"/>
              </w:rPr>
              <w:t>（</w:t>
            </w:r>
            <w:r>
              <w:rPr>
                <w:rFonts w:hint="default" w:ascii="Times New Roman" w:hAnsi="Times New Roman" w:cs="Times New Roman"/>
                <w:bCs/>
                <w:color w:val="auto"/>
                <w:sz w:val="24"/>
                <w:szCs w:val="24"/>
                <w:highlight w:val="none"/>
              </w:rPr>
              <w:t>r</w:t>
            </w:r>
            <w:r>
              <w:rPr>
                <w:rFonts w:hint="default" w:ascii="Times New Roman" w:hAnsi="Times New Roman" w:cs="Times New Roman"/>
                <w:bCs/>
                <w:color w:val="auto"/>
                <w:sz w:val="24"/>
                <w:szCs w:val="24"/>
                <w:highlight w:val="none"/>
                <w:lang w:eastAsia="zh-CN"/>
              </w:rPr>
              <w:t>）</w:t>
            </w:r>
            <w:r>
              <w:rPr>
                <w:rFonts w:hint="default" w:ascii="Times New Roman" w:hAnsi="Times New Roman" w:cs="Times New Roman"/>
                <w:bCs/>
                <w:color w:val="auto"/>
                <w:sz w:val="24"/>
                <w:szCs w:val="24"/>
                <w:highlight w:val="none"/>
              </w:rPr>
              <w:t>——预测点处声压级，dB；</w:t>
            </w:r>
          </w:p>
          <w:p w14:paraId="527CD8A2">
            <w:pPr>
              <w:keepNext w:val="0"/>
              <w:keepLines w:val="0"/>
              <w:suppressLineNumbers w:val="0"/>
              <w:adjustRightInd w:val="0"/>
              <w:snapToGrid w:val="0"/>
              <w:spacing w:before="0" w:beforeAutospacing="0" w:after="0" w:afterAutospacing="0" w:line="360" w:lineRule="auto"/>
              <w:ind w:left="0" w:right="0" w:firstLine="1200" w:firstLineChars="5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L</w:t>
            </w:r>
            <w:r>
              <w:rPr>
                <w:rFonts w:hint="default" w:ascii="Times New Roman" w:hAnsi="Times New Roman" w:cs="Times New Roman"/>
                <w:bCs/>
                <w:color w:val="auto"/>
                <w:sz w:val="24"/>
                <w:szCs w:val="24"/>
                <w:highlight w:val="none"/>
                <w:vertAlign w:val="subscript"/>
              </w:rPr>
              <w:t>w</w:t>
            </w:r>
            <w:r>
              <w:rPr>
                <w:rFonts w:hint="default" w:ascii="Times New Roman" w:hAnsi="Times New Roman" w:cs="Times New Roman"/>
                <w:bCs/>
                <w:color w:val="auto"/>
                <w:sz w:val="24"/>
                <w:szCs w:val="24"/>
                <w:highlight w:val="none"/>
              </w:rPr>
              <w:t>——由点声源产生的倍频带声功率级，dB；</w:t>
            </w:r>
          </w:p>
          <w:p w14:paraId="4D6C0FFA">
            <w:pPr>
              <w:keepNext w:val="0"/>
              <w:keepLines w:val="0"/>
              <w:suppressLineNumbers w:val="0"/>
              <w:adjustRightInd w:val="0"/>
              <w:snapToGrid w:val="0"/>
              <w:spacing w:before="0" w:beforeAutospacing="0" w:after="0" w:afterAutospacing="0" w:line="360" w:lineRule="auto"/>
              <w:ind w:left="0" w:right="0" w:firstLine="1200" w:firstLineChars="5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r——预测点距声源的距离。</w:t>
            </w:r>
          </w:p>
          <w:p w14:paraId="1C4F74FD">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噪声贡献值</w:t>
            </w:r>
            <w:r>
              <w:rPr>
                <w:rFonts w:hint="default" w:ascii="Times New Roman" w:hAnsi="Times New Roman" w:cs="Times New Roman"/>
                <w:color w:val="auto"/>
                <w:sz w:val="24"/>
                <w:szCs w:val="24"/>
                <w:highlight w:val="none"/>
              </w:rPr>
              <w:t>计算公式</w:t>
            </w:r>
            <w:r>
              <w:rPr>
                <w:rFonts w:hint="default" w:ascii="Times New Roman" w:hAnsi="Times New Roman" w:cs="Times New Roman"/>
                <w:bCs/>
                <w:color w:val="auto"/>
                <w:sz w:val="24"/>
                <w:szCs w:val="24"/>
                <w:highlight w:val="none"/>
              </w:rPr>
              <w:t>：</w:t>
            </w:r>
          </w:p>
          <w:p w14:paraId="690F5F9B">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position w:val="-34"/>
                <w:sz w:val="24"/>
                <w:szCs w:val="24"/>
                <w:highlight w:val="none"/>
              </w:rPr>
              <w:object>
                <v:shape id="_x0000_i1026" o:spt="75" type="#_x0000_t75" style="height:40.05pt;width:204.75pt;" o:ole="t" filled="f" o:preferrelative="t" stroked="f" coordsize="21600,21600">
                  <v:path/>
                  <v:fill on="f" focussize="0,0"/>
                  <v:stroke on="f" joinstyle="miter"/>
                  <v:imagedata r:id="rId28" o:title=""/>
                  <o:lock v:ext="edit" aspectratio="t"/>
                  <w10:wrap type="none"/>
                  <w10:anchorlock/>
                </v:shape>
                <o:OLEObject Type="Embed" ProgID="Equation.3" ShapeID="_x0000_i1026" DrawAspect="Content" ObjectID="_1468075726" r:id="rId27">
                  <o:LockedField>false</o:LockedField>
                </o:OLEObject>
              </w:object>
            </w:r>
          </w:p>
          <w:p w14:paraId="327CB426">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式中：L</w:t>
            </w:r>
            <w:r>
              <w:rPr>
                <w:rFonts w:hint="default" w:ascii="Times New Roman" w:hAnsi="Times New Roman" w:cs="Times New Roman"/>
                <w:color w:val="auto"/>
                <w:sz w:val="24"/>
                <w:szCs w:val="24"/>
                <w:highlight w:val="none"/>
                <w:vertAlign w:val="subscript"/>
              </w:rPr>
              <w:t>eqg</w:t>
            </w:r>
            <w:r>
              <w:rPr>
                <w:rFonts w:hint="default" w:ascii="Times New Roman" w:hAnsi="Times New Roman" w:cs="Times New Roman"/>
                <w:color w:val="auto"/>
                <w:sz w:val="24"/>
                <w:szCs w:val="24"/>
                <w:highlight w:val="none"/>
              </w:rPr>
              <w:t>——建设项目声源在预测点产生的噪声贡献值，dB；</w:t>
            </w:r>
          </w:p>
          <w:p w14:paraId="3C29A4EC">
            <w:pPr>
              <w:keepNext w:val="0"/>
              <w:keepLines w:val="0"/>
              <w:suppressLineNumbers w:val="0"/>
              <w:spacing w:before="0" w:beforeAutospacing="0" w:after="0" w:afterAutospacing="0" w:line="360" w:lineRule="auto"/>
              <w:ind w:left="0" w:right="0" w:firstLine="1200" w:firstLineChars="5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T——用于计算等效声级的时间，s；</w:t>
            </w:r>
          </w:p>
          <w:p w14:paraId="6050FE2A">
            <w:pPr>
              <w:keepNext w:val="0"/>
              <w:keepLines w:val="0"/>
              <w:suppressLineNumbers w:val="0"/>
              <w:spacing w:before="0" w:beforeAutospacing="0" w:after="0" w:afterAutospacing="0" w:line="360" w:lineRule="auto"/>
              <w:ind w:left="0" w:right="0" w:firstLine="1200" w:firstLineChars="5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N——室外声源个数；</w:t>
            </w:r>
          </w:p>
          <w:p w14:paraId="1F535377">
            <w:pPr>
              <w:keepNext w:val="0"/>
              <w:keepLines w:val="0"/>
              <w:suppressLineNumbers w:val="0"/>
              <w:spacing w:before="0" w:beforeAutospacing="0" w:after="0" w:afterAutospacing="0" w:line="360" w:lineRule="auto"/>
              <w:ind w:left="0" w:right="0" w:firstLine="1200" w:firstLineChars="5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t</w:t>
            </w:r>
            <w:r>
              <w:rPr>
                <w:rFonts w:hint="default" w:ascii="Times New Roman" w:hAnsi="Times New Roman" w:cs="Times New Roman"/>
                <w:color w:val="auto"/>
                <w:sz w:val="24"/>
                <w:szCs w:val="24"/>
                <w:highlight w:val="none"/>
                <w:vertAlign w:val="subscript"/>
              </w:rPr>
              <w:t>i</w:t>
            </w:r>
            <w:r>
              <w:rPr>
                <w:rFonts w:hint="default" w:ascii="Times New Roman" w:hAnsi="Times New Roman" w:cs="Times New Roman"/>
                <w:color w:val="auto"/>
                <w:sz w:val="24"/>
                <w:szCs w:val="24"/>
                <w:highlight w:val="none"/>
              </w:rPr>
              <w:t>——在T时间内i声源工作时间，s；</w:t>
            </w:r>
          </w:p>
          <w:p w14:paraId="2CC46655">
            <w:pPr>
              <w:keepNext w:val="0"/>
              <w:keepLines w:val="0"/>
              <w:suppressLineNumbers w:val="0"/>
              <w:spacing w:before="0" w:beforeAutospacing="0" w:after="0" w:afterAutospacing="0" w:line="360" w:lineRule="auto"/>
              <w:ind w:left="0" w:right="0" w:firstLine="1200" w:firstLineChars="5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M——等效室外声源个数；</w:t>
            </w:r>
          </w:p>
          <w:p w14:paraId="320D995E">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t</w:t>
            </w:r>
            <w:r>
              <w:rPr>
                <w:rFonts w:hint="default" w:ascii="Times New Roman" w:hAnsi="Times New Roman" w:cs="Times New Roman"/>
                <w:color w:val="auto"/>
                <w:sz w:val="24"/>
                <w:szCs w:val="24"/>
                <w:highlight w:val="none"/>
                <w:vertAlign w:val="subscript"/>
              </w:rPr>
              <w:t>j</w:t>
            </w:r>
            <w:r>
              <w:rPr>
                <w:rFonts w:hint="default" w:ascii="Times New Roman" w:hAnsi="Times New Roman" w:cs="Times New Roman"/>
                <w:color w:val="auto"/>
                <w:sz w:val="24"/>
                <w:szCs w:val="24"/>
                <w:highlight w:val="none"/>
              </w:rPr>
              <w:t>——在T时间内j声源工作时间，s。</w:t>
            </w:r>
          </w:p>
          <w:p w14:paraId="3DCA35A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噪声预测按照《环境影响评价技术导则 声环境》（HJ2.4-2021）进行，按主要噪声源即生产设备同时运行的不利工况进行预测分析。根据总图布置，采用噪声叠加公式和点声源噪声衰减模式预测经采取治理措施后到厂界的贡献值，并判断是否达标。预测结果见下表。</w:t>
            </w:r>
          </w:p>
          <w:p w14:paraId="6B059136">
            <w:pPr>
              <w:adjustRightInd w:val="0"/>
              <w:snapToGrid w:val="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 xml:space="preserve"> 表4-</w:t>
            </w:r>
            <w:r>
              <w:rPr>
                <w:rFonts w:hint="default" w:ascii="Times New Roman" w:hAnsi="Times New Roman" w:cs="Times New Roman"/>
                <w:b/>
                <w:bCs/>
                <w:color w:val="auto"/>
                <w:kern w:val="2"/>
                <w:sz w:val="24"/>
                <w:szCs w:val="24"/>
                <w:highlight w:val="none"/>
                <w:lang w:val="en-US" w:eastAsia="zh-CN" w:bidi="ar-SA"/>
              </w:rPr>
              <w:t>4</w:t>
            </w:r>
            <w:r>
              <w:rPr>
                <w:rFonts w:hint="default" w:ascii="Times New Roman" w:hAnsi="Times New Roman" w:eastAsia="宋体" w:cs="Times New Roman"/>
                <w:b/>
                <w:bCs/>
                <w:color w:val="auto"/>
                <w:kern w:val="2"/>
                <w:sz w:val="24"/>
                <w:szCs w:val="24"/>
                <w:highlight w:val="none"/>
                <w:lang w:val="en-US" w:eastAsia="zh-CN" w:bidi="ar-SA"/>
              </w:rPr>
              <w:t xml:space="preserve"> 噪声源源强核算结果及相关参数一览表</w:t>
            </w:r>
          </w:p>
          <w:tbl>
            <w:tblPr>
              <w:tblStyle w:val="20"/>
              <w:tblW w:w="0" w:type="auto"/>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87"/>
              <w:gridCol w:w="910"/>
              <w:gridCol w:w="591"/>
              <w:gridCol w:w="566"/>
              <w:gridCol w:w="566"/>
              <w:gridCol w:w="566"/>
              <w:gridCol w:w="1667"/>
              <w:gridCol w:w="2249"/>
              <w:gridCol w:w="1085"/>
            </w:tblGrid>
            <w:tr w14:paraId="268513C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restart"/>
                  <w:tcBorders>
                    <w:tl2br w:val="nil"/>
                    <w:tr2bl w:val="nil"/>
                  </w:tcBorders>
                  <w:noWrap w:val="0"/>
                  <w:vAlign w:val="center"/>
                </w:tcPr>
                <w:p w14:paraId="2BA57DFC">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cs="Times New Roman"/>
                      <w:color w:val="auto"/>
                      <w:kern w:val="0"/>
                      <w:sz w:val="21"/>
                      <w:szCs w:val="21"/>
                      <w:highlight w:val="none"/>
                      <w:u w:val="none"/>
                      <w:lang w:val="en-US" w:eastAsia="zh-CN"/>
                    </w:rPr>
                    <w:t>序号</w:t>
                  </w:r>
                </w:p>
              </w:tc>
              <w:tc>
                <w:tcPr>
                  <w:tcW w:w="0" w:type="auto"/>
                  <w:vMerge w:val="restart"/>
                  <w:tcBorders>
                    <w:tl2br w:val="nil"/>
                    <w:tr2bl w:val="nil"/>
                  </w:tcBorders>
                  <w:noWrap w:val="0"/>
                  <w:vAlign w:val="center"/>
                </w:tcPr>
                <w:p w14:paraId="6EDA153C">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cs="Times New Roman"/>
                      <w:color w:val="auto"/>
                      <w:sz w:val="21"/>
                      <w:szCs w:val="21"/>
                      <w:highlight w:val="none"/>
                      <w:u w:val="none"/>
                      <w:lang w:val="en-US" w:eastAsia="zh-CN"/>
                    </w:rPr>
                    <w:t>声源名称</w:t>
                  </w:r>
                </w:p>
              </w:tc>
              <w:tc>
                <w:tcPr>
                  <w:tcW w:w="0" w:type="auto"/>
                  <w:vMerge w:val="restart"/>
                  <w:tcBorders>
                    <w:tl2br w:val="nil"/>
                    <w:tr2bl w:val="nil"/>
                  </w:tcBorders>
                  <w:noWrap w:val="0"/>
                  <w:vAlign w:val="center"/>
                </w:tcPr>
                <w:p w14:paraId="1C72FE16">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型号</w:t>
                  </w:r>
                </w:p>
              </w:tc>
              <w:tc>
                <w:tcPr>
                  <w:tcW w:w="0" w:type="auto"/>
                  <w:gridSpan w:val="3"/>
                  <w:tcBorders>
                    <w:tl2br w:val="nil"/>
                    <w:tr2bl w:val="nil"/>
                  </w:tcBorders>
                  <w:noWrap w:val="0"/>
                  <w:vAlign w:val="center"/>
                </w:tcPr>
                <w:p w14:paraId="419A3922">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空间相对位置/m</w:t>
                  </w:r>
                </w:p>
              </w:tc>
              <w:tc>
                <w:tcPr>
                  <w:tcW w:w="0" w:type="auto"/>
                  <w:tcBorders>
                    <w:tl2br w:val="nil"/>
                    <w:tr2bl w:val="nil"/>
                  </w:tcBorders>
                  <w:noWrap w:val="0"/>
                  <w:vAlign w:val="center"/>
                </w:tcPr>
                <w:p w14:paraId="20C98122">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声源源强</w:t>
                  </w:r>
                </w:p>
              </w:tc>
              <w:tc>
                <w:tcPr>
                  <w:tcW w:w="0" w:type="auto"/>
                  <w:vMerge w:val="restart"/>
                  <w:tcBorders>
                    <w:tl2br w:val="nil"/>
                    <w:tr2bl w:val="nil"/>
                  </w:tcBorders>
                  <w:noWrap w:val="0"/>
                  <w:vAlign w:val="center"/>
                </w:tcPr>
                <w:p w14:paraId="438B036F">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声源控制措施</w:t>
                  </w:r>
                </w:p>
              </w:tc>
              <w:tc>
                <w:tcPr>
                  <w:tcW w:w="0" w:type="auto"/>
                  <w:vMerge w:val="restart"/>
                  <w:tcBorders>
                    <w:tl2br w:val="nil"/>
                    <w:tr2bl w:val="nil"/>
                  </w:tcBorders>
                  <w:noWrap w:val="0"/>
                  <w:vAlign w:val="center"/>
                </w:tcPr>
                <w:p w14:paraId="55FF8044">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持续时间/h</w:t>
                  </w:r>
                </w:p>
              </w:tc>
            </w:tr>
            <w:tr w14:paraId="4DFB572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noWrap w:val="0"/>
                  <w:vAlign w:val="center"/>
                </w:tcPr>
                <w:p w14:paraId="73C0890D">
                  <w:pPr>
                    <w:keepNext w:val="0"/>
                    <w:keepLines w:val="0"/>
                    <w:pageBreakBefore w:val="0"/>
                    <w:widowControl/>
                    <w:kinsoku/>
                    <w:wordWrap/>
                    <w:overflowPunct/>
                    <w:topLinePunct w:val="0"/>
                    <w:autoSpaceDE/>
                    <w:autoSpaceDN/>
                    <w:bidi w:val="0"/>
                    <w:snapToGrid/>
                    <w:ind w:left="0" w:leftChars="0" w:right="0" w:rightChars="0"/>
                    <w:jc w:val="left"/>
                    <w:rPr>
                      <w:rFonts w:hint="default" w:ascii="Times New Roman" w:hAnsi="Times New Roman" w:cs="Times New Roman"/>
                      <w:color w:val="auto"/>
                      <w:sz w:val="21"/>
                      <w:szCs w:val="21"/>
                      <w:highlight w:val="none"/>
                      <w:u w:val="none"/>
                    </w:rPr>
                  </w:pPr>
                </w:p>
              </w:tc>
              <w:tc>
                <w:tcPr>
                  <w:tcW w:w="0" w:type="auto"/>
                  <w:vMerge w:val="continue"/>
                  <w:tcBorders>
                    <w:tl2br w:val="nil"/>
                    <w:tr2bl w:val="nil"/>
                  </w:tcBorders>
                  <w:noWrap w:val="0"/>
                  <w:vAlign w:val="center"/>
                </w:tcPr>
                <w:p w14:paraId="7C2C063C">
                  <w:pPr>
                    <w:keepNext w:val="0"/>
                    <w:keepLines w:val="0"/>
                    <w:pageBreakBefore w:val="0"/>
                    <w:widowControl/>
                    <w:kinsoku/>
                    <w:wordWrap/>
                    <w:overflowPunct/>
                    <w:topLinePunct w:val="0"/>
                    <w:autoSpaceDE/>
                    <w:autoSpaceDN/>
                    <w:bidi w:val="0"/>
                    <w:snapToGrid/>
                    <w:ind w:left="0" w:leftChars="0" w:right="0" w:rightChars="0"/>
                    <w:jc w:val="left"/>
                    <w:rPr>
                      <w:rFonts w:hint="default" w:ascii="Times New Roman" w:hAnsi="Times New Roman" w:cs="Times New Roman"/>
                      <w:color w:val="auto"/>
                      <w:sz w:val="21"/>
                      <w:szCs w:val="21"/>
                      <w:highlight w:val="none"/>
                      <w:u w:val="none"/>
                    </w:rPr>
                  </w:pPr>
                </w:p>
              </w:tc>
              <w:tc>
                <w:tcPr>
                  <w:tcW w:w="0" w:type="auto"/>
                  <w:vMerge w:val="continue"/>
                  <w:tcBorders>
                    <w:tl2br w:val="nil"/>
                    <w:tr2bl w:val="nil"/>
                  </w:tcBorders>
                  <w:noWrap w:val="0"/>
                  <w:vAlign w:val="center"/>
                </w:tcPr>
                <w:p w14:paraId="113D0540">
                  <w:pPr>
                    <w:keepNext w:val="0"/>
                    <w:keepLines w:val="0"/>
                    <w:pageBreakBefore w:val="0"/>
                    <w:widowControl/>
                    <w:kinsoku/>
                    <w:wordWrap/>
                    <w:overflowPunct/>
                    <w:topLinePunct w:val="0"/>
                    <w:autoSpaceDE/>
                    <w:autoSpaceDN/>
                    <w:bidi w:val="0"/>
                    <w:snapToGrid/>
                    <w:ind w:left="0" w:leftChars="0" w:right="0" w:rightChars="0"/>
                    <w:jc w:val="left"/>
                    <w:rPr>
                      <w:rFonts w:hint="default" w:ascii="Times New Roman" w:hAnsi="Times New Roman" w:cs="Times New Roman"/>
                      <w:color w:val="auto"/>
                      <w:sz w:val="21"/>
                      <w:szCs w:val="21"/>
                      <w:highlight w:val="none"/>
                      <w:u w:val="none"/>
                    </w:rPr>
                  </w:pPr>
                </w:p>
              </w:tc>
              <w:tc>
                <w:tcPr>
                  <w:tcW w:w="0" w:type="auto"/>
                  <w:tcBorders>
                    <w:tl2br w:val="nil"/>
                    <w:tr2bl w:val="nil"/>
                  </w:tcBorders>
                  <w:noWrap w:val="0"/>
                  <w:vAlign w:val="center"/>
                </w:tcPr>
                <w:p w14:paraId="60D7D2FD">
                  <w:pPr>
                    <w:keepNext w:val="0"/>
                    <w:keepLines w:val="0"/>
                    <w:pageBreakBefore w:val="0"/>
                    <w:widowControl/>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X</w:t>
                  </w:r>
                </w:p>
              </w:tc>
              <w:tc>
                <w:tcPr>
                  <w:tcW w:w="0" w:type="auto"/>
                  <w:tcBorders>
                    <w:tl2br w:val="nil"/>
                    <w:tr2bl w:val="nil"/>
                  </w:tcBorders>
                  <w:noWrap w:val="0"/>
                  <w:vAlign w:val="center"/>
                </w:tcPr>
                <w:p w14:paraId="0A86D87B">
                  <w:pPr>
                    <w:keepNext w:val="0"/>
                    <w:keepLines w:val="0"/>
                    <w:pageBreakBefore w:val="0"/>
                    <w:widowControl/>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Y</w:t>
                  </w:r>
                </w:p>
              </w:tc>
              <w:tc>
                <w:tcPr>
                  <w:tcW w:w="0" w:type="auto"/>
                  <w:tcBorders>
                    <w:tl2br w:val="nil"/>
                    <w:tr2bl w:val="nil"/>
                  </w:tcBorders>
                  <w:noWrap w:val="0"/>
                  <w:vAlign w:val="center"/>
                </w:tcPr>
                <w:p w14:paraId="2CE2EA5F">
                  <w:pPr>
                    <w:keepNext w:val="0"/>
                    <w:keepLines w:val="0"/>
                    <w:pageBreakBefore w:val="0"/>
                    <w:widowControl/>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Z</w:t>
                  </w:r>
                </w:p>
              </w:tc>
              <w:tc>
                <w:tcPr>
                  <w:tcW w:w="0" w:type="auto"/>
                  <w:tcBorders>
                    <w:tl2br w:val="nil"/>
                    <w:tr2bl w:val="nil"/>
                  </w:tcBorders>
                  <w:noWrap w:val="0"/>
                  <w:vAlign w:val="center"/>
                </w:tcPr>
                <w:p w14:paraId="503264F9">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声功率级/dB（A）</w:t>
                  </w:r>
                </w:p>
              </w:tc>
              <w:tc>
                <w:tcPr>
                  <w:tcW w:w="0" w:type="auto"/>
                  <w:vMerge w:val="continue"/>
                  <w:tcBorders>
                    <w:tl2br w:val="nil"/>
                    <w:tr2bl w:val="nil"/>
                  </w:tcBorders>
                  <w:noWrap w:val="0"/>
                  <w:vAlign w:val="center"/>
                </w:tcPr>
                <w:p w14:paraId="5305B2CD">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cs="Times New Roman"/>
                      <w:color w:val="auto"/>
                      <w:sz w:val="21"/>
                      <w:szCs w:val="21"/>
                      <w:highlight w:val="none"/>
                      <w:u w:val="none"/>
                    </w:rPr>
                  </w:pPr>
                </w:p>
              </w:tc>
              <w:tc>
                <w:tcPr>
                  <w:tcW w:w="0" w:type="auto"/>
                  <w:vMerge w:val="continue"/>
                  <w:tcBorders>
                    <w:tl2br w:val="nil"/>
                    <w:tr2bl w:val="nil"/>
                  </w:tcBorders>
                  <w:noWrap w:val="0"/>
                  <w:vAlign w:val="center"/>
                </w:tcPr>
                <w:p w14:paraId="6EE44BC4">
                  <w:pPr>
                    <w:keepNext w:val="0"/>
                    <w:keepLines w:val="0"/>
                    <w:pageBreakBefore w:val="0"/>
                    <w:widowControl/>
                    <w:kinsoku/>
                    <w:wordWrap/>
                    <w:overflowPunct/>
                    <w:topLinePunct w:val="0"/>
                    <w:autoSpaceDE/>
                    <w:autoSpaceDN/>
                    <w:bidi w:val="0"/>
                    <w:snapToGrid/>
                    <w:ind w:left="0" w:leftChars="0" w:right="0" w:rightChars="0"/>
                    <w:jc w:val="left"/>
                    <w:rPr>
                      <w:rFonts w:hint="default" w:ascii="Times New Roman" w:hAnsi="Times New Roman" w:cs="Times New Roman"/>
                      <w:color w:val="auto"/>
                      <w:kern w:val="0"/>
                      <w:sz w:val="21"/>
                      <w:szCs w:val="21"/>
                      <w:highlight w:val="none"/>
                      <w:u w:val="none"/>
                    </w:rPr>
                  </w:pPr>
                </w:p>
              </w:tc>
            </w:tr>
            <w:tr w14:paraId="15F7CA7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63A84E60">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cs="Times New Roman"/>
                      <w:color w:val="auto"/>
                      <w:sz w:val="21"/>
                      <w:szCs w:val="21"/>
                      <w:highlight w:val="none"/>
                      <w:u w:val="none"/>
                      <w:lang w:val="en-US" w:eastAsia="zh-CN"/>
                    </w:rPr>
                    <w:t>1</w:t>
                  </w:r>
                </w:p>
              </w:tc>
              <w:tc>
                <w:tcPr>
                  <w:tcW w:w="0" w:type="auto"/>
                  <w:tcBorders>
                    <w:tl2br w:val="nil"/>
                    <w:tr2bl w:val="nil"/>
                  </w:tcBorders>
                  <w:noWrap w:val="0"/>
                  <w:vAlign w:val="center"/>
                </w:tcPr>
                <w:p w14:paraId="129C737C">
                  <w:pPr>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lang w:val="en-US" w:eastAsia="zh-CN"/>
                    </w:rPr>
                    <w:t>铲车</w:t>
                  </w:r>
                </w:p>
              </w:tc>
              <w:tc>
                <w:tcPr>
                  <w:tcW w:w="0" w:type="auto"/>
                  <w:tcBorders>
                    <w:tl2br w:val="nil"/>
                    <w:tr2bl w:val="nil"/>
                  </w:tcBorders>
                  <w:noWrap w:val="0"/>
                  <w:vAlign w:val="center"/>
                </w:tcPr>
                <w:p w14:paraId="645635FC">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tcBorders>
                    <w:tl2br w:val="nil"/>
                    <w:tr2bl w:val="nil"/>
                  </w:tcBorders>
                  <w:noWrap w:val="0"/>
                  <w:vAlign w:val="center"/>
                </w:tcPr>
                <w:p w14:paraId="73E631FD">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tcBorders>
                    <w:tl2br w:val="nil"/>
                    <w:tr2bl w:val="nil"/>
                  </w:tcBorders>
                  <w:noWrap w:val="0"/>
                  <w:vAlign w:val="center"/>
                </w:tcPr>
                <w:p w14:paraId="7A586183">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tcBorders>
                    <w:tl2br w:val="nil"/>
                    <w:tr2bl w:val="nil"/>
                  </w:tcBorders>
                  <w:noWrap w:val="0"/>
                  <w:vAlign w:val="center"/>
                </w:tcPr>
                <w:p w14:paraId="1DB08499">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tcBorders>
                    <w:tl2br w:val="nil"/>
                    <w:tr2bl w:val="nil"/>
                  </w:tcBorders>
                  <w:noWrap w:val="0"/>
                  <w:vAlign w:val="center"/>
                </w:tcPr>
                <w:p w14:paraId="369D8B57">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80</w:t>
                  </w:r>
                </w:p>
              </w:tc>
              <w:tc>
                <w:tcPr>
                  <w:tcW w:w="2249" w:type="dxa"/>
                  <w:vMerge w:val="restart"/>
                  <w:tcBorders>
                    <w:tl2br w:val="nil"/>
                    <w:tr2bl w:val="nil"/>
                  </w:tcBorders>
                  <w:noWrap w:val="0"/>
                  <w:vAlign w:val="center"/>
                </w:tcPr>
                <w:p w14:paraId="5513CBD2">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rPr>
                    <w:t>低噪设备、</w:t>
                  </w:r>
                  <w:r>
                    <w:rPr>
                      <w:rFonts w:hint="default" w:ascii="Times New Roman" w:hAnsi="Times New Roman" w:eastAsia="宋体" w:cs="Times New Roman"/>
                      <w:color w:val="auto"/>
                      <w:sz w:val="21"/>
                      <w:szCs w:val="21"/>
                      <w:highlight w:val="none"/>
                      <w:lang w:val="en-US" w:eastAsia="zh-CN"/>
                    </w:rPr>
                    <w:t>加强维护、减速</w:t>
                  </w:r>
                </w:p>
              </w:tc>
              <w:tc>
                <w:tcPr>
                  <w:tcW w:w="1085" w:type="dxa"/>
                  <w:vMerge w:val="restart"/>
                  <w:tcBorders>
                    <w:tl2br w:val="nil"/>
                    <w:tr2bl w:val="nil"/>
                  </w:tcBorders>
                  <w:noWrap w:val="0"/>
                  <w:vAlign w:val="center"/>
                </w:tcPr>
                <w:p w14:paraId="5EDA3EC0">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2400</w:t>
                  </w:r>
                </w:p>
              </w:tc>
            </w:tr>
            <w:tr w14:paraId="1868807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00834C4C">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2</w:t>
                  </w:r>
                </w:p>
              </w:tc>
              <w:tc>
                <w:tcPr>
                  <w:tcW w:w="910" w:type="dxa"/>
                  <w:tcBorders>
                    <w:tl2br w:val="nil"/>
                    <w:tr2bl w:val="nil"/>
                  </w:tcBorders>
                  <w:noWrap w:val="0"/>
                  <w:vAlign w:val="center"/>
                </w:tcPr>
                <w:p w14:paraId="7F5DE12A">
                  <w:pPr>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lang w:val="en-US" w:eastAsia="zh-CN"/>
                    </w:rPr>
                    <w:t>铲车</w:t>
                  </w:r>
                </w:p>
              </w:tc>
              <w:tc>
                <w:tcPr>
                  <w:tcW w:w="591" w:type="dxa"/>
                  <w:tcBorders>
                    <w:tl2br w:val="nil"/>
                    <w:tr2bl w:val="nil"/>
                  </w:tcBorders>
                  <w:noWrap w:val="0"/>
                  <w:vAlign w:val="center"/>
                </w:tcPr>
                <w:p w14:paraId="5D8B28F4">
                  <w:pPr>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noWrap w:val="0"/>
                  <w:vAlign w:val="center"/>
                </w:tcPr>
                <w:p w14:paraId="1CE573AB">
                  <w:pPr>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noWrap w:val="0"/>
                  <w:vAlign w:val="center"/>
                </w:tcPr>
                <w:p w14:paraId="117AF3F1">
                  <w:pPr>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noWrap w:val="0"/>
                  <w:vAlign w:val="center"/>
                </w:tcPr>
                <w:p w14:paraId="516EC759">
                  <w:pPr>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lang w:val="en-US" w:eastAsia="zh-CN"/>
                    </w:rPr>
                    <w:t>—</w:t>
                  </w:r>
                </w:p>
              </w:tc>
              <w:tc>
                <w:tcPr>
                  <w:tcW w:w="1667" w:type="dxa"/>
                  <w:tcBorders>
                    <w:tl2br w:val="nil"/>
                    <w:tr2bl w:val="nil"/>
                  </w:tcBorders>
                  <w:noWrap w:val="0"/>
                  <w:vAlign w:val="center"/>
                </w:tcPr>
                <w:p w14:paraId="2CD58FCB">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80</w:t>
                  </w:r>
                </w:p>
              </w:tc>
              <w:tc>
                <w:tcPr>
                  <w:tcW w:w="2249" w:type="dxa"/>
                  <w:vMerge w:val="continue"/>
                  <w:tcBorders>
                    <w:tl2br w:val="nil"/>
                    <w:tr2bl w:val="nil"/>
                  </w:tcBorders>
                  <w:noWrap w:val="0"/>
                  <w:vAlign w:val="center"/>
                </w:tcPr>
                <w:p w14:paraId="0239EAF9">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21"/>
                      <w:szCs w:val="21"/>
                      <w:highlight w:val="none"/>
                      <w:u w:val="none"/>
                      <w:lang w:val="en-US" w:eastAsia="zh-CN"/>
                    </w:rPr>
                  </w:pPr>
                </w:p>
              </w:tc>
              <w:tc>
                <w:tcPr>
                  <w:tcW w:w="1085" w:type="dxa"/>
                  <w:vMerge w:val="continue"/>
                  <w:tcBorders>
                    <w:tl2br w:val="nil"/>
                    <w:tr2bl w:val="nil"/>
                  </w:tcBorders>
                  <w:noWrap w:val="0"/>
                  <w:vAlign w:val="center"/>
                </w:tcPr>
                <w:p w14:paraId="261B7969">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p>
              </w:tc>
            </w:tr>
            <w:tr w14:paraId="709A1C8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626BD3E0">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3</w:t>
                  </w:r>
                </w:p>
              </w:tc>
              <w:tc>
                <w:tcPr>
                  <w:tcW w:w="910" w:type="dxa"/>
                  <w:tcBorders>
                    <w:tl2br w:val="nil"/>
                    <w:tr2bl w:val="nil"/>
                  </w:tcBorders>
                  <w:shd w:val="clear" w:color="auto" w:fill="auto"/>
                  <w:noWrap w:val="0"/>
                  <w:vAlign w:val="center"/>
                </w:tcPr>
                <w:p w14:paraId="70D999F6">
                  <w:pPr>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lang w:val="en-US" w:eastAsia="zh-CN"/>
                    </w:rPr>
                    <w:t>铲车</w:t>
                  </w:r>
                </w:p>
              </w:tc>
              <w:tc>
                <w:tcPr>
                  <w:tcW w:w="591" w:type="dxa"/>
                  <w:tcBorders>
                    <w:tl2br w:val="nil"/>
                    <w:tr2bl w:val="nil"/>
                  </w:tcBorders>
                  <w:shd w:val="clear" w:color="auto" w:fill="auto"/>
                  <w:noWrap w:val="0"/>
                  <w:vAlign w:val="center"/>
                </w:tcPr>
                <w:p w14:paraId="5EBFE6F2">
                  <w:pPr>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shd w:val="clear" w:color="auto" w:fill="auto"/>
                  <w:noWrap w:val="0"/>
                  <w:vAlign w:val="center"/>
                </w:tcPr>
                <w:p w14:paraId="2A4525BE">
                  <w:pPr>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shd w:val="clear" w:color="auto" w:fill="auto"/>
                  <w:noWrap w:val="0"/>
                  <w:vAlign w:val="center"/>
                </w:tcPr>
                <w:p w14:paraId="0C047C18">
                  <w:pPr>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shd w:val="clear" w:color="auto" w:fill="auto"/>
                  <w:noWrap w:val="0"/>
                  <w:vAlign w:val="center"/>
                </w:tcPr>
                <w:p w14:paraId="60574F0E">
                  <w:pPr>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lang w:val="en-US" w:eastAsia="zh-CN"/>
                    </w:rPr>
                    <w:t>—</w:t>
                  </w:r>
                </w:p>
              </w:tc>
              <w:tc>
                <w:tcPr>
                  <w:tcW w:w="1667" w:type="dxa"/>
                  <w:tcBorders>
                    <w:tl2br w:val="nil"/>
                    <w:tr2bl w:val="nil"/>
                  </w:tcBorders>
                  <w:shd w:val="clear" w:color="auto" w:fill="auto"/>
                  <w:noWrap w:val="0"/>
                  <w:vAlign w:val="center"/>
                </w:tcPr>
                <w:p w14:paraId="072B3704">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u w:val="none"/>
                      <w:lang w:val="en-US" w:eastAsia="zh-CN"/>
                    </w:rPr>
                    <w:t>80</w:t>
                  </w:r>
                </w:p>
              </w:tc>
              <w:tc>
                <w:tcPr>
                  <w:tcW w:w="2249" w:type="dxa"/>
                  <w:vMerge w:val="continue"/>
                  <w:tcBorders>
                    <w:tl2br w:val="nil"/>
                    <w:tr2bl w:val="nil"/>
                  </w:tcBorders>
                  <w:noWrap w:val="0"/>
                  <w:vAlign w:val="center"/>
                </w:tcPr>
                <w:p w14:paraId="731AA32C">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21"/>
                      <w:szCs w:val="21"/>
                      <w:highlight w:val="none"/>
                      <w:u w:val="none"/>
                      <w:lang w:val="en-US" w:eastAsia="zh-CN"/>
                    </w:rPr>
                  </w:pPr>
                </w:p>
              </w:tc>
              <w:tc>
                <w:tcPr>
                  <w:tcW w:w="1085" w:type="dxa"/>
                  <w:vMerge w:val="continue"/>
                  <w:tcBorders>
                    <w:tl2br w:val="nil"/>
                    <w:tr2bl w:val="nil"/>
                  </w:tcBorders>
                  <w:noWrap w:val="0"/>
                  <w:vAlign w:val="center"/>
                </w:tcPr>
                <w:p w14:paraId="1A92E783">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p>
              </w:tc>
            </w:tr>
            <w:tr w14:paraId="41E55F8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498E2124">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4</w:t>
                  </w:r>
                </w:p>
              </w:tc>
              <w:tc>
                <w:tcPr>
                  <w:tcW w:w="0" w:type="auto"/>
                  <w:tcBorders>
                    <w:tl2br w:val="nil"/>
                    <w:tr2bl w:val="nil"/>
                  </w:tcBorders>
                  <w:noWrap w:val="0"/>
                  <w:vAlign w:val="center"/>
                </w:tcPr>
                <w:p w14:paraId="295BD19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洒水车</w:t>
                  </w:r>
                </w:p>
              </w:tc>
              <w:tc>
                <w:tcPr>
                  <w:tcW w:w="591" w:type="dxa"/>
                  <w:tcBorders>
                    <w:tl2br w:val="nil"/>
                    <w:tr2bl w:val="nil"/>
                  </w:tcBorders>
                  <w:noWrap w:val="0"/>
                  <w:vAlign w:val="center"/>
                </w:tcPr>
                <w:p w14:paraId="7DE056F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noWrap w:val="0"/>
                  <w:vAlign w:val="center"/>
                </w:tcPr>
                <w:p w14:paraId="4B62132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noWrap w:val="0"/>
                  <w:vAlign w:val="center"/>
                </w:tcPr>
                <w:p w14:paraId="63C981B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noWrap w:val="0"/>
                  <w:vAlign w:val="center"/>
                </w:tcPr>
                <w:p w14:paraId="42580F8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tcBorders>
                    <w:tl2br w:val="nil"/>
                    <w:tr2bl w:val="nil"/>
                  </w:tcBorders>
                  <w:noWrap w:val="0"/>
                  <w:vAlign w:val="center"/>
                </w:tcPr>
                <w:p w14:paraId="579FAF91">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70</w:t>
                  </w:r>
                </w:p>
              </w:tc>
              <w:tc>
                <w:tcPr>
                  <w:tcW w:w="2249" w:type="dxa"/>
                  <w:vMerge w:val="continue"/>
                  <w:tcBorders>
                    <w:tl2br w:val="nil"/>
                    <w:tr2bl w:val="nil"/>
                  </w:tcBorders>
                  <w:noWrap w:val="0"/>
                  <w:vAlign w:val="center"/>
                </w:tcPr>
                <w:p w14:paraId="369578A2">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p>
              </w:tc>
              <w:tc>
                <w:tcPr>
                  <w:tcW w:w="1085" w:type="dxa"/>
                  <w:vMerge w:val="restart"/>
                  <w:tcBorders>
                    <w:tl2br w:val="nil"/>
                    <w:tr2bl w:val="nil"/>
                  </w:tcBorders>
                  <w:noWrap w:val="0"/>
                  <w:vAlign w:val="center"/>
                </w:tcPr>
                <w:p w14:paraId="23533401">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600</w:t>
                  </w:r>
                </w:p>
              </w:tc>
            </w:tr>
            <w:tr w14:paraId="5DE26AD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7B4C7BEF">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5</w:t>
                  </w:r>
                </w:p>
              </w:tc>
              <w:tc>
                <w:tcPr>
                  <w:tcW w:w="0" w:type="auto"/>
                  <w:tcBorders>
                    <w:tl2br w:val="nil"/>
                    <w:tr2bl w:val="nil"/>
                  </w:tcBorders>
                  <w:noWrap w:val="0"/>
                  <w:vAlign w:val="center"/>
                </w:tcPr>
                <w:p w14:paraId="6953B76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水泵</w:t>
                  </w:r>
                </w:p>
              </w:tc>
              <w:tc>
                <w:tcPr>
                  <w:tcW w:w="591" w:type="dxa"/>
                  <w:tcBorders>
                    <w:tl2br w:val="nil"/>
                    <w:tr2bl w:val="nil"/>
                  </w:tcBorders>
                  <w:noWrap w:val="0"/>
                  <w:vAlign w:val="center"/>
                </w:tcPr>
                <w:p w14:paraId="157D214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noWrap w:val="0"/>
                  <w:vAlign w:val="center"/>
                </w:tcPr>
                <w:p w14:paraId="2C11271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noWrap w:val="0"/>
                  <w:vAlign w:val="center"/>
                </w:tcPr>
                <w:p w14:paraId="286E842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noWrap w:val="0"/>
                  <w:vAlign w:val="center"/>
                </w:tcPr>
                <w:p w14:paraId="5FE16C2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tcBorders>
                    <w:tl2br w:val="nil"/>
                    <w:tr2bl w:val="nil"/>
                  </w:tcBorders>
                  <w:noWrap w:val="0"/>
                  <w:vAlign w:val="center"/>
                </w:tcPr>
                <w:p w14:paraId="6AADEBD8">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75</w:t>
                  </w:r>
                </w:p>
              </w:tc>
              <w:tc>
                <w:tcPr>
                  <w:tcW w:w="2249" w:type="dxa"/>
                  <w:vMerge w:val="continue"/>
                  <w:tcBorders>
                    <w:tl2br w:val="nil"/>
                    <w:tr2bl w:val="nil"/>
                  </w:tcBorders>
                  <w:noWrap w:val="0"/>
                  <w:vAlign w:val="center"/>
                </w:tcPr>
                <w:p w14:paraId="4CE6DA95">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p>
              </w:tc>
              <w:tc>
                <w:tcPr>
                  <w:tcW w:w="1085" w:type="dxa"/>
                  <w:vMerge w:val="continue"/>
                  <w:tcBorders>
                    <w:tl2br w:val="nil"/>
                    <w:tr2bl w:val="nil"/>
                  </w:tcBorders>
                  <w:noWrap w:val="0"/>
                  <w:vAlign w:val="center"/>
                </w:tcPr>
                <w:p w14:paraId="17D61C31">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p>
              </w:tc>
            </w:tr>
          </w:tbl>
          <w:p w14:paraId="34100E33">
            <w:pPr>
              <w:adjustRightInd w:val="0"/>
              <w:snapToGrid w:val="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w:t>
            </w:r>
            <w:r>
              <w:rPr>
                <w:rFonts w:hint="default" w:ascii="Times New Roman" w:hAnsi="Times New Roman" w:cs="Times New Roman"/>
                <w:b/>
                <w:bCs/>
                <w:color w:val="auto"/>
                <w:kern w:val="2"/>
                <w:sz w:val="24"/>
                <w:szCs w:val="24"/>
                <w:highlight w:val="none"/>
                <w:lang w:val="en-US" w:eastAsia="zh-CN" w:bidi="ar-SA"/>
              </w:rPr>
              <w:t>5</w:t>
            </w:r>
            <w:r>
              <w:rPr>
                <w:rFonts w:hint="default" w:ascii="Times New Roman" w:hAnsi="Times New Roman" w:eastAsia="宋体" w:cs="Times New Roman"/>
                <w:b/>
                <w:bCs/>
                <w:color w:val="auto"/>
                <w:kern w:val="2"/>
                <w:sz w:val="24"/>
                <w:szCs w:val="24"/>
                <w:highlight w:val="none"/>
                <w:lang w:val="en-US" w:eastAsia="zh-CN" w:bidi="ar-SA"/>
              </w:rPr>
              <w:t xml:space="preserve"> 厂界噪声预测结果表    </w:t>
            </w:r>
          </w:p>
          <w:p w14:paraId="4ADB1002">
            <w:pPr>
              <w:adjustRightInd w:val="0"/>
              <w:snapToGrid w:val="0"/>
              <w:jc w:val="right"/>
              <w:rPr>
                <w:rFonts w:hint="default" w:ascii="Times New Roman" w:hAnsi="Times New Roman" w:eastAsia="宋体" w:cs="Times New Roman"/>
                <w:b/>
                <w:bCs w:val="0"/>
                <w:color w:val="auto"/>
                <w:spacing w:val="0"/>
                <w:kern w:val="2"/>
                <w:sz w:val="16"/>
                <w:szCs w:val="16"/>
                <w:highlight w:val="none"/>
                <w:lang w:val="en-US" w:eastAsia="zh-CN" w:bidi="ar-SA"/>
              </w:rPr>
            </w:pPr>
            <w:r>
              <w:rPr>
                <w:rFonts w:hint="default" w:ascii="Times New Roman" w:hAnsi="Times New Roman" w:eastAsia="宋体" w:cs="Times New Roman"/>
                <w:b/>
                <w:bCs w:val="0"/>
                <w:color w:val="auto"/>
                <w:spacing w:val="0"/>
                <w:kern w:val="2"/>
                <w:sz w:val="16"/>
                <w:szCs w:val="16"/>
                <w:highlight w:val="none"/>
                <w:lang w:val="en-US" w:eastAsia="zh-CN" w:bidi="ar-SA"/>
              </w:rPr>
              <w:t>单位：Leq</w:t>
            </w:r>
            <w:r>
              <w:rPr>
                <w:rFonts w:hint="default" w:ascii="Times New Roman" w:hAnsi="Times New Roman" w:cs="Times New Roman"/>
                <w:b/>
                <w:bCs w:val="0"/>
                <w:color w:val="auto"/>
                <w:spacing w:val="0"/>
                <w:kern w:val="2"/>
                <w:sz w:val="16"/>
                <w:szCs w:val="16"/>
                <w:highlight w:val="none"/>
                <w:lang w:val="en-US" w:eastAsia="zh-CN" w:bidi="ar-SA"/>
              </w:rPr>
              <w:t>（</w:t>
            </w:r>
            <w:r>
              <w:rPr>
                <w:rFonts w:hint="default" w:ascii="Times New Roman" w:hAnsi="Times New Roman" w:eastAsia="宋体" w:cs="Times New Roman"/>
                <w:b/>
                <w:bCs w:val="0"/>
                <w:color w:val="auto"/>
                <w:spacing w:val="0"/>
                <w:kern w:val="2"/>
                <w:sz w:val="16"/>
                <w:szCs w:val="16"/>
                <w:highlight w:val="none"/>
                <w:lang w:val="en-US" w:eastAsia="zh-CN" w:bidi="ar-SA"/>
              </w:rPr>
              <w:t>dB</w:t>
            </w:r>
            <w:r>
              <w:rPr>
                <w:rFonts w:hint="default" w:ascii="Times New Roman" w:hAnsi="Times New Roman" w:cs="Times New Roman"/>
                <w:b/>
                <w:bCs w:val="0"/>
                <w:color w:val="auto"/>
                <w:spacing w:val="0"/>
                <w:kern w:val="2"/>
                <w:sz w:val="16"/>
                <w:szCs w:val="16"/>
                <w:highlight w:val="none"/>
                <w:lang w:val="en-US" w:eastAsia="zh-CN" w:bidi="ar-SA"/>
              </w:rPr>
              <w:t>）</w:t>
            </w:r>
          </w:p>
          <w:tbl>
            <w:tblPr>
              <w:tblStyle w:val="20"/>
              <w:tblW w:w="4997"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51" w:type="dxa"/>
                <w:bottom w:w="0" w:type="dxa"/>
                <w:right w:w="51" w:type="dxa"/>
              </w:tblCellMar>
            </w:tblPr>
            <w:tblGrid>
              <w:gridCol w:w="2271"/>
              <w:gridCol w:w="1621"/>
              <w:gridCol w:w="1622"/>
              <w:gridCol w:w="1622"/>
              <w:gridCol w:w="1646"/>
            </w:tblGrid>
            <w:tr w14:paraId="345C59A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97" w:hRule="atLeast"/>
                <w:jc w:val="center"/>
              </w:trPr>
              <w:tc>
                <w:tcPr>
                  <w:tcW w:w="1293" w:type="pct"/>
                  <w:tcBorders>
                    <w:tl2br w:val="nil"/>
                    <w:tr2bl w:val="nil"/>
                  </w:tcBorders>
                  <w:noWrap w:val="0"/>
                  <w:vAlign w:val="center"/>
                </w:tcPr>
                <w:p w14:paraId="0071F0B9">
                  <w:pPr>
                    <w:widowControl/>
                    <w:spacing w:line="0" w:lineRule="atLeas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位置</w:t>
                  </w:r>
                </w:p>
              </w:tc>
              <w:tc>
                <w:tcPr>
                  <w:tcW w:w="923" w:type="pct"/>
                  <w:tcBorders>
                    <w:tl2br w:val="nil"/>
                    <w:tr2bl w:val="nil"/>
                  </w:tcBorders>
                  <w:noWrap w:val="0"/>
                  <w:vAlign w:val="center"/>
                </w:tcPr>
                <w:p w14:paraId="06AE895E">
                  <w:pPr>
                    <w:widowControl/>
                    <w:spacing w:line="0" w:lineRule="atLeas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东侧</w:t>
                  </w:r>
                  <w:r>
                    <w:rPr>
                      <w:rFonts w:hint="default" w:ascii="Times New Roman" w:hAnsi="Times New Roman" w:cs="Times New Roman"/>
                      <w:color w:val="auto"/>
                      <w:sz w:val="21"/>
                      <w:szCs w:val="21"/>
                      <w:highlight w:val="none"/>
                    </w:rPr>
                    <w:t>厂界</w:t>
                  </w:r>
                </w:p>
              </w:tc>
              <w:tc>
                <w:tcPr>
                  <w:tcW w:w="923" w:type="pct"/>
                  <w:tcBorders>
                    <w:tl2br w:val="nil"/>
                    <w:tr2bl w:val="nil"/>
                  </w:tcBorders>
                  <w:noWrap w:val="0"/>
                  <w:vAlign w:val="center"/>
                </w:tcPr>
                <w:p w14:paraId="1C79EAFC">
                  <w:pPr>
                    <w:widowControl/>
                    <w:spacing w:line="0" w:lineRule="atLeas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南侧厂界</w:t>
                  </w:r>
                </w:p>
              </w:tc>
              <w:tc>
                <w:tcPr>
                  <w:tcW w:w="923" w:type="pct"/>
                  <w:tcBorders>
                    <w:tl2br w:val="nil"/>
                    <w:tr2bl w:val="nil"/>
                  </w:tcBorders>
                  <w:noWrap w:val="0"/>
                  <w:vAlign w:val="center"/>
                </w:tcPr>
                <w:p w14:paraId="6A65D914">
                  <w:pPr>
                    <w:widowControl/>
                    <w:spacing w:line="0" w:lineRule="atLeas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西侧厂界</w:t>
                  </w:r>
                </w:p>
              </w:tc>
              <w:tc>
                <w:tcPr>
                  <w:tcW w:w="936" w:type="pct"/>
                  <w:tcBorders>
                    <w:tl2br w:val="nil"/>
                    <w:tr2bl w:val="nil"/>
                  </w:tcBorders>
                  <w:noWrap w:val="0"/>
                  <w:vAlign w:val="center"/>
                </w:tcPr>
                <w:p w14:paraId="7E24F527">
                  <w:pPr>
                    <w:widowControl/>
                    <w:spacing w:line="0" w:lineRule="atLeas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北侧厂界</w:t>
                  </w:r>
                </w:p>
              </w:tc>
            </w:tr>
            <w:tr w14:paraId="4203B4A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1293" w:type="pct"/>
                  <w:tcBorders>
                    <w:tl2br w:val="nil"/>
                    <w:tr2bl w:val="nil"/>
                  </w:tcBorders>
                  <w:noWrap w:val="0"/>
                  <w:vAlign w:val="center"/>
                </w:tcPr>
                <w:p w14:paraId="66A387B0">
                  <w:pPr>
                    <w:pStyle w:val="34"/>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 w:val="21"/>
                      <w:szCs w:val="21"/>
                      <w:highlight w:val="none"/>
                      <w:lang w:val="en-US" w:eastAsia="zh-CN"/>
                    </w:rPr>
                    <w:t>贡献值</w:t>
                  </w:r>
                </w:p>
              </w:tc>
              <w:tc>
                <w:tcPr>
                  <w:tcW w:w="923" w:type="pct"/>
                  <w:tcBorders>
                    <w:tl2br w:val="nil"/>
                    <w:tr2bl w:val="nil"/>
                  </w:tcBorders>
                  <w:noWrap w:val="0"/>
                  <w:vAlign w:val="center"/>
                </w:tcPr>
                <w:p w14:paraId="532EFA79">
                  <w:pPr>
                    <w:widowControl/>
                    <w:spacing w:line="0" w:lineRule="atLeas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45.18</w:t>
                  </w:r>
                </w:p>
              </w:tc>
              <w:tc>
                <w:tcPr>
                  <w:tcW w:w="923" w:type="pct"/>
                  <w:tcBorders>
                    <w:tl2br w:val="nil"/>
                    <w:tr2bl w:val="nil"/>
                  </w:tcBorders>
                  <w:noWrap w:val="0"/>
                  <w:vAlign w:val="center"/>
                </w:tcPr>
                <w:p w14:paraId="4B4AF3A0">
                  <w:pPr>
                    <w:widowControl/>
                    <w:spacing w:line="0" w:lineRule="atLeas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51.86</w:t>
                  </w:r>
                </w:p>
              </w:tc>
              <w:tc>
                <w:tcPr>
                  <w:tcW w:w="923" w:type="pct"/>
                  <w:tcBorders>
                    <w:tl2br w:val="nil"/>
                    <w:tr2bl w:val="nil"/>
                  </w:tcBorders>
                  <w:noWrap w:val="0"/>
                  <w:vAlign w:val="center"/>
                </w:tcPr>
                <w:p w14:paraId="23989F6D">
                  <w:pPr>
                    <w:widowControl/>
                    <w:spacing w:line="0" w:lineRule="atLeas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47.43</w:t>
                  </w:r>
                </w:p>
              </w:tc>
              <w:tc>
                <w:tcPr>
                  <w:tcW w:w="936" w:type="pct"/>
                  <w:tcBorders>
                    <w:tl2br w:val="nil"/>
                    <w:tr2bl w:val="nil"/>
                  </w:tcBorders>
                  <w:noWrap w:val="0"/>
                  <w:vAlign w:val="center"/>
                </w:tcPr>
                <w:p w14:paraId="19195F99">
                  <w:pPr>
                    <w:widowControl/>
                    <w:spacing w:line="0" w:lineRule="atLeas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48.59</w:t>
                  </w:r>
                </w:p>
              </w:tc>
            </w:tr>
            <w:tr w14:paraId="771D9E9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1293" w:type="pct"/>
                  <w:tcBorders>
                    <w:tl2br w:val="nil"/>
                    <w:tr2bl w:val="nil"/>
                  </w:tcBorders>
                  <w:noWrap w:val="0"/>
                  <w:vAlign w:val="center"/>
                </w:tcPr>
                <w:p w14:paraId="263C37F3">
                  <w:pPr>
                    <w:widowControl/>
                    <w:spacing w:line="0" w:lineRule="atLeas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标准值</w:t>
                  </w:r>
                </w:p>
              </w:tc>
              <w:tc>
                <w:tcPr>
                  <w:tcW w:w="3706" w:type="pct"/>
                  <w:gridSpan w:val="4"/>
                  <w:tcBorders>
                    <w:tl2br w:val="nil"/>
                    <w:tr2bl w:val="nil"/>
                  </w:tcBorders>
                  <w:noWrap w:val="0"/>
                  <w:vAlign w:val="center"/>
                </w:tcPr>
                <w:p w14:paraId="5D722C64">
                  <w:pPr>
                    <w:widowControl/>
                    <w:spacing w:line="0" w:lineRule="atLeast"/>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昼间</w:t>
                  </w:r>
                  <w:r>
                    <w:rPr>
                      <w:rFonts w:hint="default" w:ascii="Times New Roman" w:hAnsi="Times New Roman" w:cs="Times New Roman"/>
                      <w:color w:val="auto"/>
                      <w:sz w:val="21"/>
                      <w:szCs w:val="21"/>
                      <w:highlight w:val="none"/>
                      <w:lang w:val="en-US" w:eastAsia="zh-CN"/>
                    </w:rPr>
                    <w:t>60</w:t>
                  </w:r>
                </w:p>
              </w:tc>
            </w:tr>
          </w:tbl>
          <w:p w14:paraId="35E840EF">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本项目的噪声主要为</w:t>
            </w:r>
            <w:r>
              <w:rPr>
                <w:rFonts w:hint="default" w:ascii="Times New Roman" w:hAnsi="Times New Roman" w:cs="Times New Roman"/>
                <w:bCs/>
                <w:color w:val="auto"/>
                <w:sz w:val="24"/>
                <w:highlight w:val="none"/>
                <w:lang w:val="en-US" w:eastAsia="zh-CN"/>
              </w:rPr>
              <w:t>铲车</w:t>
            </w:r>
            <w:r>
              <w:rPr>
                <w:rFonts w:hint="default" w:ascii="Times New Roman" w:hAnsi="Times New Roman" w:cs="Times New Roman"/>
                <w:bCs/>
                <w:color w:val="auto"/>
                <w:sz w:val="24"/>
                <w:highlight w:val="none"/>
              </w:rPr>
              <w:t>、装卸车辆的噪声，在</w:t>
            </w:r>
            <w:r>
              <w:rPr>
                <w:rFonts w:hint="default" w:ascii="Times New Roman" w:hAnsi="Times New Roman" w:cs="Times New Roman"/>
                <w:bCs/>
                <w:color w:val="auto"/>
                <w:sz w:val="24"/>
                <w:highlight w:val="none"/>
                <w:lang w:val="en-US" w:eastAsia="zh-CN"/>
              </w:rPr>
              <w:t>70</w:t>
            </w:r>
            <w:r>
              <w:rPr>
                <w:rFonts w:hint="default" w:ascii="Times New Roman" w:hAnsi="Times New Roman" w:cs="Times New Roman"/>
                <w:bCs/>
                <w:color w:val="auto"/>
                <w:sz w:val="24"/>
                <w:highlight w:val="none"/>
              </w:rPr>
              <w:t>～</w:t>
            </w:r>
            <w:r>
              <w:rPr>
                <w:rFonts w:hint="default" w:ascii="Times New Roman" w:hAnsi="Times New Roman" w:cs="Times New Roman"/>
                <w:bCs/>
                <w:color w:val="auto"/>
                <w:sz w:val="24"/>
                <w:highlight w:val="none"/>
                <w:lang w:val="en-US" w:eastAsia="zh-CN"/>
              </w:rPr>
              <w:t>80</w:t>
            </w:r>
            <w:r>
              <w:rPr>
                <w:rFonts w:hint="default" w:ascii="Times New Roman" w:hAnsi="Times New Roman" w:cs="Times New Roman"/>
                <w:bCs/>
                <w:color w:val="auto"/>
                <w:sz w:val="24"/>
                <w:highlight w:val="none"/>
              </w:rPr>
              <w:t>dB</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A</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左右。</w:t>
            </w:r>
            <w:r>
              <w:rPr>
                <w:rFonts w:hint="default" w:ascii="Times New Roman" w:hAnsi="Times New Roman" w:cs="Times New Roman"/>
                <w:bCs/>
                <w:color w:val="auto"/>
                <w:sz w:val="24"/>
                <w:highlight w:val="none"/>
                <w:lang w:val="en-US" w:eastAsia="zh-CN"/>
              </w:rPr>
              <w:t>车辆采用低噪声设备、加强车辆维护、厂区内限速，夜间不生产</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在采取以上</w:t>
            </w:r>
            <w:r>
              <w:rPr>
                <w:rFonts w:hint="default" w:ascii="Times New Roman" w:hAnsi="Times New Roman" w:cs="Times New Roman"/>
                <w:bCs/>
                <w:color w:val="auto"/>
                <w:sz w:val="24"/>
                <w:highlight w:val="none"/>
              </w:rPr>
              <w:t>降噪措施后，项目厂界噪声满足《工业企业厂界环境噪声排放标准》（GB12348-2008）中2类标准，本项目对周围声环境影响较小。</w:t>
            </w:r>
          </w:p>
          <w:p w14:paraId="4AE3C9EA">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val="en-US" w:eastAsia="zh-CN"/>
              </w:rPr>
              <w:t>本项目运营期运输噪声主要表现为汽车运输对沿途居民生活的影响，如发动机声、鸣笛声。运营期运输车辆车流量较小，且一般都是分开运行，极少同时运行，环评要求建设单位应加强调度管理，禁止夜间运输，运输车辆要减速行驶，禁止鸣笛。采取以上措施后，运输噪声对周围影响较小。</w:t>
            </w:r>
          </w:p>
          <w:p w14:paraId="4102D087">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（2）监测要求</w:t>
            </w:r>
          </w:p>
          <w:p w14:paraId="12214BFD">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根据《排污单位自行监测技术指南 总则》（HJ819-2017），噪声监测要求详见表4-</w:t>
            </w:r>
            <w:r>
              <w:rPr>
                <w:rFonts w:hint="default" w:ascii="Times New Roman" w:hAnsi="Times New Roman" w:cs="Times New Roman"/>
                <w:bCs/>
                <w:color w:val="auto"/>
                <w:sz w:val="24"/>
                <w:highlight w:val="none"/>
                <w:lang w:val="en-US" w:eastAsia="zh-CN"/>
              </w:rPr>
              <w:t>6</w:t>
            </w:r>
            <w:r>
              <w:rPr>
                <w:rFonts w:hint="default" w:ascii="Times New Roman" w:hAnsi="Times New Roman" w:cs="Times New Roman"/>
                <w:bCs/>
                <w:color w:val="auto"/>
                <w:sz w:val="24"/>
                <w:highlight w:val="none"/>
              </w:rPr>
              <w:t>。</w:t>
            </w:r>
          </w:p>
          <w:p w14:paraId="606FE424">
            <w:pPr>
              <w:adjustRightInd w:val="0"/>
              <w:snapToGrid w:val="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w:t>
            </w:r>
            <w:r>
              <w:rPr>
                <w:rFonts w:hint="default" w:ascii="Times New Roman" w:hAnsi="Times New Roman" w:cs="Times New Roman"/>
                <w:b/>
                <w:bCs/>
                <w:color w:val="auto"/>
                <w:kern w:val="2"/>
                <w:sz w:val="24"/>
                <w:szCs w:val="24"/>
                <w:highlight w:val="none"/>
                <w:lang w:val="en-US" w:eastAsia="zh-CN" w:bidi="ar-SA"/>
              </w:rPr>
              <w:t>6</w:t>
            </w:r>
            <w:r>
              <w:rPr>
                <w:rFonts w:hint="default" w:ascii="Times New Roman" w:hAnsi="Times New Roman" w:eastAsia="宋体" w:cs="Times New Roman"/>
                <w:b/>
                <w:bCs/>
                <w:color w:val="auto"/>
                <w:kern w:val="2"/>
                <w:sz w:val="24"/>
                <w:szCs w:val="24"/>
                <w:highlight w:val="none"/>
                <w:lang w:val="en-US" w:eastAsia="zh-CN" w:bidi="ar-SA"/>
              </w:rPr>
              <w:t xml:space="preserve">  监测要求</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0"/>
              <w:gridCol w:w="1493"/>
              <w:gridCol w:w="1162"/>
              <w:gridCol w:w="1414"/>
              <w:gridCol w:w="3448"/>
            </w:tblGrid>
            <w:tr w14:paraId="3DA79D3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0" w:type="dxa"/>
                  <w:noWrap w:val="0"/>
                  <w:vAlign w:val="center"/>
                </w:tcPr>
                <w:p w14:paraId="322321C2">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监测类别</w:t>
                  </w:r>
                </w:p>
              </w:tc>
              <w:tc>
                <w:tcPr>
                  <w:tcW w:w="1493" w:type="dxa"/>
                  <w:noWrap w:val="0"/>
                  <w:vAlign w:val="center"/>
                </w:tcPr>
                <w:p w14:paraId="1D7319ED">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监测点位</w:t>
                  </w:r>
                </w:p>
              </w:tc>
              <w:tc>
                <w:tcPr>
                  <w:tcW w:w="1162" w:type="dxa"/>
                  <w:noWrap w:val="0"/>
                  <w:vAlign w:val="center"/>
                </w:tcPr>
                <w:p w14:paraId="5F232020">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监测指标</w:t>
                  </w:r>
                </w:p>
              </w:tc>
              <w:tc>
                <w:tcPr>
                  <w:tcW w:w="1414" w:type="dxa"/>
                  <w:noWrap w:val="0"/>
                  <w:vAlign w:val="center"/>
                </w:tcPr>
                <w:p w14:paraId="160DF773">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监测频次</w:t>
                  </w:r>
                </w:p>
              </w:tc>
              <w:tc>
                <w:tcPr>
                  <w:tcW w:w="3448" w:type="dxa"/>
                  <w:noWrap w:val="0"/>
                  <w:vAlign w:val="center"/>
                </w:tcPr>
                <w:p w14:paraId="0DAE62AE">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执行标准</w:t>
                  </w:r>
                </w:p>
              </w:tc>
            </w:tr>
            <w:tr w14:paraId="4C61C55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0" w:type="dxa"/>
                  <w:noWrap w:val="0"/>
                  <w:vAlign w:val="center"/>
                </w:tcPr>
                <w:p w14:paraId="591E570A">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声环境</w:t>
                  </w:r>
                </w:p>
              </w:tc>
              <w:tc>
                <w:tcPr>
                  <w:tcW w:w="1493" w:type="dxa"/>
                  <w:noWrap w:val="0"/>
                  <w:vAlign w:val="center"/>
                </w:tcPr>
                <w:p w14:paraId="5B8EF6C5">
                  <w:pPr>
                    <w:adjustRightInd w:val="0"/>
                    <w:snapToGrid w:val="0"/>
                    <w:jc w:val="center"/>
                    <w:rPr>
                      <w:rFonts w:hint="default" w:ascii="Times New Roman" w:hAnsi="Times New Roman" w:eastAsia="宋体" w:cs="Times New Roman"/>
                      <w:bCs/>
                      <w:color w:val="auto"/>
                      <w:szCs w:val="21"/>
                      <w:highlight w:val="none"/>
                      <w:lang w:eastAsia="zh-CN"/>
                    </w:rPr>
                  </w:pPr>
                  <w:r>
                    <w:rPr>
                      <w:rFonts w:hint="default" w:ascii="Times New Roman" w:hAnsi="Times New Roman" w:cs="Times New Roman"/>
                      <w:bCs/>
                      <w:color w:val="auto"/>
                      <w:szCs w:val="21"/>
                      <w:highlight w:val="none"/>
                      <w:lang w:val="en-US" w:eastAsia="zh-CN"/>
                    </w:rPr>
                    <w:t>储煤场</w:t>
                  </w:r>
                  <w:r>
                    <w:rPr>
                      <w:rFonts w:hint="default" w:ascii="Times New Roman" w:hAnsi="Times New Roman" w:cs="Times New Roman"/>
                      <w:bCs/>
                      <w:color w:val="auto"/>
                      <w:szCs w:val="21"/>
                      <w:highlight w:val="none"/>
                    </w:rPr>
                    <w:t>四周外1m布设</w:t>
                  </w:r>
                  <w:r>
                    <w:rPr>
                      <w:rFonts w:hint="default" w:ascii="Times New Roman" w:hAnsi="Times New Roman" w:cs="Times New Roman"/>
                      <w:bCs/>
                      <w:color w:val="auto"/>
                      <w:szCs w:val="21"/>
                      <w:highlight w:val="none"/>
                      <w:lang w:val="en-US" w:eastAsia="zh-CN"/>
                    </w:rPr>
                    <w:t>监测点</w:t>
                  </w:r>
                </w:p>
              </w:tc>
              <w:tc>
                <w:tcPr>
                  <w:tcW w:w="1162" w:type="dxa"/>
                  <w:noWrap w:val="0"/>
                  <w:vAlign w:val="center"/>
                </w:tcPr>
                <w:p w14:paraId="66EDF39E">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color w:val="auto"/>
                      <w:szCs w:val="21"/>
                      <w:highlight w:val="none"/>
                    </w:rPr>
                    <w:t>连续等效A声级</w:t>
                  </w:r>
                </w:p>
              </w:tc>
              <w:tc>
                <w:tcPr>
                  <w:tcW w:w="1414" w:type="dxa"/>
                  <w:noWrap w:val="0"/>
                  <w:vAlign w:val="center"/>
                </w:tcPr>
                <w:p w14:paraId="54C31A60">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每季度开展1次昼</w:t>
                  </w:r>
                  <w:r>
                    <w:rPr>
                      <w:rFonts w:hint="default" w:ascii="Times New Roman" w:hAnsi="Times New Roman" w:cs="Times New Roman"/>
                      <w:bCs/>
                      <w:color w:val="auto"/>
                      <w:szCs w:val="21"/>
                      <w:highlight w:val="none"/>
                      <w:lang w:val="en-US" w:eastAsia="zh-CN"/>
                    </w:rPr>
                    <w:t>间</w:t>
                  </w:r>
                  <w:r>
                    <w:rPr>
                      <w:rFonts w:hint="default" w:ascii="Times New Roman" w:hAnsi="Times New Roman" w:cs="Times New Roman"/>
                      <w:bCs/>
                      <w:color w:val="auto"/>
                      <w:szCs w:val="21"/>
                      <w:highlight w:val="none"/>
                    </w:rPr>
                    <w:t>监测</w:t>
                  </w:r>
                </w:p>
              </w:tc>
              <w:tc>
                <w:tcPr>
                  <w:tcW w:w="3448" w:type="dxa"/>
                  <w:noWrap w:val="0"/>
                  <w:vAlign w:val="center"/>
                </w:tcPr>
                <w:p w14:paraId="203976B4">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边界噪声满足《工业企业厂界环境噪声排放标准》（GB12348-2008）中的2类声环境功能区排放限值</w:t>
                  </w:r>
                </w:p>
              </w:tc>
            </w:tr>
          </w:tbl>
          <w:p w14:paraId="266A1735">
            <w:pPr>
              <w:spacing w:line="360" w:lineRule="auto"/>
              <w:jc w:val="left"/>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lang w:val="en-US" w:eastAsia="zh-CN"/>
              </w:rPr>
              <w:t>4</w:t>
            </w:r>
            <w:r>
              <w:rPr>
                <w:rFonts w:hint="default" w:ascii="Times New Roman" w:hAnsi="Times New Roman" w:cs="Times New Roman"/>
                <w:b/>
                <w:color w:val="auto"/>
                <w:sz w:val="24"/>
                <w:highlight w:val="none"/>
              </w:rPr>
              <w:t>、固体废物</w:t>
            </w:r>
          </w:p>
          <w:p w14:paraId="31A83E08">
            <w:pPr>
              <w:pStyle w:val="30"/>
              <w:spacing w:line="360" w:lineRule="auto"/>
              <w:ind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固体废物排放信息</w:t>
            </w:r>
          </w:p>
          <w:p w14:paraId="599CA093">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bCs/>
                <w:color w:val="auto"/>
                <w:sz w:val="24"/>
                <w:highlight w:val="none"/>
                <w:lang w:val="en-US" w:eastAsia="zh-CN"/>
              </w:rPr>
              <w:t>1）</w:t>
            </w:r>
            <w:r>
              <w:rPr>
                <w:rFonts w:hint="default" w:ascii="Times New Roman" w:hAnsi="Times New Roman" w:cs="Times New Roman"/>
                <w:bCs/>
                <w:color w:val="auto"/>
                <w:sz w:val="24"/>
                <w:highlight w:val="none"/>
              </w:rPr>
              <w:t>生活垃圾</w:t>
            </w:r>
          </w:p>
          <w:p w14:paraId="28923AD3">
            <w:pPr>
              <w:pStyle w:val="6"/>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w:t>本项目员工</w:t>
            </w:r>
            <w:r>
              <w:rPr>
                <w:rFonts w:hint="default" w:ascii="Times New Roman" w:hAnsi="Times New Roman" w:cs="Times New Roman"/>
                <w:color w:val="auto"/>
                <w:sz w:val="24"/>
                <w:highlight w:val="none"/>
                <w:lang w:val="en-US" w:eastAsia="zh-CN"/>
              </w:rPr>
              <w:t>合计5</w:t>
            </w:r>
            <w:r>
              <w:rPr>
                <w:rFonts w:hint="default" w:ascii="Times New Roman" w:hAnsi="Times New Roman" w:cs="Times New Roman"/>
                <w:color w:val="auto"/>
                <w:sz w:val="24"/>
                <w:highlight w:val="none"/>
              </w:rPr>
              <w:t>人，生活垃圾按照0.5kg/人•d计，生产天数为</w:t>
            </w:r>
            <w:r>
              <w:rPr>
                <w:rFonts w:hint="default" w:ascii="Times New Roman" w:hAnsi="Times New Roman" w:cs="Times New Roman"/>
                <w:color w:val="auto"/>
                <w:sz w:val="24"/>
                <w:highlight w:val="none"/>
                <w:lang w:val="en-US" w:eastAsia="zh-CN"/>
              </w:rPr>
              <w:t>300</w:t>
            </w:r>
            <w:r>
              <w:rPr>
                <w:rFonts w:hint="default" w:ascii="Times New Roman" w:hAnsi="Times New Roman" w:cs="Times New Roman"/>
                <w:color w:val="auto"/>
                <w:sz w:val="24"/>
                <w:highlight w:val="none"/>
              </w:rPr>
              <w:t>天，则产生的生活垃圾量为</w:t>
            </w:r>
            <w:r>
              <w:rPr>
                <w:rFonts w:hint="default" w:ascii="Times New Roman" w:hAnsi="Times New Roman" w:cs="Times New Roman"/>
                <w:color w:val="auto"/>
                <w:sz w:val="24"/>
                <w:highlight w:val="none"/>
                <w:lang w:val="en-US" w:eastAsia="zh-CN"/>
              </w:rPr>
              <w:t>0.75</w:t>
            </w:r>
            <w:r>
              <w:rPr>
                <w:rFonts w:hint="default" w:ascii="Times New Roman" w:hAnsi="Times New Roman" w:cs="Times New Roman"/>
                <w:color w:val="auto"/>
                <w:sz w:val="24"/>
                <w:highlight w:val="none"/>
              </w:rPr>
              <w:t>t/a，集中收集，由所在地环卫部门清运处理</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固体废物产生情况见表4-</w:t>
            </w:r>
            <w:r>
              <w:rPr>
                <w:rFonts w:hint="default" w:ascii="Times New Roman" w:hAnsi="Times New Roman" w:cs="Times New Roman"/>
                <w:color w:val="auto"/>
                <w:sz w:val="24"/>
                <w:highlight w:val="none"/>
                <w:lang w:val="en-US" w:eastAsia="zh-CN"/>
              </w:rPr>
              <w:t>7</w:t>
            </w:r>
            <w:r>
              <w:rPr>
                <w:rFonts w:hint="default" w:ascii="Times New Roman" w:hAnsi="Times New Roman" w:cs="Times New Roman"/>
                <w:color w:val="auto"/>
                <w:sz w:val="24"/>
                <w:highlight w:val="none"/>
              </w:rPr>
              <w:t>。</w:t>
            </w:r>
          </w:p>
          <w:p w14:paraId="45C438BE">
            <w:pPr>
              <w:adjustRightInd w:val="0"/>
              <w:snapToGrid w:val="0"/>
              <w:spacing w:line="360" w:lineRule="auto"/>
              <w:ind w:firstLine="480" w:firstLineChars="200"/>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lang w:val="en-US" w:eastAsia="zh-CN"/>
              </w:rPr>
              <w:t>2）初期雨水收集池沉渣</w:t>
            </w:r>
          </w:p>
          <w:p w14:paraId="1A566CB8">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eastAsia="zh-CN"/>
              </w:rPr>
              <w:t>项目</w:t>
            </w:r>
            <w:r>
              <w:rPr>
                <w:rFonts w:hint="default" w:ascii="Times New Roman" w:hAnsi="Times New Roman" w:eastAsia="宋体" w:cs="Times New Roman"/>
                <w:bCs/>
                <w:color w:val="auto"/>
                <w:sz w:val="24"/>
                <w:highlight w:val="none"/>
                <w:lang w:val="en-US" w:eastAsia="zh-CN"/>
              </w:rPr>
              <w:t>收集雨水</w:t>
            </w:r>
            <w:r>
              <w:rPr>
                <w:rFonts w:hint="default" w:ascii="Times New Roman" w:hAnsi="Times New Roman" w:eastAsia="宋体" w:cs="Times New Roman"/>
                <w:bCs/>
                <w:color w:val="auto"/>
                <w:sz w:val="24"/>
                <w:highlight w:val="none"/>
                <w:lang w:eastAsia="zh-CN"/>
              </w:rPr>
              <w:t>经沉淀处理后循环使用，</w:t>
            </w:r>
            <w:r>
              <w:rPr>
                <w:rFonts w:hint="default" w:ascii="Times New Roman" w:hAnsi="Times New Roman" w:cs="Times New Roman"/>
                <w:bCs/>
                <w:color w:val="auto"/>
                <w:sz w:val="24"/>
                <w:highlight w:val="none"/>
                <w:lang w:eastAsia="zh-CN"/>
              </w:rPr>
              <w:t>初期雨水收集池</w:t>
            </w:r>
            <w:r>
              <w:rPr>
                <w:rFonts w:hint="default" w:ascii="Times New Roman" w:hAnsi="Times New Roman" w:eastAsia="宋体" w:cs="Times New Roman"/>
                <w:bCs/>
                <w:color w:val="auto"/>
                <w:sz w:val="24"/>
                <w:highlight w:val="none"/>
                <w:lang w:eastAsia="zh-CN"/>
              </w:rPr>
              <w:t>会产生少量的沉渣，主要为煤渣、</w:t>
            </w:r>
            <w:r>
              <w:rPr>
                <w:rFonts w:hint="default" w:ascii="Times New Roman" w:hAnsi="Times New Roman" w:eastAsia="宋体" w:cs="Times New Roman"/>
                <w:bCs/>
                <w:color w:val="auto"/>
                <w:sz w:val="24"/>
                <w:highlight w:val="none"/>
                <w:lang w:val="en-US" w:eastAsia="zh-CN"/>
              </w:rPr>
              <w:t>沉渣等物质</w:t>
            </w:r>
            <w:r>
              <w:rPr>
                <w:rFonts w:hint="default" w:ascii="Times New Roman" w:hAnsi="Times New Roman" w:eastAsia="宋体" w:cs="Times New Roman"/>
                <w:bCs/>
                <w:color w:val="auto"/>
                <w:sz w:val="24"/>
                <w:highlight w:val="none"/>
                <w:lang w:eastAsia="zh-CN"/>
              </w:rPr>
              <w:t>，沉渣的产生量约为</w:t>
            </w:r>
            <w:r>
              <w:rPr>
                <w:rFonts w:hint="default" w:ascii="Times New Roman" w:hAnsi="Times New Roman" w:cs="Times New Roman"/>
                <w:bCs/>
                <w:color w:val="auto"/>
                <w:sz w:val="24"/>
                <w:highlight w:val="none"/>
                <w:lang w:val="en-US" w:eastAsia="zh-CN"/>
              </w:rPr>
              <w:t>0.6</w:t>
            </w:r>
            <w:r>
              <w:rPr>
                <w:rFonts w:hint="default" w:ascii="Times New Roman" w:hAnsi="Times New Roman" w:eastAsia="宋体" w:cs="Times New Roman"/>
                <w:bCs/>
                <w:color w:val="auto"/>
                <w:sz w:val="24"/>
                <w:highlight w:val="none"/>
                <w:lang w:eastAsia="zh-CN"/>
              </w:rPr>
              <w:t>t/a，定期清理后外售综合利用。</w:t>
            </w:r>
          </w:p>
          <w:p w14:paraId="1935C86B">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cs="Times New Roman"/>
                <w:bCs/>
                <w:color w:val="auto"/>
                <w:sz w:val="24"/>
                <w:highlight w:val="none"/>
                <w:lang w:val="en-US" w:eastAsia="zh-CN"/>
              </w:rPr>
              <w:t>3</w:t>
            </w:r>
            <w:r>
              <w:rPr>
                <w:rFonts w:hint="default" w:ascii="Times New Roman" w:hAnsi="Times New Roman" w:eastAsia="宋体" w:cs="Times New Roman"/>
                <w:bCs/>
                <w:color w:val="auto"/>
                <w:sz w:val="24"/>
                <w:highlight w:val="none"/>
                <w:lang w:val="en-US" w:eastAsia="zh-CN"/>
              </w:rPr>
              <w:t>）危险</w:t>
            </w:r>
            <w:r>
              <w:rPr>
                <w:rFonts w:hint="default" w:ascii="Times New Roman" w:hAnsi="Times New Roman" w:cs="Times New Roman"/>
                <w:bCs/>
                <w:color w:val="auto"/>
                <w:sz w:val="24"/>
                <w:highlight w:val="none"/>
                <w:lang w:val="en-US" w:eastAsia="zh-CN"/>
              </w:rPr>
              <w:t>废物</w:t>
            </w:r>
          </w:p>
          <w:p w14:paraId="5D86FB3D">
            <w:pPr>
              <w:adjustRightInd w:val="0"/>
              <w:snapToGrid w:val="0"/>
              <w:spacing w:line="360" w:lineRule="auto"/>
              <w:ind w:firstLine="480" w:firstLineChars="200"/>
              <w:rPr>
                <w:rFonts w:hint="default" w:ascii="Times New Roman" w:hAnsi="Times New Roman" w:cs="Times New Roman"/>
                <w:color w:val="auto"/>
                <w:sz w:val="24"/>
                <w:szCs w:val="24"/>
                <w:highlight w:val="none"/>
                <w:lang w:eastAsia="zh-CN"/>
              </w:rPr>
            </w:pPr>
            <w:r>
              <w:rPr>
                <w:rFonts w:hint="default" w:ascii="Times New Roman" w:hAnsi="Times New Roman" w:cs="Times New Roman"/>
                <w:bCs/>
                <w:color w:val="auto"/>
                <w:sz w:val="24"/>
                <w:highlight w:val="none"/>
                <w:lang w:val="en-US" w:eastAsia="zh-CN"/>
              </w:rPr>
              <w:t>本项目危险废物主要来源于机械设备维修保养产生的废机油、含油抹布手套等，</w:t>
            </w:r>
            <w:r>
              <w:rPr>
                <w:rFonts w:hint="default" w:ascii="Times New Roman" w:hAnsi="Times New Roman" w:eastAsia="宋体" w:cs="Times New Roman"/>
                <w:bCs/>
                <w:color w:val="auto"/>
                <w:sz w:val="24"/>
                <w:highlight w:val="none"/>
                <w:lang w:val="en-US" w:eastAsia="zh-CN"/>
              </w:rPr>
              <w:t>统一储存在</w:t>
            </w:r>
            <w:r>
              <w:rPr>
                <w:rFonts w:hint="default" w:ascii="Times New Roman" w:hAnsi="Times New Roman" w:cs="Times New Roman"/>
                <w:bCs/>
                <w:color w:val="auto"/>
                <w:sz w:val="24"/>
                <w:highlight w:val="none"/>
                <w:lang w:val="en-US" w:eastAsia="zh-CN"/>
              </w:rPr>
              <w:t>危险废物贮存点</w:t>
            </w:r>
            <w:r>
              <w:rPr>
                <w:rFonts w:hint="default" w:ascii="Times New Roman" w:hAnsi="Times New Roman" w:eastAsia="宋体" w:cs="Times New Roman"/>
                <w:bCs/>
                <w:color w:val="auto"/>
                <w:sz w:val="24"/>
                <w:highlight w:val="none"/>
                <w:lang w:val="en-US" w:eastAsia="zh-CN"/>
              </w:rPr>
              <w:t>内</w:t>
            </w:r>
            <w:r>
              <w:rPr>
                <w:rFonts w:hint="default" w:ascii="Times New Roman" w:hAnsi="Times New Roman" w:cs="Times New Roman"/>
                <w:bCs/>
                <w:color w:val="auto"/>
                <w:sz w:val="24"/>
                <w:highlight w:val="none"/>
                <w:lang w:val="en-US" w:eastAsia="zh-CN"/>
              </w:rPr>
              <w:t>密闭废油桶、容器内</w:t>
            </w:r>
            <w:r>
              <w:rPr>
                <w:rFonts w:hint="default" w:ascii="Times New Roman" w:hAnsi="Times New Roman" w:eastAsia="宋体" w:cs="Times New Roman"/>
                <w:bCs/>
                <w:color w:val="auto"/>
                <w:sz w:val="24"/>
                <w:highlight w:val="none"/>
                <w:lang w:val="en-US" w:eastAsia="zh-CN"/>
              </w:rPr>
              <w:t>，</w:t>
            </w:r>
            <w:r>
              <w:rPr>
                <w:rFonts w:hint="default" w:ascii="Times New Roman" w:hAnsi="Times New Roman" w:cs="Times New Roman"/>
                <w:bCs/>
                <w:color w:val="auto"/>
                <w:sz w:val="24"/>
                <w:highlight w:val="none"/>
                <w:lang w:val="en-US" w:eastAsia="zh-CN"/>
              </w:rPr>
              <w:t>产生量</w:t>
            </w:r>
            <w:r>
              <w:rPr>
                <w:rFonts w:hint="default" w:ascii="Times New Roman" w:hAnsi="Times New Roman" w:eastAsia="宋体" w:cs="Times New Roman"/>
                <w:bCs/>
                <w:color w:val="auto"/>
                <w:sz w:val="24"/>
                <w:highlight w:val="none"/>
                <w:lang w:val="en-US" w:eastAsia="zh-CN"/>
              </w:rPr>
              <w:t>0.0</w:t>
            </w:r>
            <w:r>
              <w:rPr>
                <w:rFonts w:hint="default" w:ascii="Times New Roman" w:hAnsi="Times New Roman" w:cs="Times New Roman"/>
                <w:bCs/>
                <w:color w:val="auto"/>
                <w:sz w:val="24"/>
                <w:highlight w:val="none"/>
                <w:lang w:val="en-US" w:eastAsia="zh-CN"/>
              </w:rPr>
              <w:t>2</w:t>
            </w:r>
            <w:r>
              <w:rPr>
                <w:rFonts w:hint="default" w:ascii="Times New Roman" w:hAnsi="Times New Roman" w:eastAsia="宋体" w:cs="Times New Roman"/>
                <w:bCs/>
                <w:color w:val="auto"/>
                <w:sz w:val="24"/>
                <w:highlight w:val="none"/>
                <w:lang w:val="en-US" w:eastAsia="zh-CN"/>
              </w:rPr>
              <w:t>t/a，集中收集后</w:t>
            </w:r>
            <w:r>
              <w:rPr>
                <w:rFonts w:hint="default" w:ascii="Times New Roman" w:hAnsi="Times New Roman" w:eastAsia="宋体" w:cs="Times New Roman"/>
                <w:bCs/>
                <w:color w:val="auto"/>
                <w:sz w:val="24"/>
                <w:highlight w:val="none"/>
                <w:lang w:eastAsia="zh-CN"/>
              </w:rPr>
              <w:t>，定期</w:t>
            </w:r>
            <w:r>
              <w:rPr>
                <w:rFonts w:hint="default" w:ascii="Times New Roman" w:hAnsi="Times New Roman" w:eastAsia="宋体" w:cs="Times New Roman"/>
                <w:bCs/>
                <w:color w:val="auto"/>
                <w:sz w:val="24"/>
                <w:highlight w:val="none"/>
                <w:lang w:val="en-US" w:eastAsia="zh-CN"/>
              </w:rPr>
              <w:t>交由有资质单位处理。</w:t>
            </w:r>
            <w:r>
              <w:rPr>
                <w:rFonts w:hint="default" w:ascii="Times New Roman" w:hAnsi="Times New Roman" w:cs="Times New Roman"/>
                <w:bCs/>
                <w:color w:val="auto"/>
                <w:sz w:val="24"/>
                <w:highlight w:val="none"/>
                <w:lang w:val="en-US" w:eastAsia="zh-CN"/>
              </w:rPr>
              <w:t>危险废物贮存点</w:t>
            </w:r>
            <w:r>
              <w:rPr>
                <w:rFonts w:hint="default" w:ascii="Times New Roman" w:hAnsi="Times New Roman" w:eastAsia="宋体" w:cs="Times New Roman"/>
                <w:bCs/>
                <w:color w:val="auto"/>
                <w:sz w:val="24"/>
                <w:highlight w:val="none"/>
                <w:lang w:val="en-US" w:eastAsia="zh-CN"/>
              </w:rPr>
              <w:t>必须地面与裙脚要用坚固、防渗的建筑材料建造，防渗层为至少2mm厚的防渗人工材料，防渗系数≤10</w:t>
            </w:r>
            <w:r>
              <w:rPr>
                <w:rFonts w:hint="default" w:ascii="Times New Roman" w:hAnsi="Times New Roman" w:eastAsia="宋体" w:cs="Times New Roman"/>
                <w:bCs/>
                <w:color w:val="auto"/>
                <w:sz w:val="24"/>
                <w:highlight w:val="none"/>
                <w:vertAlign w:val="superscript"/>
                <w:lang w:val="en-US" w:eastAsia="zh-CN"/>
              </w:rPr>
              <w:t>-</w:t>
            </w:r>
            <w:r>
              <w:rPr>
                <w:rFonts w:hint="default" w:ascii="Times New Roman" w:hAnsi="Times New Roman" w:cs="Times New Roman"/>
                <w:bCs/>
                <w:color w:val="auto"/>
                <w:sz w:val="24"/>
                <w:highlight w:val="none"/>
                <w:vertAlign w:val="superscript"/>
                <w:lang w:val="en-US" w:eastAsia="zh-CN"/>
              </w:rPr>
              <w:t>10</w:t>
            </w:r>
            <w:r>
              <w:rPr>
                <w:rFonts w:hint="default" w:ascii="Times New Roman" w:hAnsi="Times New Roman" w:eastAsia="宋体" w:cs="Times New Roman"/>
                <w:bCs/>
                <w:color w:val="auto"/>
                <w:sz w:val="24"/>
                <w:highlight w:val="none"/>
                <w:lang w:val="en-US" w:eastAsia="zh-CN"/>
              </w:rPr>
              <w:t>cm/s，危险废物须做好危险废物情况的记录、记录上须标明危险废物的名</w:t>
            </w:r>
            <w:r>
              <w:rPr>
                <w:rFonts w:hint="default" w:ascii="Times New Roman" w:hAnsi="Times New Roman" w:cs="Times New Roman"/>
                <w:color w:val="auto"/>
                <w:sz w:val="24"/>
                <w:szCs w:val="24"/>
                <w:highlight w:val="none"/>
                <w:lang w:val="en-US" w:eastAsia="zh-CN"/>
              </w:rPr>
              <w:t>称、来源、数量、入库时间、废物出库日期及接收单位名称。危险废物经过统一收集后再交给有资质的危险废物处置单位处理。</w:t>
            </w:r>
          </w:p>
          <w:p w14:paraId="1FDC4936">
            <w:pPr>
              <w:numPr>
                <w:ilvl w:val="0"/>
                <w:numId w:val="0"/>
              </w:numPr>
              <w:adjustRightInd w:val="0"/>
              <w:snapToGrid w:val="0"/>
              <w:spacing w:line="360" w:lineRule="auto"/>
              <w:ind w:firstLine="480" w:firstLineChars="200"/>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采取上述措施后，运营期产生的固体废物可以得到有效处理处置，不会对周边环境产生危害性影响。</w:t>
            </w:r>
          </w:p>
          <w:p w14:paraId="3234AE29">
            <w:pPr>
              <w:adjustRightInd w:val="0"/>
              <w:snapToGrid w:val="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w:t>
            </w:r>
            <w:r>
              <w:rPr>
                <w:rFonts w:hint="default" w:ascii="Times New Roman" w:hAnsi="Times New Roman" w:cs="Times New Roman"/>
                <w:b/>
                <w:bCs/>
                <w:color w:val="auto"/>
                <w:kern w:val="2"/>
                <w:sz w:val="24"/>
                <w:szCs w:val="24"/>
                <w:highlight w:val="none"/>
                <w:lang w:val="en-US" w:eastAsia="zh-CN" w:bidi="ar-SA"/>
              </w:rPr>
              <w:t>7</w:t>
            </w:r>
            <w:r>
              <w:rPr>
                <w:rFonts w:hint="default" w:ascii="Times New Roman" w:hAnsi="Times New Roman" w:eastAsia="宋体" w:cs="Times New Roman"/>
                <w:b/>
                <w:bCs/>
                <w:color w:val="auto"/>
                <w:kern w:val="2"/>
                <w:sz w:val="24"/>
                <w:szCs w:val="24"/>
                <w:highlight w:val="none"/>
                <w:lang w:val="en-US" w:eastAsia="zh-CN" w:bidi="ar-SA"/>
              </w:rPr>
              <w:t xml:space="preserve">  固体废物排放信息</w:t>
            </w:r>
          </w:p>
          <w:tbl>
            <w:tblPr>
              <w:tblStyle w:val="20"/>
              <w:tblW w:w="4993"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4"/>
              <w:gridCol w:w="973"/>
              <w:gridCol w:w="1228"/>
              <w:gridCol w:w="1528"/>
              <w:gridCol w:w="875"/>
              <w:gridCol w:w="1237"/>
              <w:gridCol w:w="1312"/>
              <w:gridCol w:w="868"/>
            </w:tblGrid>
            <w:tr w14:paraId="35D88ED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0" w:type="pct"/>
                  <w:noWrap w:val="0"/>
                  <w:vAlign w:val="center"/>
                </w:tcPr>
                <w:p w14:paraId="3A068549">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产生环节</w:t>
                  </w:r>
                </w:p>
              </w:tc>
              <w:tc>
                <w:tcPr>
                  <w:tcW w:w="554" w:type="pct"/>
                  <w:noWrap w:val="0"/>
                  <w:vAlign w:val="center"/>
                </w:tcPr>
                <w:p w14:paraId="5482EE2B">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名称</w:t>
                  </w:r>
                </w:p>
              </w:tc>
              <w:tc>
                <w:tcPr>
                  <w:tcW w:w="699" w:type="pct"/>
                  <w:noWrap w:val="0"/>
                  <w:vAlign w:val="center"/>
                </w:tcPr>
                <w:p w14:paraId="04FE45FA">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性质</w:t>
                  </w:r>
                </w:p>
              </w:tc>
              <w:tc>
                <w:tcPr>
                  <w:tcW w:w="870" w:type="pct"/>
                  <w:noWrap w:val="0"/>
                  <w:vAlign w:val="center"/>
                </w:tcPr>
                <w:p w14:paraId="6285C3BD">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代码</w:t>
                  </w:r>
                </w:p>
              </w:tc>
              <w:tc>
                <w:tcPr>
                  <w:tcW w:w="498" w:type="pct"/>
                  <w:noWrap w:val="0"/>
                  <w:vAlign w:val="center"/>
                </w:tcPr>
                <w:p w14:paraId="5E07ED7A">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年产生量t/a</w:t>
                  </w:r>
                </w:p>
              </w:tc>
              <w:tc>
                <w:tcPr>
                  <w:tcW w:w="704" w:type="pct"/>
                  <w:noWrap w:val="0"/>
                  <w:vAlign w:val="center"/>
                </w:tcPr>
                <w:p w14:paraId="60D259B3">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贮存方式</w:t>
                  </w:r>
                </w:p>
              </w:tc>
              <w:tc>
                <w:tcPr>
                  <w:tcW w:w="747" w:type="pct"/>
                  <w:noWrap w:val="0"/>
                  <w:vAlign w:val="center"/>
                </w:tcPr>
                <w:p w14:paraId="4EE9FAEE">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处置方式和去向</w:t>
                  </w:r>
                </w:p>
              </w:tc>
              <w:tc>
                <w:tcPr>
                  <w:tcW w:w="494" w:type="pct"/>
                  <w:noWrap w:val="0"/>
                  <w:vAlign w:val="center"/>
                </w:tcPr>
                <w:p w14:paraId="2E3AAFC8">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处置或利用量t/a</w:t>
                  </w:r>
                </w:p>
              </w:tc>
            </w:tr>
            <w:tr w14:paraId="5FF1529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430" w:type="pct"/>
                  <w:noWrap w:val="0"/>
                  <w:vAlign w:val="center"/>
                </w:tcPr>
                <w:p w14:paraId="26B1EC20">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日常生活</w:t>
                  </w:r>
                </w:p>
              </w:tc>
              <w:tc>
                <w:tcPr>
                  <w:tcW w:w="554" w:type="pct"/>
                  <w:noWrap w:val="0"/>
                  <w:vAlign w:val="center"/>
                </w:tcPr>
                <w:p w14:paraId="042E9118">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lang w:val="en-US" w:eastAsia="zh-CN"/>
                    </w:rPr>
                    <w:t>生活垃圾</w:t>
                  </w:r>
                </w:p>
              </w:tc>
              <w:tc>
                <w:tcPr>
                  <w:tcW w:w="699" w:type="pct"/>
                  <w:noWrap w:val="0"/>
                  <w:vAlign w:val="center"/>
                </w:tcPr>
                <w:p w14:paraId="2B3FA6C2">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一般固体废物</w:t>
                  </w:r>
                </w:p>
              </w:tc>
              <w:tc>
                <w:tcPr>
                  <w:tcW w:w="870" w:type="pct"/>
                  <w:noWrap w:val="0"/>
                  <w:vAlign w:val="center"/>
                </w:tcPr>
                <w:p w14:paraId="2E1FBB33">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900-099-S64</w:t>
                  </w:r>
                </w:p>
              </w:tc>
              <w:tc>
                <w:tcPr>
                  <w:tcW w:w="498" w:type="pct"/>
                  <w:noWrap w:val="0"/>
                  <w:vAlign w:val="center"/>
                </w:tcPr>
                <w:p w14:paraId="26F1C3C7">
                  <w:pPr>
                    <w:adjustRightInd w:val="0"/>
                    <w:snapToGrid w:val="0"/>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0.75</w:t>
                  </w:r>
                </w:p>
              </w:tc>
              <w:tc>
                <w:tcPr>
                  <w:tcW w:w="704" w:type="pct"/>
                  <w:noWrap w:val="0"/>
                  <w:vAlign w:val="center"/>
                </w:tcPr>
                <w:p w14:paraId="71B176AF">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垃圾箱</w:t>
                  </w:r>
                </w:p>
              </w:tc>
              <w:tc>
                <w:tcPr>
                  <w:tcW w:w="747" w:type="pct"/>
                  <w:noWrap w:val="0"/>
                  <w:vAlign w:val="center"/>
                </w:tcPr>
                <w:p w14:paraId="2DEEF267">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环卫部门</w:t>
                  </w:r>
                </w:p>
              </w:tc>
              <w:tc>
                <w:tcPr>
                  <w:tcW w:w="494" w:type="pct"/>
                  <w:noWrap w:val="0"/>
                  <w:vAlign w:val="center"/>
                </w:tcPr>
                <w:p w14:paraId="3C7925C7">
                  <w:pPr>
                    <w:adjustRightInd w:val="0"/>
                    <w:snapToGrid w:val="0"/>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0.75</w:t>
                  </w:r>
                </w:p>
              </w:tc>
            </w:tr>
            <w:tr w14:paraId="3FA5E03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430" w:type="pct"/>
                  <w:noWrap w:val="0"/>
                  <w:vAlign w:val="center"/>
                </w:tcPr>
                <w:p w14:paraId="615218F5">
                  <w:pPr>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生产</w:t>
                  </w:r>
                </w:p>
              </w:tc>
              <w:tc>
                <w:tcPr>
                  <w:tcW w:w="554" w:type="pct"/>
                  <w:noWrap w:val="0"/>
                  <w:vAlign w:val="center"/>
                </w:tcPr>
                <w:p w14:paraId="7FE679B7">
                  <w:pPr>
                    <w:adjustRightInd w:val="0"/>
                    <w:snapToGrid w:val="0"/>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初期雨水收集池沉渣</w:t>
                  </w:r>
                </w:p>
              </w:tc>
              <w:tc>
                <w:tcPr>
                  <w:tcW w:w="699" w:type="pct"/>
                  <w:noWrap w:val="0"/>
                  <w:vAlign w:val="center"/>
                </w:tcPr>
                <w:p w14:paraId="75F1B019">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一般固体废物</w:t>
                  </w:r>
                </w:p>
              </w:tc>
              <w:tc>
                <w:tcPr>
                  <w:tcW w:w="870" w:type="pct"/>
                  <w:noWrap w:val="0"/>
                  <w:vAlign w:val="center"/>
                </w:tcPr>
                <w:p w14:paraId="32D37351">
                  <w:pPr>
                    <w:adjustRightInd w:val="0"/>
                    <w:snapToGrid w:val="0"/>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900-099-S07</w:t>
                  </w:r>
                </w:p>
              </w:tc>
              <w:tc>
                <w:tcPr>
                  <w:tcW w:w="498" w:type="pct"/>
                  <w:noWrap w:val="0"/>
                  <w:vAlign w:val="center"/>
                </w:tcPr>
                <w:p w14:paraId="737B468C">
                  <w:pPr>
                    <w:adjustRightInd w:val="0"/>
                    <w:snapToGrid w:val="0"/>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0.6</w:t>
                  </w:r>
                </w:p>
              </w:tc>
              <w:tc>
                <w:tcPr>
                  <w:tcW w:w="704" w:type="pct"/>
                  <w:noWrap w:val="0"/>
                  <w:vAlign w:val="center"/>
                </w:tcPr>
                <w:p w14:paraId="1C5A694B">
                  <w:pPr>
                    <w:adjustRightInd w:val="0"/>
                    <w:snapToGrid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747" w:type="pct"/>
                  <w:noWrap w:val="0"/>
                  <w:vAlign w:val="center"/>
                </w:tcPr>
                <w:p w14:paraId="69FD818F">
                  <w:pPr>
                    <w:adjustRightInd w:val="0"/>
                    <w:snapToGrid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外售综合利用</w:t>
                  </w:r>
                </w:p>
              </w:tc>
              <w:tc>
                <w:tcPr>
                  <w:tcW w:w="494" w:type="pct"/>
                  <w:noWrap w:val="0"/>
                  <w:vAlign w:val="center"/>
                </w:tcPr>
                <w:p w14:paraId="3C16E353">
                  <w:pPr>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0.6</w:t>
                  </w:r>
                </w:p>
              </w:tc>
            </w:tr>
            <w:tr w14:paraId="37B864C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430" w:type="pct"/>
                  <w:vMerge w:val="restart"/>
                  <w:noWrap w:val="0"/>
                  <w:vAlign w:val="center"/>
                </w:tcPr>
                <w:p w14:paraId="0F40EACA">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机械设备维护</w:t>
                  </w:r>
                </w:p>
              </w:tc>
              <w:tc>
                <w:tcPr>
                  <w:tcW w:w="554" w:type="pct"/>
                  <w:noWrap w:val="0"/>
                  <w:vAlign w:val="center"/>
                </w:tcPr>
                <w:p w14:paraId="6AB543B5">
                  <w:pPr>
                    <w:adjustRightInd w:val="0"/>
                    <w:snapToGrid w:val="0"/>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废机油</w:t>
                  </w:r>
                </w:p>
              </w:tc>
              <w:tc>
                <w:tcPr>
                  <w:tcW w:w="699" w:type="pct"/>
                  <w:noWrap w:val="0"/>
                  <w:vAlign w:val="center"/>
                </w:tcPr>
                <w:p w14:paraId="6DD8E34A">
                  <w:pPr>
                    <w:adjustRightInd w:val="0"/>
                    <w:snapToGrid w:val="0"/>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危险废物</w:t>
                  </w:r>
                </w:p>
              </w:tc>
              <w:tc>
                <w:tcPr>
                  <w:tcW w:w="870" w:type="pct"/>
                  <w:noWrap w:val="0"/>
                  <w:vAlign w:val="center"/>
                </w:tcPr>
                <w:p w14:paraId="2EF016EC">
                  <w:pPr>
                    <w:adjustRightInd w:val="0"/>
                    <w:snapToGrid w:val="0"/>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900-217-08</w:t>
                  </w:r>
                </w:p>
              </w:tc>
              <w:tc>
                <w:tcPr>
                  <w:tcW w:w="498" w:type="pct"/>
                  <w:noWrap w:val="0"/>
                  <w:vAlign w:val="center"/>
                </w:tcPr>
                <w:p w14:paraId="65CFB92E">
                  <w:pPr>
                    <w:adjustRightInd w:val="0"/>
                    <w:snapToGrid w:val="0"/>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0.01</w:t>
                  </w:r>
                </w:p>
              </w:tc>
              <w:tc>
                <w:tcPr>
                  <w:tcW w:w="704" w:type="pct"/>
                  <w:noWrap w:val="0"/>
                  <w:vAlign w:val="center"/>
                </w:tcPr>
                <w:p w14:paraId="4D90E880">
                  <w:pPr>
                    <w:adjustRightInd w:val="0"/>
                    <w:snapToGrid w:val="0"/>
                    <w:jc w:val="center"/>
                    <w:rPr>
                      <w:rFonts w:hint="default" w:ascii="Times New Roman" w:hAnsi="Times New Roman" w:cs="Times New Roman"/>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暂存</w:t>
                  </w:r>
                  <w:r>
                    <w:rPr>
                      <w:rFonts w:hint="default" w:ascii="Times New Roman" w:hAnsi="Times New Roman" w:cs="Times New Roman"/>
                      <w:color w:val="auto"/>
                      <w:highlight w:val="none"/>
                      <w:lang w:val="en-US" w:eastAsia="zh-CN"/>
                    </w:rPr>
                    <w:t>危险废物贮存点</w:t>
                  </w:r>
                  <w:r>
                    <w:rPr>
                      <w:rFonts w:hint="default" w:ascii="Times New Roman" w:hAnsi="Times New Roman" w:eastAsia="宋体" w:cs="Times New Roman"/>
                      <w:bCs/>
                      <w:color w:val="auto"/>
                      <w:szCs w:val="21"/>
                      <w:highlight w:val="none"/>
                      <w:lang w:val="en-US" w:eastAsia="zh-CN"/>
                    </w:rPr>
                    <w:t>内</w:t>
                  </w:r>
                  <w:r>
                    <w:rPr>
                      <w:rFonts w:hint="default" w:ascii="Times New Roman" w:hAnsi="Times New Roman" w:cs="Times New Roman"/>
                      <w:bCs/>
                      <w:color w:val="auto"/>
                      <w:szCs w:val="21"/>
                      <w:highlight w:val="none"/>
                      <w:lang w:val="en-US" w:eastAsia="zh-CN"/>
                    </w:rPr>
                    <w:t>密闭容器内</w:t>
                  </w:r>
                </w:p>
              </w:tc>
              <w:tc>
                <w:tcPr>
                  <w:tcW w:w="747" w:type="pct"/>
                  <w:vMerge w:val="restart"/>
                  <w:noWrap w:val="0"/>
                  <w:vAlign w:val="center"/>
                </w:tcPr>
                <w:p w14:paraId="1FC30739">
                  <w:pPr>
                    <w:adjustRightInd w:val="0"/>
                    <w:snapToGrid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highlight w:val="none"/>
                    </w:rPr>
                    <w:t>委托有资质单位处置</w:t>
                  </w:r>
                </w:p>
              </w:tc>
              <w:tc>
                <w:tcPr>
                  <w:tcW w:w="494" w:type="pct"/>
                  <w:vMerge w:val="restart"/>
                  <w:noWrap w:val="0"/>
                  <w:vAlign w:val="center"/>
                </w:tcPr>
                <w:p w14:paraId="3CF47093">
                  <w:pPr>
                    <w:adjustRightInd w:val="0"/>
                    <w:snapToGrid w:val="0"/>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0.02</w:t>
                  </w:r>
                </w:p>
              </w:tc>
            </w:tr>
            <w:tr w14:paraId="0282662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430" w:type="pct"/>
                  <w:vMerge w:val="continue"/>
                  <w:noWrap w:val="0"/>
                  <w:vAlign w:val="center"/>
                </w:tcPr>
                <w:p w14:paraId="4158F109">
                  <w:pPr>
                    <w:jc w:val="center"/>
                    <w:rPr>
                      <w:rFonts w:hint="default" w:ascii="Times New Roman" w:hAnsi="Times New Roman" w:cs="Times New Roman"/>
                      <w:bCs/>
                      <w:color w:val="auto"/>
                      <w:szCs w:val="21"/>
                      <w:highlight w:val="none"/>
                      <w:lang w:val="en-US" w:eastAsia="zh-CN"/>
                    </w:rPr>
                  </w:pPr>
                </w:p>
              </w:tc>
              <w:tc>
                <w:tcPr>
                  <w:tcW w:w="554" w:type="pct"/>
                  <w:noWrap w:val="0"/>
                  <w:vAlign w:val="center"/>
                </w:tcPr>
                <w:p w14:paraId="439BD5DC">
                  <w:pPr>
                    <w:adjustRightInd w:val="0"/>
                    <w:snapToGrid w:val="0"/>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废弃含油抹布手套</w:t>
                  </w:r>
                </w:p>
              </w:tc>
              <w:tc>
                <w:tcPr>
                  <w:tcW w:w="699" w:type="pct"/>
                  <w:noWrap w:val="0"/>
                  <w:vAlign w:val="center"/>
                </w:tcPr>
                <w:p w14:paraId="40A7C838">
                  <w:pPr>
                    <w:adjustRightInd w:val="0"/>
                    <w:snapToGrid w:val="0"/>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危险废物</w:t>
                  </w:r>
                </w:p>
              </w:tc>
              <w:tc>
                <w:tcPr>
                  <w:tcW w:w="870" w:type="pct"/>
                  <w:noWrap w:val="0"/>
                  <w:vAlign w:val="center"/>
                </w:tcPr>
                <w:p w14:paraId="51034D78">
                  <w:pPr>
                    <w:adjustRightInd w:val="0"/>
                    <w:snapToGrid w:val="0"/>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900-041-49</w:t>
                  </w:r>
                </w:p>
              </w:tc>
              <w:tc>
                <w:tcPr>
                  <w:tcW w:w="498" w:type="pct"/>
                  <w:noWrap w:val="0"/>
                  <w:vAlign w:val="center"/>
                </w:tcPr>
                <w:p w14:paraId="562AB6C1">
                  <w:pPr>
                    <w:adjustRightInd w:val="0"/>
                    <w:snapToGrid w:val="0"/>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0.01</w:t>
                  </w:r>
                </w:p>
              </w:tc>
              <w:tc>
                <w:tcPr>
                  <w:tcW w:w="704" w:type="pct"/>
                  <w:noWrap w:val="0"/>
                  <w:vAlign w:val="center"/>
                </w:tcPr>
                <w:p w14:paraId="0A5AE2D7">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暂存</w:t>
                  </w:r>
                  <w:r>
                    <w:rPr>
                      <w:rFonts w:hint="default" w:ascii="Times New Roman" w:hAnsi="Times New Roman" w:cs="Times New Roman"/>
                      <w:color w:val="auto"/>
                      <w:highlight w:val="none"/>
                      <w:lang w:val="en-US" w:eastAsia="zh-CN"/>
                    </w:rPr>
                    <w:t>危险废物贮存点</w:t>
                  </w:r>
                  <w:r>
                    <w:rPr>
                      <w:rFonts w:hint="default" w:ascii="Times New Roman" w:hAnsi="Times New Roman" w:eastAsia="宋体" w:cs="Times New Roman"/>
                      <w:bCs/>
                      <w:color w:val="auto"/>
                      <w:szCs w:val="21"/>
                      <w:highlight w:val="none"/>
                      <w:lang w:val="en-US" w:eastAsia="zh-CN"/>
                    </w:rPr>
                    <w:t>内</w:t>
                  </w:r>
                  <w:r>
                    <w:rPr>
                      <w:rFonts w:hint="default" w:ascii="Times New Roman" w:hAnsi="Times New Roman" w:cs="Times New Roman"/>
                      <w:bCs/>
                      <w:color w:val="auto"/>
                      <w:szCs w:val="21"/>
                      <w:highlight w:val="none"/>
                      <w:lang w:val="en-US" w:eastAsia="zh-CN"/>
                    </w:rPr>
                    <w:t>密闭容器内</w:t>
                  </w:r>
                </w:p>
              </w:tc>
              <w:tc>
                <w:tcPr>
                  <w:tcW w:w="747" w:type="pct"/>
                  <w:vMerge w:val="continue"/>
                  <w:noWrap w:val="0"/>
                  <w:vAlign w:val="center"/>
                </w:tcPr>
                <w:p w14:paraId="2520643A">
                  <w:pPr>
                    <w:adjustRightInd w:val="0"/>
                    <w:snapToGrid w:val="0"/>
                    <w:jc w:val="center"/>
                    <w:rPr>
                      <w:rFonts w:hint="default" w:ascii="Times New Roman" w:hAnsi="Times New Roman" w:cs="Times New Roman"/>
                      <w:color w:val="auto"/>
                      <w:highlight w:val="none"/>
                    </w:rPr>
                  </w:pPr>
                </w:p>
              </w:tc>
              <w:tc>
                <w:tcPr>
                  <w:tcW w:w="494" w:type="pct"/>
                  <w:vMerge w:val="continue"/>
                  <w:noWrap w:val="0"/>
                  <w:vAlign w:val="center"/>
                </w:tcPr>
                <w:p w14:paraId="402207D6">
                  <w:pPr>
                    <w:adjustRightInd w:val="0"/>
                    <w:snapToGrid w:val="0"/>
                    <w:jc w:val="center"/>
                    <w:rPr>
                      <w:rFonts w:hint="default" w:ascii="Times New Roman" w:hAnsi="Times New Roman" w:cs="Times New Roman"/>
                      <w:bCs/>
                      <w:color w:val="auto"/>
                      <w:szCs w:val="21"/>
                      <w:highlight w:val="none"/>
                      <w:lang w:val="en-US" w:eastAsia="zh-CN"/>
                    </w:rPr>
                  </w:pPr>
                </w:p>
              </w:tc>
            </w:tr>
          </w:tbl>
          <w:p w14:paraId="4A30A68F">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（2）危险废物处置措施</w:t>
            </w:r>
          </w:p>
          <w:p w14:paraId="655DFD9A">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1）</w:t>
            </w:r>
            <w:r>
              <w:rPr>
                <w:rFonts w:hint="default" w:ascii="Times New Roman" w:hAnsi="Times New Roman" w:cs="Times New Roman"/>
                <w:bCs/>
                <w:color w:val="auto"/>
                <w:sz w:val="24"/>
                <w:highlight w:val="none"/>
                <w:lang w:val="en-US" w:eastAsia="zh-CN"/>
              </w:rPr>
              <w:t>危险废物贮存点</w:t>
            </w:r>
            <w:r>
              <w:rPr>
                <w:rFonts w:hint="default" w:ascii="Times New Roman" w:hAnsi="Times New Roman" w:eastAsia="宋体" w:cs="Times New Roman"/>
                <w:bCs/>
                <w:color w:val="auto"/>
                <w:sz w:val="24"/>
                <w:highlight w:val="none"/>
                <w:lang w:val="en-US" w:eastAsia="zh-CN"/>
              </w:rPr>
              <w:t>设置要求</w:t>
            </w:r>
          </w:p>
          <w:p w14:paraId="08700E9D">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cs="Times New Roman"/>
                <w:bCs/>
                <w:color w:val="auto"/>
                <w:sz w:val="24"/>
                <w:highlight w:val="none"/>
                <w:lang w:val="en-US" w:eastAsia="zh-CN"/>
              </w:rPr>
              <w:t>危险废物贮存点</w:t>
            </w:r>
            <w:r>
              <w:rPr>
                <w:rFonts w:hint="default" w:ascii="Times New Roman" w:hAnsi="Times New Roman" w:eastAsia="宋体" w:cs="Times New Roman"/>
                <w:bCs/>
                <w:color w:val="auto"/>
                <w:sz w:val="24"/>
                <w:highlight w:val="none"/>
                <w:lang w:val="en-US" w:eastAsia="zh-CN"/>
              </w:rPr>
              <w:t>应做到防风、防雨、防晒、防渗漏，贮存设施地面与裙脚应采取表面防渗措施</w:t>
            </w:r>
            <w:r>
              <w:rPr>
                <w:rFonts w:hint="default" w:ascii="Times New Roman" w:hAnsi="Times New Roman" w:cs="Times New Roman"/>
                <w:bCs/>
                <w:color w:val="auto"/>
                <w:sz w:val="24"/>
                <w:highlight w:val="none"/>
                <w:lang w:val="en-US" w:eastAsia="zh-CN"/>
              </w:rPr>
              <w:t>，防渗、防腐材料应覆盖所有可能与废物及其渗滤液、渗漏液等接触的构筑物表面。</w:t>
            </w:r>
            <w:r>
              <w:rPr>
                <w:rFonts w:hint="default" w:ascii="Times New Roman" w:hAnsi="Times New Roman" w:eastAsia="宋体" w:cs="Times New Roman"/>
                <w:bCs/>
                <w:color w:val="auto"/>
                <w:sz w:val="24"/>
                <w:highlight w:val="none"/>
                <w:lang w:val="en-US" w:eastAsia="zh-CN"/>
              </w:rPr>
              <w:t>严格按照《危险废物贮存污染控制标准》（GB18597-20</w:t>
            </w:r>
            <w:r>
              <w:rPr>
                <w:rFonts w:hint="default" w:ascii="Times New Roman" w:hAnsi="Times New Roman" w:cs="Times New Roman"/>
                <w:bCs/>
                <w:color w:val="auto"/>
                <w:sz w:val="24"/>
                <w:highlight w:val="none"/>
                <w:lang w:val="en-US" w:eastAsia="zh-CN"/>
              </w:rPr>
              <w:t>23</w:t>
            </w:r>
            <w:r>
              <w:rPr>
                <w:rFonts w:hint="default" w:ascii="Times New Roman" w:hAnsi="Times New Roman" w:eastAsia="宋体" w:cs="Times New Roman"/>
                <w:bCs/>
                <w:color w:val="auto"/>
                <w:sz w:val="24"/>
                <w:highlight w:val="none"/>
                <w:lang w:val="en-US" w:eastAsia="zh-CN"/>
              </w:rPr>
              <w:t>）的要求进行防渗、防漏</w:t>
            </w:r>
            <w:r>
              <w:rPr>
                <w:rFonts w:hint="default" w:ascii="Times New Roman" w:hAnsi="Times New Roman" w:cs="Times New Roman"/>
                <w:bCs/>
                <w:color w:val="auto"/>
                <w:sz w:val="24"/>
                <w:highlight w:val="none"/>
                <w:lang w:val="en-US" w:eastAsia="zh-CN"/>
              </w:rPr>
              <w:t>。</w:t>
            </w:r>
          </w:p>
          <w:p w14:paraId="0941B0BC">
            <w:pPr>
              <w:adjustRightInd w:val="0"/>
              <w:snapToGrid w:val="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w:t>
            </w:r>
            <w:r>
              <w:rPr>
                <w:rFonts w:hint="default" w:ascii="Times New Roman" w:hAnsi="Times New Roman" w:cs="Times New Roman"/>
                <w:b/>
                <w:bCs/>
                <w:color w:val="auto"/>
                <w:kern w:val="2"/>
                <w:sz w:val="24"/>
                <w:szCs w:val="24"/>
                <w:highlight w:val="none"/>
                <w:lang w:val="en-US" w:eastAsia="zh-CN" w:bidi="ar-SA"/>
              </w:rPr>
              <w:t>8</w:t>
            </w:r>
            <w:r>
              <w:rPr>
                <w:rFonts w:hint="default" w:ascii="Times New Roman" w:hAnsi="Times New Roman" w:eastAsia="宋体" w:cs="Times New Roman"/>
                <w:b/>
                <w:bCs/>
                <w:color w:val="auto"/>
                <w:kern w:val="2"/>
                <w:sz w:val="24"/>
                <w:szCs w:val="24"/>
                <w:highlight w:val="none"/>
                <w:lang w:val="en-US" w:eastAsia="zh-CN" w:bidi="ar-SA"/>
              </w:rPr>
              <w:t xml:space="preserve">  危险废物贮存场所基本情况</w:t>
            </w:r>
          </w:p>
          <w:tbl>
            <w:tblPr>
              <w:tblStyle w:val="20"/>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82"/>
              <w:gridCol w:w="1346"/>
              <w:gridCol w:w="1424"/>
              <w:gridCol w:w="1094"/>
              <w:gridCol w:w="1680"/>
              <w:gridCol w:w="983"/>
              <w:gridCol w:w="978"/>
            </w:tblGrid>
            <w:tr w14:paraId="6C53FC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82" w:type="dxa"/>
                  <w:tcBorders>
                    <w:tl2br w:val="nil"/>
                    <w:tr2bl w:val="nil"/>
                  </w:tcBorders>
                  <w:noWrap w:val="0"/>
                  <w:vAlign w:val="center"/>
                </w:tcPr>
                <w:p w14:paraId="46299BE5">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危险废物名称</w:t>
                  </w:r>
                </w:p>
              </w:tc>
              <w:tc>
                <w:tcPr>
                  <w:tcW w:w="1346" w:type="dxa"/>
                  <w:tcBorders>
                    <w:tl2br w:val="nil"/>
                    <w:tr2bl w:val="nil"/>
                  </w:tcBorders>
                  <w:noWrap w:val="0"/>
                  <w:vAlign w:val="center"/>
                </w:tcPr>
                <w:p w14:paraId="611BAFDE">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危险废物类别</w:t>
                  </w:r>
                </w:p>
              </w:tc>
              <w:tc>
                <w:tcPr>
                  <w:tcW w:w="1424" w:type="dxa"/>
                  <w:tcBorders>
                    <w:tl2br w:val="nil"/>
                    <w:tr2bl w:val="nil"/>
                  </w:tcBorders>
                  <w:noWrap w:val="0"/>
                  <w:vAlign w:val="center"/>
                </w:tcPr>
                <w:p w14:paraId="4020758F">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危险废物代码</w:t>
                  </w:r>
                </w:p>
              </w:tc>
              <w:tc>
                <w:tcPr>
                  <w:tcW w:w="1094" w:type="dxa"/>
                  <w:tcBorders>
                    <w:tl2br w:val="nil"/>
                    <w:tr2bl w:val="nil"/>
                  </w:tcBorders>
                  <w:noWrap w:val="0"/>
                  <w:vAlign w:val="center"/>
                </w:tcPr>
                <w:p w14:paraId="5DE1A32A">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年产生量</w:t>
                  </w:r>
                </w:p>
              </w:tc>
              <w:tc>
                <w:tcPr>
                  <w:tcW w:w="1680" w:type="dxa"/>
                  <w:tcBorders>
                    <w:tl2br w:val="nil"/>
                    <w:tr2bl w:val="nil"/>
                  </w:tcBorders>
                  <w:noWrap w:val="0"/>
                  <w:vAlign w:val="center"/>
                </w:tcPr>
                <w:p w14:paraId="13E5C7EE">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贮存方式</w:t>
                  </w:r>
                </w:p>
              </w:tc>
              <w:tc>
                <w:tcPr>
                  <w:tcW w:w="983" w:type="dxa"/>
                  <w:tcBorders>
                    <w:tl2br w:val="nil"/>
                    <w:tr2bl w:val="nil"/>
                  </w:tcBorders>
                  <w:noWrap w:val="0"/>
                  <w:vAlign w:val="center"/>
                </w:tcPr>
                <w:p w14:paraId="7CC62A03">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贮存能力</w:t>
                  </w:r>
                </w:p>
              </w:tc>
              <w:tc>
                <w:tcPr>
                  <w:tcW w:w="978" w:type="dxa"/>
                  <w:tcBorders>
                    <w:tl2br w:val="nil"/>
                    <w:tr2bl w:val="nil"/>
                  </w:tcBorders>
                  <w:noWrap w:val="0"/>
                  <w:vAlign w:val="center"/>
                </w:tcPr>
                <w:p w14:paraId="2F203AE8">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贮存周期</w:t>
                  </w:r>
                </w:p>
              </w:tc>
            </w:tr>
            <w:tr w14:paraId="11E952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82" w:type="dxa"/>
                  <w:tcBorders>
                    <w:tl2br w:val="nil"/>
                    <w:tr2bl w:val="nil"/>
                  </w:tcBorders>
                  <w:noWrap w:val="0"/>
                  <w:vAlign w:val="center"/>
                </w:tcPr>
                <w:p w14:paraId="53241F21">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废机油</w:t>
                  </w:r>
                </w:p>
              </w:tc>
              <w:tc>
                <w:tcPr>
                  <w:tcW w:w="1346" w:type="dxa"/>
                  <w:tcBorders>
                    <w:tl2br w:val="nil"/>
                    <w:tr2bl w:val="nil"/>
                  </w:tcBorders>
                  <w:noWrap w:val="0"/>
                  <w:vAlign w:val="center"/>
                </w:tcPr>
                <w:p w14:paraId="1C69FE09">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HW08</w:t>
                  </w:r>
                </w:p>
              </w:tc>
              <w:tc>
                <w:tcPr>
                  <w:tcW w:w="1424" w:type="dxa"/>
                  <w:tcBorders>
                    <w:tl2br w:val="nil"/>
                    <w:tr2bl w:val="nil"/>
                  </w:tcBorders>
                  <w:noWrap w:val="0"/>
                  <w:vAlign w:val="center"/>
                </w:tcPr>
                <w:p w14:paraId="1CE55187">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900-217-08</w:t>
                  </w:r>
                </w:p>
              </w:tc>
              <w:tc>
                <w:tcPr>
                  <w:tcW w:w="1094" w:type="dxa"/>
                  <w:tcBorders>
                    <w:tl2br w:val="nil"/>
                    <w:tr2bl w:val="nil"/>
                  </w:tcBorders>
                  <w:noWrap w:val="0"/>
                  <w:vAlign w:val="center"/>
                </w:tcPr>
                <w:p w14:paraId="53680E41">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0.</w:t>
                  </w:r>
                  <w:r>
                    <w:rPr>
                      <w:rFonts w:hint="default" w:ascii="Times New Roman" w:hAnsi="Times New Roman" w:cs="Times New Roman"/>
                      <w:bCs/>
                      <w:color w:val="auto"/>
                      <w:szCs w:val="21"/>
                      <w:highlight w:val="none"/>
                      <w:lang w:val="en-US" w:eastAsia="zh-CN"/>
                    </w:rPr>
                    <w:t>01t</w:t>
                  </w:r>
                </w:p>
              </w:tc>
              <w:tc>
                <w:tcPr>
                  <w:tcW w:w="1680" w:type="dxa"/>
                  <w:tcBorders>
                    <w:tl2br w:val="nil"/>
                    <w:tr2bl w:val="nil"/>
                  </w:tcBorders>
                  <w:noWrap w:val="0"/>
                  <w:vAlign w:val="center"/>
                </w:tcPr>
                <w:p w14:paraId="20B23ECB">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暂存于</w:t>
                  </w:r>
                  <w:r>
                    <w:rPr>
                      <w:rFonts w:hint="default" w:ascii="Times New Roman" w:hAnsi="Times New Roman" w:cs="Times New Roman"/>
                      <w:color w:val="auto"/>
                      <w:highlight w:val="none"/>
                      <w:lang w:val="en-US" w:eastAsia="zh-CN"/>
                    </w:rPr>
                    <w:t>危险废物贮存点</w:t>
                  </w:r>
                </w:p>
              </w:tc>
              <w:tc>
                <w:tcPr>
                  <w:tcW w:w="983" w:type="dxa"/>
                  <w:tcBorders>
                    <w:tl2br w:val="nil"/>
                    <w:tr2bl w:val="nil"/>
                  </w:tcBorders>
                  <w:noWrap w:val="0"/>
                  <w:vAlign w:val="center"/>
                </w:tcPr>
                <w:p w14:paraId="55C0D95E">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10kg</w:t>
                  </w:r>
                </w:p>
              </w:tc>
              <w:tc>
                <w:tcPr>
                  <w:tcW w:w="978" w:type="dxa"/>
                  <w:tcBorders>
                    <w:tl2br w:val="nil"/>
                    <w:tr2bl w:val="nil"/>
                  </w:tcBorders>
                  <w:noWrap w:val="0"/>
                  <w:vAlign w:val="center"/>
                </w:tcPr>
                <w:p w14:paraId="19A343D9">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100</w:t>
                  </w:r>
                  <w:r>
                    <w:rPr>
                      <w:rFonts w:hint="default" w:ascii="Times New Roman" w:hAnsi="Times New Roman" w:eastAsia="宋体" w:cs="Times New Roman"/>
                      <w:bCs/>
                      <w:color w:val="auto"/>
                      <w:szCs w:val="21"/>
                      <w:highlight w:val="none"/>
                      <w:lang w:val="en-US" w:eastAsia="zh-CN"/>
                    </w:rPr>
                    <w:t>d</w:t>
                  </w:r>
                </w:p>
              </w:tc>
            </w:tr>
            <w:tr w14:paraId="4C1439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82" w:type="dxa"/>
                  <w:tcBorders>
                    <w:tl2br w:val="nil"/>
                    <w:tr2bl w:val="nil"/>
                  </w:tcBorders>
                  <w:shd w:val="clear" w:color="auto" w:fill="auto"/>
                  <w:noWrap w:val="0"/>
                  <w:vAlign w:val="center"/>
                </w:tcPr>
                <w:p w14:paraId="31872CBA">
                  <w:pPr>
                    <w:adjustRightInd w:val="0"/>
                    <w:snapToGrid w:val="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Cs w:val="21"/>
                      <w:highlight w:val="none"/>
                      <w:lang w:val="en-US" w:eastAsia="zh-CN"/>
                    </w:rPr>
                    <w:t>废弃含油抹布手套</w:t>
                  </w:r>
                </w:p>
              </w:tc>
              <w:tc>
                <w:tcPr>
                  <w:tcW w:w="1346" w:type="dxa"/>
                  <w:tcBorders>
                    <w:tl2br w:val="nil"/>
                    <w:tr2bl w:val="nil"/>
                  </w:tcBorders>
                  <w:shd w:val="clear" w:color="auto" w:fill="auto"/>
                  <w:noWrap w:val="0"/>
                  <w:vAlign w:val="center"/>
                </w:tcPr>
                <w:p w14:paraId="2802334C">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Cs w:val="21"/>
                      <w:highlight w:val="none"/>
                      <w:lang w:val="en-US" w:eastAsia="zh-CN"/>
                    </w:rPr>
                    <w:t>HW08</w:t>
                  </w:r>
                </w:p>
              </w:tc>
              <w:tc>
                <w:tcPr>
                  <w:tcW w:w="1424" w:type="dxa"/>
                  <w:tcBorders>
                    <w:tl2br w:val="nil"/>
                    <w:tr2bl w:val="nil"/>
                  </w:tcBorders>
                  <w:shd w:val="clear" w:color="auto" w:fill="auto"/>
                  <w:noWrap w:val="0"/>
                  <w:vAlign w:val="center"/>
                </w:tcPr>
                <w:p w14:paraId="02A42699">
                  <w:pPr>
                    <w:adjustRightInd w:val="0"/>
                    <w:snapToGrid w:val="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Cs w:val="21"/>
                      <w:highlight w:val="none"/>
                      <w:lang w:val="en-US" w:eastAsia="zh-CN"/>
                    </w:rPr>
                    <w:t>900-041-49</w:t>
                  </w:r>
                </w:p>
              </w:tc>
              <w:tc>
                <w:tcPr>
                  <w:tcW w:w="1094" w:type="dxa"/>
                  <w:tcBorders>
                    <w:tl2br w:val="nil"/>
                    <w:tr2bl w:val="nil"/>
                  </w:tcBorders>
                  <w:shd w:val="clear" w:color="auto" w:fill="auto"/>
                  <w:noWrap w:val="0"/>
                  <w:vAlign w:val="center"/>
                </w:tcPr>
                <w:p w14:paraId="2B5390BB">
                  <w:pPr>
                    <w:adjustRightInd w:val="0"/>
                    <w:snapToGrid w:val="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Cs w:val="21"/>
                      <w:highlight w:val="none"/>
                      <w:lang w:val="en-US" w:eastAsia="zh-CN"/>
                    </w:rPr>
                    <w:t>0.01</w:t>
                  </w:r>
                </w:p>
              </w:tc>
              <w:tc>
                <w:tcPr>
                  <w:tcW w:w="1680" w:type="dxa"/>
                  <w:tcBorders>
                    <w:tl2br w:val="nil"/>
                    <w:tr2bl w:val="nil"/>
                  </w:tcBorders>
                  <w:shd w:val="clear" w:color="auto" w:fill="auto"/>
                  <w:noWrap w:val="0"/>
                  <w:vAlign w:val="center"/>
                </w:tcPr>
                <w:p w14:paraId="31D81ECD">
                  <w:pPr>
                    <w:adjustRightInd w:val="0"/>
                    <w:snapToGrid w:val="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Cs w:val="21"/>
                      <w:highlight w:val="none"/>
                      <w:lang w:val="en-US" w:eastAsia="zh-CN"/>
                    </w:rPr>
                    <w:t>暂存</w:t>
                  </w:r>
                  <w:r>
                    <w:rPr>
                      <w:rFonts w:hint="default" w:ascii="Times New Roman" w:hAnsi="Times New Roman" w:cs="Times New Roman"/>
                      <w:color w:val="auto"/>
                      <w:highlight w:val="none"/>
                      <w:lang w:val="en-US" w:eastAsia="zh-CN"/>
                    </w:rPr>
                    <w:t>危险废物贮存点</w:t>
                  </w:r>
                  <w:r>
                    <w:rPr>
                      <w:rFonts w:hint="default" w:ascii="Times New Roman" w:hAnsi="Times New Roman" w:eastAsia="宋体" w:cs="Times New Roman"/>
                      <w:bCs/>
                      <w:color w:val="auto"/>
                      <w:szCs w:val="21"/>
                      <w:highlight w:val="none"/>
                      <w:lang w:val="en-US" w:eastAsia="zh-CN"/>
                    </w:rPr>
                    <w:t>内</w:t>
                  </w:r>
                  <w:r>
                    <w:rPr>
                      <w:rFonts w:hint="default" w:ascii="Times New Roman" w:hAnsi="Times New Roman" w:cs="Times New Roman"/>
                      <w:bCs/>
                      <w:color w:val="auto"/>
                      <w:szCs w:val="21"/>
                      <w:highlight w:val="none"/>
                      <w:lang w:val="en-US" w:eastAsia="zh-CN"/>
                    </w:rPr>
                    <w:t>密闭容器内</w:t>
                  </w:r>
                </w:p>
              </w:tc>
              <w:tc>
                <w:tcPr>
                  <w:tcW w:w="983" w:type="dxa"/>
                  <w:tcBorders>
                    <w:tl2br w:val="nil"/>
                    <w:tr2bl w:val="nil"/>
                  </w:tcBorders>
                  <w:shd w:val="clear" w:color="auto" w:fill="auto"/>
                  <w:noWrap w:val="0"/>
                  <w:vAlign w:val="center"/>
                </w:tcPr>
                <w:p w14:paraId="6A79E232">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Cs w:val="21"/>
                      <w:highlight w:val="none"/>
                      <w:lang w:val="en-US" w:eastAsia="zh-CN"/>
                    </w:rPr>
                    <w:t>10kg</w:t>
                  </w:r>
                </w:p>
              </w:tc>
              <w:tc>
                <w:tcPr>
                  <w:tcW w:w="978" w:type="dxa"/>
                  <w:tcBorders>
                    <w:tl2br w:val="nil"/>
                    <w:tr2bl w:val="nil"/>
                  </w:tcBorders>
                  <w:shd w:val="clear" w:color="auto" w:fill="auto"/>
                  <w:noWrap w:val="0"/>
                  <w:vAlign w:val="center"/>
                </w:tcPr>
                <w:p w14:paraId="0856F84B">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Cs w:val="21"/>
                      <w:highlight w:val="none"/>
                      <w:lang w:val="en-US" w:eastAsia="zh-CN"/>
                    </w:rPr>
                    <w:t>100</w:t>
                  </w:r>
                  <w:r>
                    <w:rPr>
                      <w:rFonts w:hint="default" w:ascii="Times New Roman" w:hAnsi="Times New Roman" w:eastAsia="宋体" w:cs="Times New Roman"/>
                      <w:bCs/>
                      <w:color w:val="auto"/>
                      <w:szCs w:val="21"/>
                      <w:highlight w:val="none"/>
                      <w:lang w:val="en-US" w:eastAsia="zh-CN"/>
                    </w:rPr>
                    <w:t>d</w:t>
                  </w:r>
                </w:p>
              </w:tc>
            </w:tr>
          </w:tbl>
          <w:p w14:paraId="022B440E">
            <w:pPr>
              <w:keepNext w:val="0"/>
              <w:keepLines w:val="0"/>
              <w:pageBreakBefore w:val="0"/>
              <w:widowControl/>
              <w:numPr>
                <w:ilvl w:val="0"/>
                <w:numId w:val="0"/>
              </w:numPr>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kern w:val="2"/>
                <w:sz w:val="24"/>
                <w:szCs w:val="24"/>
                <w:lang w:val="en-US" w:eastAsia="zh-CN" w:bidi="ar-SA"/>
              </w:rPr>
              <w:t>2）</w:t>
            </w:r>
            <w:r>
              <w:rPr>
                <w:rFonts w:hint="default" w:ascii="Times New Roman" w:hAnsi="Times New Roman" w:eastAsia="宋体" w:cs="Times New Roman"/>
                <w:color w:val="auto"/>
                <w:sz w:val="24"/>
                <w:szCs w:val="24"/>
                <w:highlight w:val="none"/>
                <w:lang w:val="en-US" w:eastAsia="zh-CN"/>
              </w:rPr>
              <w:t>环境管理要求</w:t>
            </w:r>
          </w:p>
          <w:p w14:paraId="023C6ECF">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本项目</w:t>
            </w:r>
            <w:r>
              <w:rPr>
                <w:rFonts w:hint="default" w:ascii="Times New Roman" w:hAnsi="Times New Roman" w:cs="Times New Roman"/>
                <w:bCs/>
                <w:color w:val="auto"/>
                <w:sz w:val="24"/>
                <w:highlight w:val="none"/>
                <w:lang w:eastAsia="zh-CN"/>
              </w:rPr>
              <w:t>危险废物贮存点</w:t>
            </w:r>
            <w:r>
              <w:rPr>
                <w:rFonts w:hint="default" w:ascii="Times New Roman" w:hAnsi="Times New Roman" w:cs="Times New Roman"/>
                <w:bCs/>
                <w:color w:val="auto"/>
                <w:sz w:val="24"/>
                <w:highlight w:val="none"/>
              </w:rPr>
              <w:t>的设置应按《危险废物贮存污染控制标准》（GB18597-20</w:t>
            </w:r>
            <w:r>
              <w:rPr>
                <w:rFonts w:hint="default" w:ascii="Times New Roman" w:hAnsi="Times New Roman" w:cs="Times New Roman"/>
                <w:bCs/>
                <w:color w:val="auto"/>
                <w:sz w:val="24"/>
                <w:highlight w:val="none"/>
                <w:lang w:val="en-US" w:eastAsia="zh-CN"/>
              </w:rPr>
              <w:t>23</w:t>
            </w:r>
            <w:r>
              <w:rPr>
                <w:rFonts w:hint="default" w:ascii="Times New Roman" w:hAnsi="Times New Roman" w:cs="Times New Roman"/>
                <w:bCs/>
                <w:color w:val="auto"/>
                <w:sz w:val="24"/>
                <w:highlight w:val="none"/>
              </w:rPr>
              <w:t>）相关要求进行设置，并做到以下几点：</w:t>
            </w:r>
          </w:p>
          <w:p w14:paraId="01A2CAF9">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①危险废物贮存设施必须按《环境保护图形标志》（GB15562-1995）的规定设置警示标志，危险废物识别标识包括危险废物信息公开栏、贮存设施警示标志牌和包装识别标签；</w:t>
            </w:r>
          </w:p>
          <w:p w14:paraId="57A5E9DF">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②危险废物贮存场所应设置成防风、防雨、防晒、防渗，废物贮存设施周围应设置围墙或其它防护栅栏；</w:t>
            </w:r>
          </w:p>
          <w:p w14:paraId="7683E9BC">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③废物贮存设施应配备通讯设备、照明设施、安全防护服装及工具，并设有应急防护设施，危废仓库出入口、仓库内部以及危险废物运输车辆通道等关键位置按照危险废物贮存设施视频监控布设要求设置视频监控，并与企业中控室联网；</w:t>
            </w:r>
          </w:p>
          <w:p w14:paraId="157A81AF">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④废物贮存设施内清理出来的泄漏物，一律按危险废物处理；</w:t>
            </w:r>
          </w:p>
          <w:p w14:paraId="4DF6F7AC">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⑤装载液体危险废物的容器内须留足够空间，容器顶部与液体表面之间保留100mm以上的空间；</w:t>
            </w:r>
          </w:p>
          <w:p w14:paraId="27E838F9">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⑥应当使用符合标准的容器盛装危险废物</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承装易挥发危险废物的容器严格密闭，防止其挥发</w:t>
            </w:r>
            <w:r>
              <w:rPr>
                <w:rFonts w:hint="default" w:ascii="Times New Roman" w:hAnsi="Times New Roman" w:cs="Times New Roman"/>
                <w:bCs/>
                <w:color w:val="auto"/>
                <w:sz w:val="24"/>
                <w:highlight w:val="none"/>
              </w:rPr>
              <w:t>；</w:t>
            </w:r>
          </w:p>
          <w:p w14:paraId="7B060C57">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⑦危险废物贮存前应进行检验，确保同预定接收的危险废物一致，并注册登记，</w:t>
            </w:r>
            <w:r>
              <w:rPr>
                <w:rFonts w:hint="default" w:ascii="Times New Roman" w:hAnsi="Times New Roman" w:cs="Times New Roman"/>
                <w:bCs/>
                <w:color w:val="auto"/>
                <w:sz w:val="24"/>
                <w:highlight w:val="none"/>
                <w:lang w:eastAsia="zh-CN"/>
              </w:rPr>
              <w:t>做好</w:t>
            </w:r>
            <w:r>
              <w:rPr>
                <w:rFonts w:hint="default" w:ascii="Times New Roman" w:hAnsi="Times New Roman" w:cs="Times New Roman"/>
                <w:bCs/>
                <w:color w:val="auto"/>
                <w:sz w:val="24"/>
                <w:highlight w:val="none"/>
              </w:rPr>
              <w:t>记录，记录上须注明危险废物的名称、来源、数量、特性和包装容器的类别、入库日期、存放库位、废物出库日期及</w:t>
            </w:r>
            <w:r>
              <w:rPr>
                <w:rFonts w:hint="default" w:ascii="Times New Roman" w:hAnsi="Times New Roman" w:cs="Times New Roman"/>
                <w:bCs/>
                <w:color w:val="auto"/>
                <w:sz w:val="24"/>
                <w:highlight w:val="none"/>
                <w:lang w:eastAsia="zh-CN"/>
              </w:rPr>
              <w:t>接收单位</w:t>
            </w:r>
            <w:r>
              <w:rPr>
                <w:rFonts w:hint="default" w:ascii="Times New Roman" w:hAnsi="Times New Roman" w:cs="Times New Roman"/>
                <w:bCs/>
                <w:color w:val="auto"/>
                <w:sz w:val="24"/>
                <w:highlight w:val="none"/>
              </w:rPr>
              <w:t>名称；</w:t>
            </w:r>
          </w:p>
          <w:p w14:paraId="711ED6F0">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⑧必须定期对贮存危险废物的包装容器及贮存设施进行检查，发现破损，应及时采取措施清理更换；</w:t>
            </w:r>
          </w:p>
          <w:p w14:paraId="31AD64A6">
            <w:pPr>
              <w:pStyle w:val="19"/>
              <w:ind w:left="0" w:leftChars="0" w:firstLine="0" w:firstLineChars="0"/>
              <w:rPr>
                <w:rFonts w:hint="default" w:ascii="Times New Roman" w:hAnsi="Times New Roman" w:eastAsia="宋体" w:cs="Times New Roman"/>
                <w:color w:val="auto"/>
                <w:sz w:val="24"/>
                <w:szCs w:val="24"/>
                <w:lang w:val="en-US" w:eastAsia="zh-CN"/>
              </w:rPr>
            </w:pPr>
            <w:r>
              <w:rPr>
                <w:rFonts w:hint="default" w:ascii="Times New Roman" w:hAnsi="Times New Roman" w:cs="Times New Roman"/>
                <w:bCs/>
                <w:color w:val="auto"/>
                <w:sz w:val="24"/>
                <w:highlight w:val="none"/>
                <w:lang w:val="en-US" w:eastAsia="zh-CN"/>
              </w:rPr>
              <w:t xml:space="preserve">    ⑨危险废物贮存点要做好防渗措施，</w:t>
            </w:r>
            <w:r>
              <w:rPr>
                <w:rFonts w:hint="default" w:ascii="Times New Roman" w:hAnsi="Times New Roman" w:eastAsia="宋体" w:cs="Times New Roman"/>
                <w:bCs/>
                <w:color w:val="auto"/>
                <w:sz w:val="24"/>
                <w:szCs w:val="24"/>
                <w:highlight w:val="none"/>
                <w:lang w:val="en-US" w:eastAsia="zh-CN"/>
              </w:rPr>
              <w:t>至少2mm厚的防渗人工材料，防渗系数≤10</w:t>
            </w:r>
            <w:r>
              <w:rPr>
                <w:rFonts w:hint="default" w:ascii="Times New Roman" w:hAnsi="Times New Roman" w:eastAsia="宋体" w:cs="Times New Roman"/>
                <w:bCs/>
                <w:color w:val="auto"/>
                <w:sz w:val="24"/>
                <w:szCs w:val="24"/>
                <w:highlight w:val="none"/>
                <w:vertAlign w:val="superscript"/>
                <w:lang w:val="en-US" w:eastAsia="zh-CN"/>
              </w:rPr>
              <w:t>-</w:t>
            </w:r>
            <w:r>
              <w:rPr>
                <w:rFonts w:hint="default" w:ascii="Times New Roman" w:hAnsi="Times New Roman" w:cs="Times New Roman"/>
                <w:bCs/>
                <w:color w:val="auto"/>
                <w:sz w:val="24"/>
                <w:szCs w:val="24"/>
                <w:highlight w:val="none"/>
                <w:vertAlign w:val="superscript"/>
                <w:lang w:val="en-US" w:eastAsia="zh-CN"/>
              </w:rPr>
              <w:t>10</w:t>
            </w:r>
            <w:r>
              <w:rPr>
                <w:rFonts w:hint="default" w:ascii="Times New Roman" w:hAnsi="Times New Roman" w:eastAsia="宋体" w:cs="Times New Roman"/>
                <w:bCs/>
                <w:color w:val="auto"/>
                <w:sz w:val="24"/>
                <w:szCs w:val="24"/>
                <w:highlight w:val="none"/>
                <w:lang w:val="en-US" w:eastAsia="zh-CN"/>
              </w:rPr>
              <w:t>cm/s</w:t>
            </w:r>
            <w:r>
              <w:rPr>
                <w:rFonts w:hint="default" w:ascii="Times New Roman" w:hAnsi="Times New Roman" w:cs="Times New Roman"/>
                <w:bCs/>
                <w:color w:val="auto"/>
                <w:sz w:val="24"/>
                <w:szCs w:val="24"/>
                <w:highlight w:val="none"/>
                <w:lang w:val="en-US" w:eastAsia="zh-CN"/>
              </w:rPr>
              <w:t>。</w:t>
            </w:r>
          </w:p>
          <w:p w14:paraId="3C6A76DF">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对于委托处理的固体废物，其运输转移过程中需做到以下几点：</w:t>
            </w:r>
          </w:p>
          <w:p w14:paraId="6D825042">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①本项目危险废物必须及时运送至危险废物处置单位进行处置，运输过程必须符合国家对危险废物的运输要求。应由固废接收单位的专用车进行运输，该运输车辆须经主管单位检查，并持有有关单位签发的许可证，负责运输的司机应通过培训，持有证明文件。承载危险废物的车辆须有明显的标志或适当的危险符号，以引起注意。运输过程中要注意危险废物安全单独运输，固废的包装容器要注意密闭，以免在运输途中发生泄漏，从而危害环境；</w:t>
            </w:r>
          </w:p>
          <w:p w14:paraId="23CD4BF4">
            <w:pPr>
              <w:adjustRightInd w:val="0"/>
              <w:snapToGrid w:val="0"/>
              <w:spacing w:line="360" w:lineRule="auto"/>
              <w:ind w:firstLine="480" w:firstLineChars="200"/>
              <w:rPr>
                <w:rFonts w:hint="default" w:ascii="Times New Roman" w:hAnsi="Times New Roman" w:eastAsia="宋体" w:cs="Times New Roman"/>
                <w:bCs/>
                <w:color w:val="auto"/>
                <w:sz w:val="24"/>
                <w:highlight w:val="none"/>
              </w:rPr>
            </w:pPr>
            <w:r>
              <w:rPr>
                <w:rFonts w:hint="default" w:ascii="Times New Roman" w:hAnsi="Times New Roman" w:cs="Times New Roman"/>
                <w:bCs/>
                <w:color w:val="auto"/>
                <w:sz w:val="24"/>
                <w:highlight w:val="none"/>
              </w:rPr>
              <w:t>②本项目在危险废物转移的过程中严格执行《危险废物转移管理办法》（生态环境部 公安部 交通运输部 部令 第23号），危险废物的转运必须填写</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五联单</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，且必须</w:t>
            </w:r>
            <w:r>
              <w:rPr>
                <w:rFonts w:hint="default" w:ascii="Times New Roman" w:hAnsi="Times New Roman" w:eastAsia="宋体" w:cs="Times New Roman"/>
                <w:bCs/>
                <w:color w:val="auto"/>
                <w:sz w:val="24"/>
                <w:highlight w:val="none"/>
              </w:rPr>
              <w:t>符合国家及</w:t>
            </w:r>
            <w:r>
              <w:rPr>
                <w:rFonts w:hint="default" w:ascii="Times New Roman" w:hAnsi="Times New Roman" w:eastAsia="宋体" w:cs="Times New Roman"/>
                <w:bCs/>
                <w:color w:val="auto"/>
                <w:sz w:val="24"/>
                <w:highlight w:val="none"/>
                <w:lang w:val="en-US" w:eastAsia="zh-CN"/>
              </w:rPr>
              <w:t>黑龙江</w:t>
            </w:r>
            <w:r>
              <w:rPr>
                <w:rFonts w:hint="default" w:ascii="Times New Roman" w:hAnsi="Times New Roman" w:eastAsia="宋体" w:cs="Times New Roman"/>
                <w:bCs/>
                <w:color w:val="auto"/>
                <w:sz w:val="24"/>
                <w:highlight w:val="none"/>
              </w:rPr>
              <w:t>省对危险废物转运的相关规定；</w:t>
            </w:r>
          </w:p>
          <w:p w14:paraId="5B203496">
            <w:pPr>
              <w:adjustRightInd w:val="0"/>
              <w:snapToGrid w:val="0"/>
              <w:spacing w:line="360" w:lineRule="auto"/>
              <w:ind w:firstLine="480" w:firstLineChars="200"/>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③载有危险废物的车辆在公路上行驶时，需持有运输许可证，其上应注明废物来源、性质和运往地点。装载危险废物车辆的行驶路线须绕开人口密集的居民区和受保护的水体等环境保护目标。组织危险废物的运输单位，在事先需</w:t>
            </w:r>
            <w:r>
              <w:rPr>
                <w:rFonts w:hint="default" w:ascii="Times New Roman" w:hAnsi="Times New Roman" w:cs="Times New Roman"/>
                <w:bCs/>
                <w:color w:val="auto"/>
                <w:sz w:val="24"/>
                <w:highlight w:val="none"/>
                <w:lang w:eastAsia="zh-CN"/>
              </w:rPr>
              <w:t>做出</w:t>
            </w:r>
            <w:r>
              <w:rPr>
                <w:rFonts w:hint="default" w:ascii="Times New Roman" w:hAnsi="Times New Roman" w:eastAsia="宋体" w:cs="Times New Roman"/>
                <w:bCs/>
                <w:color w:val="auto"/>
                <w:sz w:val="24"/>
                <w:highlight w:val="none"/>
              </w:rPr>
              <w:t>周密的运输计划和行驶路线，其中包括有效的废物</w:t>
            </w:r>
            <w:r>
              <w:rPr>
                <w:rFonts w:hint="default" w:ascii="Times New Roman" w:hAnsi="Times New Roman" w:cs="Times New Roman"/>
                <w:bCs/>
                <w:color w:val="auto"/>
                <w:sz w:val="24"/>
                <w:highlight w:val="none"/>
                <w:lang w:eastAsia="zh-CN"/>
              </w:rPr>
              <w:t>泄漏</w:t>
            </w:r>
            <w:r>
              <w:rPr>
                <w:rFonts w:hint="default" w:ascii="Times New Roman" w:hAnsi="Times New Roman" w:eastAsia="宋体" w:cs="Times New Roman"/>
                <w:bCs/>
                <w:color w:val="auto"/>
                <w:sz w:val="24"/>
                <w:highlight w:val="none"/>
              </w:rPr>
              <w:t>情况下的应急措施；</w:t>
            </w:r>
          </w:p>
          <w:p w14:paraId="0B53D7E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rPr>
              <w:t>④生活垃圾清运车辆（包括机动车辆和非机动车辆）运输垃圾应符合下列质量要求：车容应整洁，车体外部无污物、灰垢，标志应清晰；运输垃圾应密闭，在运输过程中无垃圾扬、撒、拖挂和污水滴漏；垃圾装运量应以车辆的额定荷载和有效容积为限，不得超重、超高运输；装卸垃圾应符合作业要求，不得乱倒、乱卸、乱抛垃圾；运输作业结束，应将车辆清洗干净</w:t>
            </w:r>
            <w:r>
              <w:rPr>
                <w:rFonts w:hint="default" w:ascii="Times New Roman" w:hAnsi="Times New Roman" w:eastAsia="宋体" w:cs="Times New Roman"/>
                <w:bCs/>
                <w:color w:val="auto"/>
                <w:sz w:val="24"/>
                <w:highlight w:val="none"/>
                <w:lang w:eastAsia="zh-CN"/>
              </w:rPr>
              <w:t>。</w:t>
            </w:r>
          </w:p>
          <w:p w14:paraId="1F336AE0">
            <w:pPr>
              <w:keepNext w:val="0"/>
              <w:keepLines w:val="0"/>
              <w:pageBreakBefore w:val="0"/>
              <w:widowControl w:val="0"/>
              <w:kinsoku/>
              <w:wordWrap/>
              <w:overflowPunct/>
              <w:topLinePunct w:val="0"/>
              <w:autoSpaceDE/>
              <w:autoSpaceDN/>
              <w:bidi w:val="0"/>
              <w:spacing w:line="360" w:lineRule="auto"/>
              <w:textAlignment w:val="auto"/>
              <w:rPr>
                <w:rFonts w:hint="default" w:ascii="Times New Roman" w:hAnsi="Times New Roman" w:eastAsia="宋体" w:cs="Times New Roman"/>
                <w:b/>
                <w:color w:val="auto"/>
                <w:sz w:val="24"/>
                <w:highlight w:val="none"/>
                <w:lang w:val="en-US" w:eastAsia="zh-CN"/>
              </w:rPr>
            </w:pPr>
            <w:r>
              <w:rPr>
                <w:rFonts w:hint="default" w:ascii="Times New Roman" w:hAnsi="Times New Roman" w:cs="Times New Roman"/>
                <w:b/>
                <w:color w:val="auto"/>
                <w:sz w:val="24"/>
                <w:highlight w:val="none"/>
                <w:lang w:val="en-US" w:eastAsia="zh-CN"/>
              </w:rPr>
              <w:t>5</w:t>
            </w:r>
            <w:r>
              <w:rPr>
                <w:rFonts w:hint="default" w:ascii="Times New Roman" w:hAnsi="Times New Roman" w:cs="Times New Roman"/>
                <w:b/>
                <w:color w:val="auto"/>
                <w:sz w:val="24"/>
                <w:highlight w:val="none"/>
              </w:rPr>
              <w:t>、地下</w:t>
            </w:r>
            <w:r>
              <w:rPr>
                <w:rFonts w:hint="default" w:ascii="Times New Roman" w:hAnsi="Times New Roman" w:cs="Times New Roman"/>
                <w:b/>
                <w:color w:val="auto"/>
                <w:sz w:val="21"/>
                <w:szCs w:val="21"/>
                <w:highlight w:val="none"/>
              </w:rPr>
              <w:t>水</w:t>
            </w:r>
            <w:r>
              <w:rPr>
                <w:rFonts w:hint="default" w:ascii="Times New Roman" w:hAnsi="Times New Roman" w:cs="Times New Roman"/>
                <w:b/>
                <w:color w:val="auto"/>
                <w:sz w:val="21"/>
                <w:szCs w:val="21"/>
                <w:highlight w:val="none"/>
                <w:lang w:eastAsia="zh-CN"/>
              </w:rPr>
              <w:t>、</w:t>
            </w:r>
            <w:r>
              <w:rPr>
                <w:rFonts w:hint="default" w:ascii="Times New Roman" w:hAnsi="Times New Roman" w:cs="Times New Roman"/>
                <w:b/>
                <w:color w:val="auto"/>
                <w:sz w:val="21"/>
                <w:szCs w:val="21"/>
                <w:highlight w:val="none"/>
                <w:lang w:val="en-US" w:eastAsia="zh-CN"/>
              </w:rPr>
              <w:t>土</w:t>
            </w:r>
            <w:r>
              <w:rPr>
                <w:rFonts w:hint="default" w:ascii="Times New Roman" w:hAnsi="Times New Roman" w:cs="Times New Roman"/>
                <w:b/>
                <w:color w:val="auto"/>
                <w:sz w:val="24"/>
                <w:highlight w:val="none"/>
                <w:lang w:val="en-US" w:eastAsia="zh-CN"/>
              </w:rPr>
              <w:t>壤</w:t>
            </w:r>
          </w:p>
          <w:p w14:paraId="195DDD2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根据《建设项目环境影响报告表编制技术指南</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污染影响类</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试行</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本项目不涉及集中式饮用水水源和热水、矿泉水、温泉等特殊地下水资源保护区，可不开展地下水专项评价工作；土壤不开展专项评价工作。</w:t>
            </w:r>
          </w:p>
          <w:p w14:paraId="543A2D2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1</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污染源、污染途径</w:t>
            </w:r>
          </w:p>
          <w:p w14:paraId="7EC0912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rPr>
              <w:t>本项目运营期废水主要为职工生活污水和厂区初期雨水。正常状况下，上述废水可做到无废水外排</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不存在对地下水和土壤污染的途径</w:t>
            </w:r>
            <w:r>
              <w:rPr>
                <w:rFonts w:hint="default" w:ascii="Times New Roman" w:hAnsi="Times New Roman" w:cs="Times New Roman"/>
                <w:color w:val="auto"/>
                <w:sz w:val="24"/>
              </w:rPr>
              <w:t>。废水对地下水、土壤可能造成污染的主要途径为非正常状态</w:t>
            </w:r>
            <w:r>
              <w:rPr>
                <w:rFonts w:hint="default" w:ascii="Times New Roman" w:hAnsi="Times New Roman" w:cs="Times New Roman"/>
                <w:color w:val="auto"/>
                <w:sz w:val="24"/>
                <w:lang w:eastAsia="zh-CN"/>
              </w:rPr>
              <w:t>初期雨水收集池</w:t>
            </w:r>
            <w:r>
              <w:rPr>
                <w:rFonts w:hint="default" w:ascii="Times New Roman" w:hAnsi="Times New Roman" w:cs="Times New Roman"/>
                <w:color w:val="auto"/>
                <w:sz w:val="24"/>
              </w:rPr>
              <w:t>破损时发生的渗漏。</w:t>
            </w:r>
          </w:p>
          <w:p w14:paraId="470361F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污染物类型</w:t>
            </w:r>
          </w:p>
          <w:p w14:paraId="1FFE700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污染物通过土层垂直下渗首先经过表土，再进入包气带，在包气带污染物可以得到一定程度的净化，不能被净化或固定的污染物随入渗水进入地下水层。本项目废水污染物以有机物及悬浮物为主。</w:t>
            </w:r>
          </w:p>
          <w:p w14:paraId="617402B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（3</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地下水、土壤环境保护措施</w:t>
            </w:r>
          </w:p>
          <w:p w14:paraId="391E271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①源头控制</w:t>
            </w:r>
          </w:p>
          <w:p w14:paraId="320C0BA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源头控制措施主要包括在</w:t>
            </w:r>
            <w:r>
              <w:rPr>
                <w:rFonts w:hint="default" w:ascii="Times New Roman" w:hAnsi="Times New Roman" w:cs="Times New Roman"/>
                <w:color w:val="auto"/>
                <w:sz w:val="24"/>
                <w:highlight w:val="none"/>
                <w:lang w:eastAsia="zh-CN"/>
              </w:rPr>
              <w:t>初期雨水收集池</w:t>
            </w:r>
            <w:r>
              <w:rPr>
                <w:rFonts w:hint="default" w:ascii="Times New Roman" w:hAnsi="Times New Roman" w:eastAsia="宋体" w:cs="Times New Roman"/>
                <w:color w:val="auto"/>
                <w:sz w:val="24"/>
                <w:highlight w:val="none"/>
                <w:lang w:eastAsia="zh-CN"/>
              </w:rPr>
              <w:t>等构筑物采取相应措施，降低污染物渗漏的环境风险。本项目生活污水、初期雨水可以做到全部回用，无废水外排，从源头上减少了废水的排放量。</w:t>
            </w:r>
          </w:p>
          <w:p w14:paraId="1627292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②分区防控</w:t>
            </w:r>
          </w:p>
          <w:p w14:paraId="72D9305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color w:val="auto"/>
                <w:sz w:val="24"/>
                <w:lang w:eastAsia="zh-CN"/>
              </w:rPr>
              <w:t>根据建设项目场地天然包气带防污性能、污染控制难易程度和污染物特性，提出以下防渗技术要求。</w:t>
            </w:r>
          </w:p>
          <w:p w14:paraId="4C709473">
            <w:pPr>
              <w:adjustRightInd w:val="0"/>
              <w:snapToGrid w:val="0"/>
              <w:jc w:val="center"/>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表4-</w:t>
            </w:r>
            <w:r>
              <w:rPr>
                <w:rFonts w:hint="default" w:ascii="Times New Roman" w:hAnsi="Times New Roman" w:cs="Times New Roman"/>
                <w:b/>
                <w:bCs/>
                <w:color w:val="auto"/>
                <w:kern w:val="2"/>
                <w:sz w:val="24"/>
                <w:szCs w:val="24"/>
                <w:lang w:val="en-US" w:eastAsia="zh-CN" w:bidi="ar-SA"/>
              </w:rPr>
              <w:t>9</w:t>
            </w:r>
            <w:r>
              <w:rPr>
                <w:rFonts w:hint="default" w:ascii="Times New Roman" w:hAnsi="Times New Roman" w:eastAsia="宋体" w:cs="Times New Roman"/>
                <w:b/>
                <w:bCs/>
                <w:color w:val="auto"/>
                <w:kern w:val="2"/>
                <w:sz w:val="24"/>
                <w:szCs w:val="24"/>
                <w:lang w:val="en-US" w:eastAsia="zh-CN" w:bidi="ar-SA"/>
              </w:rPr>
              <w:t xml:space="preserve"> 分区防控措施</w:t>
            </w:r>
          </w:p>
          <w:tbl>
            <w:tblPr>
              <w:tblStyle w:val="21"/>
              <w:tblW w:w="0" w:type="auto"/>
              <w:tblInd w:w="5"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91"/>
              <w:gridCol w:w="1738"/>
              <w:gridCol w:w="1312"/>
              <w:gridCol w:w="5236"/>
            </w:tblGrid>
            <w:tr w14:paraId="215BA51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1" w:type="dxa"/>
                  <w:tcBorders>
                    <w:tl2br w:val="nil"/>
                    <w:tr2bl w:val="nil"/>
                  </w:tcBorders>
                  <w:vAlign w:val="center"/>
                </w:tcPr>
                <w:p w14:paraId="499013C6">
                  <w:pPr>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序号</w:t>
                  </w:r>
                </w:p>
              </w:tc>
              <w:tc>
                <w:tcPr>
                  <w:tcW w:w="1738" w:type="dxa"/>
                  <w:tcBorders>
                    <w:tl2br w:val="nil"/>
                    <w:tr2bl w:val="nil"/>
                  </w:tcBorders>
                  <w:vAlign w:val="center"/>
                </w:tcPr>
                <w:p w14:paraId="52DCD100">
                  <w:pPr>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场地</w:t>
                  </w:r>
                </w:p>
              </w:tc>
              <w:tc>
                <w:tcPr>
                  <w:tcW w:w="1312" w:type="dxa"/>
                  <w:tcBorders>
                    <w:tl2br w:val="nil"/>
                    <w:tr2bl w:val="nil"/>
                  </w:tcBorders>
                  <w:vAlign w:val="center"/>
                </w:tcPr>
                <w:p w14:paraId="739AD593">
                  <w:pPr>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防渗分区</w:t>
                  </w:r>
                </w:p>
              </w:tc>
              <w:tc>
                <w:tcPr>
                  <w:tcW w:w="5236" w:type="dxa"/>
                  <w:tcBorders>
                    <w:tl2br w:val="nil"/>
                    <w:tr2bl w:val="nil"/>
                  </w:tcBorders>
                  <w:vAlign w:val="center"/>
                </w:tcPr>
                <w:p w14:paraId="105C7D3E">
                  <w:pPr>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防渗技术要求</w:t>
                  </w:r>
                </w:p>
              </w:tc>
            </w:tr>
            <w:tr w14:paraId="58E1C56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1" w:type="dxa"/>
                  <w:tcBorders>
                    <w:tl2br w:val="nil"/>
                    <w:tr2bl w:val="nil"/>
                  </w:tcBorders>
                  <w:vAlign w:val="center"/>
                </w:tcPr>
                <w:p w14:paraId="2B3B70C5">
                  <w:pPr>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1</w:t>
                  </w:r>
                </w:p>
              </w:tc>
              <w:tc>
                <w:tcPr>
                  <w:tcW w:w="1738" w:type="dxa"/>
                  <w:tcBorders>
                    <w:tl2br w:val="nil"/>
                    <w:tr2bl w:val="nil"/>
                  </w:tcBorders>
                  <w:vAlign w:val="center"/>
                </w:tcPr>
                <w:p w14:paraId="6AE9DB71">
                  <w:pPr>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煤炭堆场</w:t>
                  </w:r>
                </w:p>
              </w:tc>
              <w:tc>
                <w:tcPr>
                  <w:tcW w:w="1312" w:type="dxa"/>
                  <w:vMerge w:val="restart"/>
                  <w:tcBorders>
                    <w:tl2br w:val="nil"/>
                    <w:tr2bl w:val="nil"/>
                  </w:tcBorders>
                  <w:vAlign w:val="center"/>
                </w:tcPr>
                <w:p w14:paraId="735BE018">
                  <w:pPr>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一般防渗区</w:t>
                  </w:r>
                </w:p>
              </w:tc>
              <w:tc>
                <w:tcPr>
                  <w:tcW w:w="5236" w:type="dxa"/>
                  <w:vMerge w:val="restart"/>
                  <w:tcBorders>
                    <w:tl2br w:val="nil"/>
                    <w:tr2bl w:val="nil"/>
                  </w:tcBorders>
                  <w:vAlign w:val="center"/>
                </w:tcPr>
                <w:p w14:paraId="39E7BFC1">
                  <w:pPr>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水泥硬化，</w:t>
                  </w:r>
                  <w:r>
                    <w:rPr>
                      <w:rFonts w:hint="default" w:ascii="Times New Roman" w:hAnsi="Times New Roman" w:eastAsia="宋体" w:cs="Times New Roman"/>
                      <w:bCs/>
                      <w:color w:val="auto"/>
                      <w:sz w:val="21"/>
                      <w:szCs w:val="21"/>
                      <w:highlight w:val="none"/>
                      <w:lang w:val="en-US" w:eastAsia="zh-CN"/>
                    </w:rPr>
                    <w:t>等效粘土防渗层Mb≥1.5m，K</w:t>
                  </w:r>
                  <w:r>
                    <w:rPr>
                      <w:rFonts w:hint="default" w:ascii="Times New Roman" w:hAnsi="Times New Roman" w:eastAsia="宋体" w:cs="Times New Roman"/>
                      <w:color w:val="auto"/>
                      <w:sz w:val="21"/>
                      <w:szCs w:val="21"/>
                      <w:highlight w:val="none"/>
                    </w:rPr>
                    <w:t>≤1.0×10</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vertAlign w:val="superscript"/>
                      <w:lang w:val="en-US" w:eastAsia="zh-CN"/>
                    </w:rPr>
                    <w:t>7</w:t>
                  </w:r>
                  <w:r>
                    <w:rPr>
                      <w:rFonts w:hint="default" w:ascii="Times New Roman" w:hAnsi="Times New Roman" w:eastAsia="宋体" w:cs="Times New Roman"/>
                      <w:color w:val="auto"/>
                      <w:sz w:val="21"/>
                      <w:szCs w:val="21"/>
                      <w:highlight w:val="none"/>
                    </w:rPr>
                    <w:t>cm/s</w:t>
                  </w:r>
                </w:p>
              </w:tc>
            </w:tr>
            <w:tr w14:paraId="4D49F8E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1" w:type="dxa"/>
                  <w:tcBorders>
                    <w:tl2br w:val="nil"/>
                    <w:tr2bl w:val="nil"/>
                  </w:tcBorders>
                  <w:vAlign w:val="center"/>
                </w:tcPr>
                <w:p w14:paraId="529185BC">
                  <w:pPr>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2</w:t>
                  </w:r>
                </w:p>
              </w:tc>
              <w:tc>
                <w:tcPr>
                  <w:tcW w:w="1738" w:type="dxa"/>
                  <w:tcBorders>
                    <w:tl2br w:val="nil"/>
                    <w:tr2bl w:val="nil"/>
                  </w:tcBorders>
                  <w:vAlign w:val="center"/>
                </w:tcPr>
                <w:p w14:paraId="6202E06F">
                  <w:pPr>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厂内旱厕</w:t>
                  </w:r>
                </w:p>
              </w:tc>
              <w:tc>
                <w:tcPr>
                  <w:tcW w:w="1312" w:type="dxa"/>
                  <w:vMerge w:val="continue"/>
                  <w:tcBorders>
                    <w:tl2br w:val="nil"/>
                    <w:tr2bl w:val="nil"/>
                  </w:tcBorders>
                  <w:vAlign w:val="center"/>
                </w:tcPr>
                <w:p w14:paraId="1E9DDB76">
                  <w:pPr>
                    <w:jc w:val="center"/>
                    <w:rPr>
                      <w:rFonts w:hint="default" w:ascii="Times New Roman" w:hAnsi="Times New Roman" w:eastAsia="宋体" w:cs="Times New Roman"/>
                      <w:bCs/>
                      <w:color w:val="auto"/>
                      <w:szCs w:val="21"/>
                      <w:lang w:val="en-US" w:eastAsia="zh-CN"/>
                    </w:rPr>
                  </w:pPr>
                </w:p>
              </w:tc>
              <w:tc>
                <w:tcPr>
                  <w:tcW w:w="5236" w:type="dxa"/>
                  <w:vMerge w:val="continue"/>
                  <w:tcBorders>
                    <w:tl2br w:val="nil"/>
                    <w:tr2bl w:val="nil"/>
                  </w:tcBorders>
                  <w:vAlign w:val="center"/>
                </w:tcPr>
                <w:p w14:paraId="3FF37DDB">
                  <w:pPr>
                    <w:jc w:val="center"/>
                    <w:rPr>
                      <w:rFonts w:hint="default" w:ascii="Times New Roman" w:hAnsi="Times New Roman" w:cs="Times New Roman"/>
                      <w:bCs/>
                      <w:color w:val="auto"/>
                      <w:sz w:val="21"/>
                      <w:szCs w:val="21"/>
                      <w:lang w:val="en-US" w:eastAsia="zh-CN"/>
                    </w:rPr>
                  </w:pPr>
                </w:p>
              </w:tc>
            </w:tr>
            <w:tr w14:paraId="515ADBA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1" w:type="dxa"/>
                  <w:tcBorders>
                    <w:tl2br w:val="nil"/>
                    <w:tr2bl w:val="nil"/>
                  </w:tcBorders>
                  <w:vAlign w:val="center"/>
                </w:tcPr>
                <w:p w14:paraId="19E58ADF">
                  <w:pPr>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3</w:t>
                  </w:r>
                </w:p>
              </w:tc>
              <w:tc>
                <w:tcPr>
                  <w:tcW w:w="1738" w:type="dxa"/>
                  <w:tcBorders>
                    <w:tl2br w:val="nil"/>
                    <w:tr2bl w:val="nil"/>
                  </w:tcBorders>
                  <w:vAlign w:val="center"/>
                </w:tcPr>
                <w:p w14:paraId="3B45E578">
                  <w:pPr>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初期雨水收集池</w:t>
                  </w:r>
                </w:p>
              </w:tc>
              <w:tc>
                <w:tcPr>
                  <w:tcW w:w="1312" w:type="dxa"/>
                  <w:vMerge w:val="continue"/>
                  <w:tcBorders>
                    <w:tl2br w:val="nil"/>
                    <w:tr2bl w:val="nil"/>
                  </w:tcBorders>
                  <w:vAlign w:val="center"/>
                </w:tcPr>
                <w:p w14:paraId="6FF0F13D">
                  <w:pPr>
                    <w:jc w:val="center"/>
                    <w:rPr>
                      <w:rFonts w:hint="default" w:ascii="Times New Roman" w:hAnsi="Times New Roman" w:eastAsia="宋体" w:cs="Times New Roman"/>
                      <w:bCs/>
                      <w:color w:val="auto"/>
                      <w:szCs w:val="21"/>
                      <w:lang w:val="en-US" w:eastAsia="zh-CN"/>
                    </w:rPr>
                  </w:pPr>
                </w:p>
              </w:tc>
              <w:tc>
                <w:tcPr>
                  <w:tcW w:w="5236" w:type="dxa"/>
                  <w:vMerge w:val="continue"/>
                  <w:tcBorders>
                    <w:tl2br w:val="nil"/>
                    <w:tr2bl w:val="nil"/>
                  </w:tcBorders>
                  <w:vAlign w:val="center"/>
                </w:tcPr>
                <w:p w14:paraId="100A30BF">
                  <w:pPr>
                    <w:jc w:val="center"/>
                    <w:rPr>
                      <w:rFonts w:hint="default" w:ascii="Times New Roman" w:hAnsi="Times New Roman" w:eastAsia="宋体" w:cs="Times New Roman"/>
                      <w:bCs/>
                      <w:color w:val="auto"/>
                      <w:sz w:val="21"/>
                      <w:szCs w:val="21"/>
                      <w:lang w:val="en-US" w:eastAsia="zh-CN"/>
                    </w:rPr>
                  </w:pPr>
                </w:p>
              </w:tc>
            </w:tr>
            <w:tr w14:paraId="3361F17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1" w:type="dxa"/>
                  <w:tcBorders>
                    <w:tl2br w:val="nil"/>
                    <w:tr2bl w:val="nil"/>
                  </w:tcBorders>
                  <w:vAlign w:val="center"/>
                </w:tcPr>
                <w:p w14:paraId="2CE6EA38">
                  <w:pPr>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4</w:t>
                  </w:r>
                </w:p>
              </w:tc>
              <w:tc>
                <w:tcPr>
                  <w:tcW w:w="1738" w:type="dxa"/>
                  <w:tcBorders>
                    <w:tl2br w:val="nil"/>
                    <w:tr2bl w:val="nil"/>
                  </w:tcBorders>
                  <w:vAlign w:val="center"/>
                </w:tcPr>
                <w:p w14:paraId="1FA1ABD8">
                  <w:pPr>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危险废物贮存点</w:t>
                  </w:r>
                </w:p>
              </w:tc>
              <w:tc>
                <w:tcPr>
                  <w:tcW w:w="1312" w:type="dxa"/>
                  <w:tcBorders>
                    <w:tl2br w:val="nil"/>
                    <w:tr2bl w:val="nil"/>
                  </w:tcBorders>
                  <w:vAlign w:val="center"/>
                </w:tcPr>
                <w:p w14:paraId="120A49B3">
                  <w:pPr>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重点防渗区</w:t>
                  </w:r>
                </w:p>
              </w:tc>
              <w:tc>
                <w:tcPr>
                  <w:tcW w:w="5236" w:type="dxa"/>
                  <w:tcBorders>
                    <w:tl2br w:val="nil"/>
                    <w:tr2bl w:val="nil"/>
                  </w:tcBorders>
                  <w:vAlign w:val="center"/>
                </w:tcPr>
                <w:p w14:paraId="166A9CEB">
                  <w:pPr>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highlight w:val="none"/>
                      <w:lang w:val="en-US" w:eastAsia="zh-CN"/>
                    </w:rPr>
                    <w:t>至少2mm厚的防渗人工材料，防渗系数≤10</w:t>
                  </w:r>
                  <w:r>
                    <w:rPr>
                      <w:rFonts w:hint="default" w:ascii="Times New Roman" w:hAnsi="Times New Roman" w:eastAsia="宋体" w:cs="Times New Roman"/>
                      <w:bCs/>
                      <w:color w:val="auto"/>
                      <w:sz w:val="21"/>
                      <w:szCs w:val="21"/>
                      <w:highlight w:val="none"/>
                      <w:vertAlign w:val="superscript"/>
                      <w:lang w:val="en-US" w:eastAsia="zh-CN"/>
                    </w:rPr>
                    <w:t>-</w:t>
                  </w:r>
                  <w:r>
                    <w:rPr>
                      <w:rFonts w:hint="default" w:ascii="Times New Roman" w:hAnsi="Times New Roman" w:cs="Times New Roman"/>
                      <w:bCs/>
                      <w:color w:val="auto"/>
                      <w:sz w:val="21"/>
                      <w:szCs w:val="21"/>
                      <w:highlight w:val="none"/>
                      <w:vertAlign w:val="superscript"/>
                      <w:lang w:val="en-US" w:eastAsia="zh-CN"/>
                    </w:rPr>
                    <w:t>10</w:t>
                  </w:r>
                  <w:r>
                    <w:rPr>
                      <w:rFonts w:hint="default" w:ascii="Times New Roman" w:hAnsi="Times New Roman" w:eastAsia="宋体" w:cs="Times New Roman"/>
                      <w:bCs/>
                      <w:color w:val="auto"/>
                      <w:sz w:val="21"/>
                      <w:szCs w:val="21"/>
                      <w:highlight w:val="none"/>
                      <w:lang w:val="en-US" w:eastAsia="zh-CN"/>
                    </w:rPr>
                    <w:t>cm/s</w:t>
                  </w:r>
                </w:p>
              </w:tc>
            </w:tr>
            <w:tr w14:paraId="66DDBF3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1" w:type="dxa"/>
                  <w:tcBorders>
                    <w:tl2br w:val="nil"/>
                    <w:tr2bl w:val="nil"/>
                  </w:tcBorders>
                  <w:vAlign w:val="center"/>
                </w:tcPr>
                <w:p w14:paraId="1B35012A">
                  <w:pPr>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5</w:t>
                  </w:r>
                </w:p>
              </w:tc>
              <w:tc>
                <w:tcPr>
                  <w:tcW w:w="1738" w:type="dxa"/>
                  <w:tcBorders>
                    <w:tl2br w:val="nil"/>
                    <w:tr2bl w:val="nil"/>
                  </w:tcBorders>
                  <w:vAlign w:val="center"/>
                </w:tcPr>
                <w:p w14:paraId="03647E1B">
                  <w:pPr>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其他区域</w:t>
                  </w:r>
                </w:p>
              </w:tc>
              <w:tc>
                <w:tcPr>
                  <w:tcW w:w="1312" w:type="dxa"/>
                  <w:tcBorders>
                    <w:tl2br w:val="nil"/>
                    <w:tr2bl w:val="nil"/>
                  </w:tcBorders>
                  <w:vAlign w:val="center"/>
                </w:tcPr>
                <w:p w14:paraId="61F50F13">
                  <w:pPr>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简单防渗区</w:t>
                  </w:r>
                </w:p>
              </w:tc>
              <w:tc>
                <w:tcPr>
                  <w:tcW w:w="5236" w:type="dxa"/>
                  <w:tcBorders>
                    <w:tl2br w:val="nil"/>
                    <w:tr2bl w:val="nil"/>
                  </w:tcBorders>
                  <w:vAlign w:val="center"/>
                </w:tcPr>
                <w:p w14:paraId="356D8FC6">
                  <w:pPr>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color w:val="auto"/>
                      <w:sz w:val="21"/>
                      <w:szCs w:val="21"/>
                      <w:lang w:val="en-US" w:eastAsia="zh-CN"/>
                    </w:rPr>
                    <w:t>车辆进出口及主要通道使用水泥硬化</w:t>
                  </w:r>
                </w:p>
              </w:tc>
            </w:tr>
          </w:tbl>
          <w:p w14:paraId="236B7231">
            <w:pPr>
              <w:spacing w:line="480" w:lineRule="exact"/>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sz w:val="24"/>
                <w:highlight w:val="none"/>
                <w:lang w:val="en-US" w:eastAsia="zh-CN"/>
              </w:rPr>
              <w:t>6</w:t>
            </w:r>
            <w:r>
              <w:rPr>
                <w:rFonts w:hint="default" w:ascii="Times New Roman" w:hAnsi="Times New Roman" w:cs="Times New Roman"/>
                <w:b/>
                <w:color w:val="auto"/>
                <w:sz w:val="24"/>
                <w:highlight w:val="none"/>
                <w:lang w:val="en-US" w:eastAsia="zh-CN"/>
              </w:rPr>
              <w:t>、生态影响</w:t>
            </w:r>
          </w:p>
          <w:p w14:paraId="63168E27">
            <w:pPr>
              <w:spacing w:line="480" w:lineRule="exact"/>
              <w:ind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本项目地块位于鸡冠区西郊乡团结村，土地类型为工业用地。</w:t>
            </w:r>
          </w:p>
          <w:p w14:paraId="72B04FA0">
            <w:pPr>
              <w:spacing w:line="480" w:lineRule="exact"/>
              <w:ind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项目地块面积20700平方米，项目周边环境主要为林地、储煤场，无生态保护目标，本地块仅用于煤炭的贮存、销售，</w:t>
            </w:r>
            <w:r>
              <w:rPr>
                <w:rFonts w:hint="default" w:ascii="Times New Roman" w:hAnsi="Times New Roman" w:cs="Times New Roman"/>
                <w:color w:val="auto"/>
                <w:sz w:val="24"/>
                <w:szCs w:val="21"/>
              </w:rPr>
              <w:t>项目施</w:t>
            </w:r>
            <w:r>
              <w:rPr>
                <w:rFonts w:hint="default" w:ascii="Times New Roman" w:hAnsi="Times New Roman" w:cs="Times New Roman"/>
                <w:color w:val="auto"/>
                <w:sz w:val="24"/>
                <w:szCs w:val="21"/>
                <w:lang w:val="en-US" w:eastAsia="zh-CN"/>
              </w:rPr>
              <w:t>工</w:t>
            </w:r>
            <w:r>
              <w:rPr>
                <w:rFonts w:hint="default" w:ascii="Times New Roman" w:hAnsi="Times New Roman" w:cs="Times New Roman"/>
                <w:color w:val="auto"/>
                <w:sz w:val="24"/>
                <w:szCs w:val="21"/>
              </w:rPr>
              <w:t>运营过程中</w:t>
            </w:r>
            <w:r>
              <w:rPr>
                <w:rFonts w:hint="default" w:ascii="Times New Roman" w:hAnsi="Times New Roman" w:cs="Times New Roman"/>
                <w:color w:val="auto"/>
                <w:sz w:val="24"/>
                <w:szCs w:val="21"/>
                <w:lang w:val="en-US" w:eastAsia="zh-CN"/>
              </w:rPr>
              <w:t>仅产生少</w:t>
            </w:r>
            <w:r>
              <w:rPr>
                <w:rFonts w:hint="default" w:ascii="Times New Roman" w:hAnsi="Times New Roman" w:cs="Times New Roman"/>
                <w:color w:val="auto"/>
                <w:sz w:val="24"/>
                <w:highlight w:val="none"/>
                <w:lang w:val="en-US" w:eastAsia="zh-CN"/>
              </w:rPr>
              <w:t>量扬尘，在落实储煤点四周设置闭合防风抑尘网，场内堆存煤炭使用绿网苫盖；定期洒水降尘等措施后，运营期间产生的扬尘对生态环境</w:t>
            </w:r>
            <w:r>
              <w:rPr>
                <w:rFonts w:hint="default" w:ascii="Times New Roman" w:hAnsi="Times New Roman" w:cs="Times New Roman"/>
                <w:color w:val="auto"/>
                <w:sz w:val="24"/>
                <w:szCs w:val="21"/>
              </w:rPr>
              <w:t>的影响很小</w:t>
            </w:r>
            <w:r>
              <w:rPr>
                <w:rFonts w:hint="default" w:ascii="Times New Roman" w:hAnsi="Times New Roman" w:cs="Times New Roman"/>
                <w:color w:val="auto"/>
                <w:sz w:val="24"/>
                <w:szCs w:val="21"/>
                <w:lang w:eastAsia="zh-CN"/>
              </w:rPr>
              <w:t>；</w:t>
            </w:r>
            <w:r>
              <w:rPr>
                <w:rFonts w:hint="default" w:ascii="Times New Roman" w:hAnsi="Times New Roman" w:cs="Times New Roman"/>
                <w:color w:val="auto"/>
                <w:sz w:val="24"/>
                <w:szCs w:val="21"/>
                <w:lang w:val="en-US" w:eastAsia="zh-CN"/>
              </w:rPr>
              <w:t>项目无生产废水产生，</w:t>
            </w:r>
            <w:r>
              <w:rPr>
                <w:rFonts w:hint="default" w:ascii="Times New Roman" w:hAnsi="Times New Roman" w:cs="Times New Roman"/>
                <w:color w:val="auto"/>
                <w:sz w:val="24"/>
                <w:highlight w:val="none"/>
                <w:lang w:val="en-US" w:eastAsia="zh-CN"/>
              </w:rPr>
              <w:t>生活污水经防渗旱厕处理后，由当地居民定期清掏用作农家肥；固体废物分类处理，对生态影响小；生产设备产生的噪声对生态环境的影响不大；综上，项目营运期污染物均得到有效处理和处置，对生态环境影响不大。</w:t>
            </w:r>
          </w:p>
          <w:p w14:paraId="6CD46261">
            <w:pPr>
              <w:spacing w:line="480" w:lineRule="exact"/>
              <w:rPr>
                <w:rFonts w:hint="default" w:ascii="Times New Roman" w:hAnsi="Times New Roman" w:eastAsia="宋体" w:cs="Times New Roman"/>
                <w:b/>
                <w:color w:val="auto"/>
                <w:sz w:val="24"/>
                <w:highlight w:val="none"/>
                <w:lang w:val="en-US" w:eastAsia="zh-CN"/>
              </w:rPr>
            </w:pPr>
            <w:r>
              <w:rPr>
                <w:rFonts w:hint="default" w:ascii="Times New Roman" w:hAnsi="Times New Roman" w:cs="Times New Roman"/>
                <w:b/>
                <w:color w:val="auto"/>
                <w:sz w:val="24"/>
                <w:highlight w:val="none"/>
                <w:lang w:val="en-US" w:eastAsia="zh-CN"/>
              </w:rPr>
              <w:t>7</w:t>
            </w:r>
            <w:r>
              <w:rPr>
                <w:rFonts w:hint="default" w:ascii="Times New Roman" w:hAnsi="Times New Roman" w:eastAsia="宋体" w:cs="Times New Roman"/>
                <w:b/>
                <w:color w:val="auto"/>
                <w:sz w:val="24"/>
                <w:highlight w:val="none"/>
                <w:lang w:val="en-US" w:eastAsia="zh-CN"/>
              </w:rPr>
              <w:t>、环境风险</w:t>
            </w:r>
          </w:p>
          <w:p w14:paraId="2047E5DC">
            <w:pPr>
              <w:adjustRightInd w:val="0"/>
              <w:snapToGrid w:val="0"/>
              <w:spacing w:line="480" w:lineRule="exact"/>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rPr>
              <w:t>（1）</w:t>
            </w:r>
            <w:r>
              <w:rPr>
                <w:rFonts w:hint="default" w:ascii="Times New Roman" w:hAnsi="Times New Roman" w:eastAsia="宋体" w:cs="Times New Roman"/>
                <w:color w:val="auto"/>
                <w:sz w:val="24"/>
                <w:highlight w:val="none"/>
                <w:lang w:val="en-US" w:eastAsia="zh-CN"/>
              </w:rPr>
              <w:t>环境风险识别</w:t>
            </w:r>
          </w:p>
          <w:p w14:paraId="60CC6FC1">
            <w:pPr>
              <w:adjustRightInd w:val="0"/>
              <w:snapToGrid w:val="0"/>
              <w:spacing w:line="480" w:lineRule="exact"/>
              <w:ind w:firstLine="480" w:firstLineChars="200"/>
              <w:rPr>
                <w:rFonts w:hint="default" w:ascii="Times New Roman" w:hAnsi="Times New Roman" w:eastAsia="宋体" w:cs="Times New Roman"/>
                <w:color w:val="auto"/>
                <w:sz w:val="24"/>
                <w:highlight w:val="none"/>
                <w:lang w:val="en-US"/>
              </w:rPr>
            </w:pPr>
            <w:r>
              <w:rPr>
                <w:rFonts w:hint="default" w:ascii="Times New Roman" w:hAnsi="Times New Roman" w:eastAsia="宋体" w:cs="Times New Roman"/>
                <w:color w:val="auto"/>
                <w:sz w:val="24"/>
                <w:highlight w:val="none"/>
                <w:lang w:val="en-US"/>
              </w:rPr>
              <w:t>依据《建设项目环境风险评价技术导则》（HJ169-2018）中的危险物质或危险化学品，对项目的环境风险物质进行判断，本项目风险物质主要</w:t>
            </w:r>
            <w:r>
              <w:rPr>
                <w:rFonts w:hint="default" w:ascii="Times New Roman" w:hAnsi="Times New Roman" w:eastAsia="宋体" w:cs="Times New Roman"/>
                <w:color w:val="auto"/>
                <w:sz w:val="24"/>
                <w:highlight w:val="none"/>
                <w:lang w:val="en-US" w:eastAsia="zh-CN"/>
              </w:rPr>
              <w:t>为废机油</w:t>
            </w:r>
            <w:r>
              <w:rPr>
                <w:rFonts w:hint="default" w:ascii="Times New Roman" w:hAnsi="Times New Roman" w:eastAsia="宋体" w:cs="Times New Roman"/>
                <w:color w:val="auto"/>
                <w:sz w:val="24"/>
                <w:highlight w:val="none"/>
                <w:lang w:val="en-US"/>
              </w:rPr>
              <w:t>。</w:t>
            </w:r>
          </w:p>
          <w:p w14:paraId="0953CB28">
            <w:pPr>
              <w:adjustRightInd w:val="0"/>
              <w:snapToGrid w:val="0"/>
              <w:spacing w:line="480" w:lineRule="exact"/>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（2）建设项目风险物质存储情况</w:t>
            </w:r>
          </w:p>
          <w:p w14:paraId="4C7ADF1E">
            <w:pPr>
              <w:adjustRightInd w:val="0"/>
              <w:snapToGrid w:val="0"/>
              <w:spacing w:line="480" w:lineRule="exact"/>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rPr>
              <w:t>根据《建设项目环境风险评价技术导则》（HJ 169-2018）附录B可知，本项目风险物质主要为</w:t>
            </w:r>
            <w:r>
              <w:rPr>
                <w:rFonts w:hint="default" w:ascii="Times New Roman" w:hAnsi="Times New Roman" w:eastAsia="宋体" w:cs="Times New Roman"/>
                <w:color w:val="auto"/>
                <w:sz w:val="24"/>
                <w:highlight w:val="none"/>
                <w:lang w:val="en-US" w:eastAsia="zh-CN"/>
              </w:rPr>
              <w:t>废机油，</w:t>
            </w:r>
            <w:r>
              <w:rPr>
                <w:rFonts w:hint="default" w:ascii="Times New Roman" w:hAnsi="Times New Roman" w:cs="Times New Roman"/>
                <w:color w:val="auto"/>
                <w:sz w:val="24"/>
                <w:szCs w:val="24"/>
                <w:highlight w:val="none"/>
                <w:lang w:val="en-US" w:eastAsia="zh-CN"/>
              </w:rPr>
              <w:t>产生的废机油暂存在内的危险废物贮存点，</w:t>
            </w:r>
            <w:r>
              <w:rPr>
                <w:rFonts w:hint="default" w:ascii="Times New Roman" w:hAnsi="Times New Roman" w:cs="Times New Roman"/>
                <w:color w:val="auto"/>
                <w:sz w:val="24"/>
                <w:highlight w:val="none"/>
                <w:lang w:val="en-US" w:eastAsia="zh-CN"/>
              </w:rPr>
              <w:t>危险废物贮存点</w:t>
            </w:r>
            <w:r>
              <w:rPr>
                <w:rFonts w:hint="default" w:ascii="Times New Roman" w:hAnsi="Times New Roman" w:eastAsia="宋体" w:cs="Times New Roman"/>
                <w:color w:val="auto"/>
                <w:sz w:val="24"/>
                <w:highlight w:val="none"/>
                <w:lang w:val="en-US" w:eastAsia="zh-CN"/>
              </w:rPr>
              <w:t>内最大储存量10kg</w:t>
            </w:r>
            <w:r>
              <w:rPr>
                <w:rFonts w:hint="default" w:ascii="Times New Roman" w:hAnsi="Times New Roman" w:cs="Times New Roman"/>
                <w:color w:val="auto"/>
                <w:sz w:val="24"/>
                <w:szCs w:val="24"/>
                <w:highlight w:val="none"/>
                <w:lang w:val="en-US" w:eastAsia="zh-CN"/>
              </w:rPr>
              <w:t>。</w:t>
            </w:r>
          </w:p>
          <w:p w14:paraId="472B0EDB">
            <w:pPr>
              <w:adjustRightInd w:val="0"/>
              <w:snapToGrid w:val="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表4-10  环境风险物质统计表</w:t>
            </w:r>
          </w:p>
          <w:tbl>
            <w:tblPr>
              <w:tblStyle w:val="20"/>
              <w:tblW w:w="4997" w:type="pct"/>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59"/>
              <w:gridCol w:w="3452"/>
              <w:gridCol w:w="1112"/>
              <w:gridCol w:w="1581"/>
              <w:gridCol w:w="1282"/>
              <w:gridCol w:w="796"/>
            </w:tblGrid>
            <w:tr w14:paraId="1029A3B2">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318" w:type="pct"/>
                  <w:tcBorders>
                    <w:tl2br w:val="nil"/>
                    <w:tr2bl w:val="nil"/>
                  </w:tcBorders>
                  <w:noWrap w:val="0"/>
                  <w:vAlign w:val="center"/>
                </w:tcPr>
                <w:p w14:paraId="077DB47F">
                  <w:pPr>
                    <w:bidi w:val="0"/>
                    <w:jc w:val="center"/>
                    <w:rPr>
                      <w:rFonts w:hint="default" w:ascii="Times New Roman" w:hAnsi="Times New Roman" w:cs="Times New Roman"/>
                      <w:color w:val="auto"/>
                    </w:rPr>
                  </w:pPr>
                  <w:r>
                    <w:rPr>
                      <w:rFonts w:hint="default" w:ascii="Times New Roman" w:hAnsi="Times New Roman" w:cs="Times New Roman"/>
                      <w:color w:val="auto"/>
                    </w:rPr>
                    <w:t>序号</w:t>
                  </w:r>
                </w:p>
              </w:tc>
              <w:tc>
                <w:tcPr>
                  <w:tcW w:w="1965" w:type="pct"/>
                  <w:tcBorders>
                    <w:tl2br w:val="nil"/>
                    <w:tr2bl w:val="nil"/>
                  </w:tcBorders>
                  <w:noWrap w:val="0"/>
                  <w:vAlign w:val="center"/>
                </w:tcPr>
                <w:p w14:paraId="30F13A3B">
                  <w:pPr>
                    <w:bidi w:val="0"/>
                    <w:jc w:val="center"/>
                    <w:rPr>
                      <w:rFonts w:hint="default" w:ascii="Times New Roman" w:hAnsi="Times New Roman" w:cs="Times New Roman"/>
                      <w:color w:val="auto"/>
                    </w:rPr>
                  </w:pPr>
                  <w:r>
                    <w:rPr>
                      <w:rFonts w:hint="default" w:ascii="Times New Roman" w:hAnsi="Times New Roman" w:cs="Times New Roman"/>
                      <w:color w:val="auto"/>
                    </w:rPr>
                    <w:t>危险物质</w:t>
                  </w:r>
                </w:p>
              </w:tc>
              <w:tc>
                <w:tcPr>
                  <w:tcW w:w="633" w:type="pct"/>
                  <w:tcBorders>
                    <w:tl2br w:val="nil"/>
                    <w:tr2bl w:val="nil"/>
                  </w:tcBorders>
                  <w:noWrap w:val="0"/>
                  <w:vAlign w:val="center"/>
                </w:tcPr>
                <w:p w14:paraId="6A9DDD87">
                  <w:pPr>
                    <w:bidi w:val="0"/>
                    <w:jc w:val="center"/>
                    <w:rPr>
                      <w:rFonts w:hint="default" w:ascii="Times New Roman" w:hAnsi="Times New Roman" w:cs="Times New Roman"/>
                      <w:color w:val="auto"/>
                    </w:rPr>
                  </w:pPr>
                  <w:r>
                    <w:rPr>
                      <w:rFonts w:hint="default" w:ascii="Times New Roman" w:hAnsi="Times New Roman" w:cs="Times New Roman"/>
                      <w:color w:val="auto"/>
                    </w:rPr>
                    <w:t>CAS号</w:t>
                  </w:r>
                </w:p>
              </w:tc>
              <w:tc>
                <w:tcPr>
                  <w:tcW w:w="900" w:type="pct"/>
                  <w:tcBorders>
                    <w:tl2br w:val="nil"/>
                    <w:tr2bl w:val="nil"/>
                  </w:tcBorders>
                  <w:noWrap w:val="0"/>
                  <w:vAlign w:val="center"/>
                </w:tcPr>
                <w:p w14:paraId="7D3B9848">
                  <w:pPr>
                    <w:bidi w:val="0"/>
                    <w:jc w:val="center"/>
                    <w:rPr>
                      <w:rFonts w:hint="default" w:ascii="Times New Roman" w:hAnsi="Times New Roman" w:cs="Times New Roman"/>
                      <w:color w:val="auto"/>
                    </w:rPr>
                  </w:pPr>
                  <w:r>
                    <w:rPr>
                      <w:rFonts w:hint="default" w:ascii="Times New Roman" w:hAnsi="Times New Roman" w:cs="Times New Roman"/>
                      <w:color w:val="auto"/>
                    </w:rPr>
                    <w:t>最大储存量（t）</w:t>
                  </w:r>
                </w:p>
              </w:tc>
              <w:tc>
                <w:tcPr>
                  <w:tcW w:w="729" w:type="pct"/>
                  <w:tcBorders>
                    <w:tl2br w:val="nil"/>
                    <w:tr2bl w:val="nil"/>
                  </w:tcBorders>
                  <w:noWrap w:val="0"/>
                  <w:vAlign w:val="center"/>
                </w:tcPr>
                <w:p w14:paraId="03ED51DF">
                  <w:pPr>
                    <w:bidi w:val="0"/>
                    <w:jc w:val="center"/>
                    <w:rPr>
                      <w:rFonts w:hint="default" w:ascii="Times New Roman" w:hAnsi="Times New Roman" w:cs="Times New Roman"/>
                      <w:color w:val="auto"/>
                    </w:rPr>
                  </w:pPr>
                  <w:r>
                    <w:rPr>
                      <w:rFonts w:hint="default" w:ascii="Times New Roman" w:hAnsi="Times New Roman" w:cs="Times New Roman"/>
                      <w:color w:val="auto"/>
                    </w:rPr>
                    <w:t>临界量（t）</w:t>
                  </w:r>
                </w:p>
              </w:tc>
              <w:tc>
                <w:tcPr>
                  <w:tcW w:w="453" w:type="pct"/>
                  <w:tcBorders>
                    <w:tl2br w:val="nil"/>
                    <w:tr2bl w:val="nil"/>
                  </w:tcBorders>
                  <w:noWrap w:val="0"/>
                  <w:vAlign w:val="center"/>
                </w:tcPr>
                <w:p w14:paraId="51C30367">
                  <w:pPr>
                    <w:bidi w:val="0"/>
                    <w:jc w:val="center"/>
                    <w:rPr>
                      <w:rFonts w:hint="default" w:ascii="Times New Roman" w:hAnsi="Times New Roman" w:cs="Times New Roman"/>
                      <w:color w:val="auto"/>
                    </w:rPr>
                  </w:pPr>
                  <w:r>
                    <w:rPr>
                      <w:rFonts w:hint="default" w:ascii="Times New Roman" w:hAnsi="Times New Roman" w:cs="Times New Roman"/>
                      <w:color w:val="auto"/>
                    </w:rPr>
                    <w:t>q值</w:t>
                  </w:r>
                </w:p>
              </w:tc>
            </w:tr>
            <w:tr w14:paraId="59231818">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318" w:type="pct"/>
                  <w:tcBorders>
                    <w:tl2br w:val="nil"/>
                    <w:tr2bl w:val="nil"/>
                  </w:tcBorders>
                  <w:noWrap w:val="0"/>
                  <w:vAlign w:val="center"/>
                </w:tcPr>
                <w:p w14:paraId="4615E76C">
                  <w:pPr>
                    <w:bidi w:val="0"/>
                    <w:jc w:val="center"/>
                    <w:rPr>
                      <w:rFonts w:hint="default" w:ascii="Times New Roman" w:hAnsi="Times New Roman" w:cs="Times New Roman"/>
                      <w:color w:val="auto"/>
                    </w:rPr>
                  </w:pPr>
                  <w:r>
                    <w:rPr>
                      <w:rFonts w:hint="default" w:ascii="Times New Roman" w:hAnsi="Times New Roman" w:cs="Times New Roman"/>
                      <w:color w:val="auto"/>
                    </w:rPr>
                    <w:t>1</w:t>
                  </w:r>
                </w:p>
              </w:tc>
              <w:tc>
                <w:tcPr>
                  <w:tcW w:w="1965" w:type="pct"/>
                  <w:tcBorders>
                    <w:tl2br w:val="nil"/>
                    <w:tr2bl w:val="nil"/>
                  </w:tcBorders>
                  <w:noWrap w:val="0"/>
                  <w:vAlign w:val="center"/>
                </w:tcPr>
                <w:p w14:paraId="6F2F6E42">
                  <w:pPr>
                    <w:bidi w:val="0"/>
                    <w:jc w:val="center"/>
                    <w:rPr>
                      <w:rFonts w:hint="default" w:ascii="Times New Roman" w:hAnsi="Times New Roman" w:cs="Times New Roman"/>
                      <w:color w:val="auto"/>
                    </w:rPr>
                  </w:pPr>
                  <w:r>
                    <w:rPr>
                      <w:rFonts w:hint="default" w:ascii="Times New Roman" w:hAnsi="Times New Roman" w:cs="Times New Roman"/>
                      <w:color w:val="auto"/>
                    </w:rPr>
                    <w:t>油类物质（矿物油类，如石油、汽油、柴油；生物柴油等）</w:t>
                  </w:r>
                </w:p>
              </w:tc>
              <w:tc>
                <w:tcPr>
                  <w:tcW w:w="633" w:type="pct"/>
                  <w:tcBorders>
                    <w:tl2br w:val="nil"/>
                    <w:tr2bl w:val="nil"/>
                  </w:tcBorders>
                  <w:noWrap w:val="0"/>
                  <w:vAlign w:val="center"/>
                </w:tcPr>
                <w:p w14:paraId="02DD2D35">
                  <w:pPr>
                    <w:bidi w:val="0"/>
                    <w:jc w:val="center"/>
                    <w:rPr>
                      <w:rFonts w:hint="default" w:ascii="Times New Roman" w:hAnsi="Times New Roman" w:cs="Times New Roman"/>
                      <w:color w:val="auto"/>
                    </w:rPr>
                  </w:pPr>
                  <w:r>
                    <w:rPr>
                      <w:rFonts w:hint="default" w:ascii="Times New Roman" w:hAnsi="Times New Roman" w:cs="Times New Roman"/>
                      <w:color w:val="auto"/>
                    </w:rPr>
                    <w:t>/</w:t>
                  </w:r>
                </w:p>
              </w:tc>
              <w:tc>
                <w:tcPr>
                  <w:tcW w:w="900" w:type="pct"/>
                  <w:tcBorders>
                    <w:tl2br w:val="nil"/>
                    <w:tr2bl w:val="nil"/>
                  </w:tcBorders>
                  <w:noWrap w:val="0"/>
                  <w:vAlign w:val="center"/>
                </w:tcPr>
                <w:p w14:paraId="4D487598">
                  <w:pPr>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0.01</w:t>
                  </w:r>
                </w:p>
              </w:tc>
              <w:tc>
                <w:tcPr>
                  <w:tcW w:w="729" w:type="pct"/>
                  <w:tcBorders>
                    <w:tl2br w:val="nil"/>
                    <w:tr2bl w:val="nil"/>
                  </w:tcBorders>
                  <w:noWrap w:val="0"/>
                  <w:vAlign w:val="center"/>
                </w:tcPr>
                <w:p w14:paraId="38F4F2EE">
                  <w:pPr>
                    <w:bidi w:val="0"/>
                    <w:jc w:val="center"/>
                    <w:rPr>
                      <w:rFonts w:hint="default" w:ascii="Times New Roman" w:hAnsi="Times New Roman" w:cs="Times New Roman"/>
                      <w:color w:val="auto"/>
                    </w:rPr>
                  </w:pPr>
                  <w:r>
                    <w:rPr>
                      <w:rFonts w:hint="default" w:ascii="Times New Roman" w:hAnsi="Times New Roman" w:cs="Times New Roman"/>
                      <w:color w:val="auto"/>
                    </w:rPr>
                    <w:t>2500</w:t>
                  </w:r>
                </w:p>
              </w:tc>
              <w:tc>
                <w:tcPr>
                  <w:tcW w:w="453" w:type="pct"/>
                  <w:tcBorders>
                    <w:tl2br w:val="nil"/>
                    <w:tr2bl w:val="nil"/>
                  </w:tcBorders>
                  <w:noWrap w:val="0"/>
                  <w:vAlign w:val="center"/>
                </w:tcPr>
                <w:p w14:paraId="02AEFB6F">
                  <w:pPr>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4.0×10</w:t>
                  </w:r>
                  <w:r>
                    <w:rPr>
                      <w:rFonts w:hint="default" w:ascii="Times New Roman" w:hAnsi="Times New Roman" w:cs="Times New Roman"/>
                      <w:color w:val="auto"/>
                      <w:vertAlign w:val="superscript"/>
                      <w:lang w:val="en-US" w:eastAsia="zh-CN"/>
                    </w:rPr>
                    <w:t>-6</w:t>
                  </w:r>
                </w:p>
              </w:tc>
            </w:tr>
            <w:tr w14:paraId="20CDC674">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46" w:type="pct"/>
                  <w:gridSpan w:val="5"/>
                  <w:tcBorders>
                    <w:tl2br w:val="nil"/>
                    <w:tr2bl w:val="nil"/>
                  </w:tcBorders>
                  <w:noWrap w:val="0"/>
                  <w:vAlign w:val="center"/>
                </w:tcPr>
                <w:p w14:paraId="0C631909">
                  <w:pPr>
                    <w:bidi w:val="0"/>
                    <w:jc w:val="center"/>
                    <w:rPr>
                      <w:rFonts w:hint="default" w:ascii="Times New Roman" w:hAnsi="Times New Roman" w:cs="Times New Roman"/>
                      <w:color w:val="auto"/>
                    </w:rPr>
                  </w:pPr>
                  <w:r>
                    <w:rPr>
                      <w:rFonts w:hint="default" w:ascii="Times New Roman" w:hAnsi="Times New Roman" w:cs="Times New Roman"/>
                      <w:color w:val="auto"/>
                    </w:rPr>
                    <w:t>合计</w:t>
                  </w:r>
                </w:p>
              </w:tc>
              <w:tc>
                <w:tcPr>
                  <w:tcW w:w="453" w:type="pct"/>
                  <w:tcBorders>
                    <w:tl2br w:val="nil"/>
                    <w:tr2bl w:val="nil"/>
                  </w:tcBorders>
                  <w:noWrap w:val="0"/>
                  <w:vAlign w:val="center"/>
                </w:tcPr>
                <w:p w14:paraId="635A23DC">
                  <w:pPr>
                    <w:bidi w:val="0"/>
                    <w:jc w:val="center"/>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4.0×10</w:t>
                  </w:r>
                  <w:r>
                    <w:rPr>
                      <w:rFonts w:hint="default" w:ascii="Times New Roman" w:hAnsi="Times New Roman" w:cs="Times New Roman"/>
                      <w:color w:val="auto"/>
                      <w:vertAlign w:val="superscript"/>
                      <w:lang w:val="en-US" w:eastAsia="zh-CN"/>
                    </w:rPr>
                    <w:t>-6</w:t>
                  </w:r>
                </w:p>
              </w:tc>
            </w:tr>
          </w:tbl>
          <w:p w14:paraId="0C4DFF1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（3）环境风险影响分析</w:t>
            </w:r>
          </w:p>
          <w:p w14:paraId="5363369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rPr>
            </w:pPr>
            <w:r>
              <w:rPr>
                <w:rFonts w:hint="default" w:ascii="Times New Roman" w:hAnsi="Times New Roman" w:eastAsia="宋体" w:cs="Times New Roman"/>
                <w:color w:val="auto"/>
                <w:sz w:val="24"/>
                <w:highlight w:val="none"/>
                <w:lang w:val="en-US"/>
              </w:rPr>
              <w:t>本项目选址不涉及环境敏感区，不存在重大危险源，风险水平值较低。项目运营期存在一定潜在的环境风险事故，主要为</w:t>
            </w:r>
            <w:r>
              <w:rPr>
                <w:rFonts w:hint="default" w:ascii="Times New Roman" w:hAnsi="Times New Roman" w:eastAsia="宋体" w:cs="Times New Roman"/>
                <w:color w:val="auto"/>
                <w:sz w:val="24"/>
                <w:highlight w:val="none"/>
                <w:lang w:val="en-US" w:eastAsia="zh-CN"/>
              </w:rPr>
              <w:t>废机油</w:t>
            </w:r>
            <w:r>
              <w:rPr>
                <w:rFonts w:hint="default" w:ascii="Times New Roman" w:hAnsi="Times New Roman" w:cs="Times New Roman"/>
                <w:color w:val="auto"/>
                <w:sz w:val="24"/>
                <w:highlight w:val="none"/>
                <w:lang w:val="en-US" w:eastAsia="zh-CN"/>
              </w:rPr>
              <w:t>泄漏</w:t>
            </w:r>
            <w:r>
              <w:rPr>
                <w:rFonts w:hint="default" w:ascii="Times New Roman" w:hAnsi="Times New Roman" w:eastAsia="宋体" w:cs="Times New Roman"/>
                <w:color w:val="auto"/>
                <w:sz w:val="24"/>
                <w:highlight w:val="none"/>
                <w:lang w:val="en-US" w:eastAsia="zh-CN"/>
              </w:rPr>
              <w:t>对土壤、地下水造成污染</w:t>
            </w:r>
            <w:r>
              <w:rPr>
                <w:rFonts w:hint="default" w:ascii="Times New Roman" w:hAnsi="Times New Roman" w:eastAsia="宋体" w:cs="Times New Roman"/>
                <w:color w:val="auto"/>
                <w:sz w:val="24"/>
                <w:highlight w:val="none"/>
                <w:lang w:val="en-US"/>
              </w:rPr>
              <w:t>。</w:t>
            </w:r>
            <w:r>
              <w:rPr>
                <w:rFonts w:hint="default" w:ascii="Times New Roman" w:hAnsi="Times New Roman" w:eastAsia="宋体" w:cs="Times New Roman"/>
                <w:color w:val="auto"/>
                <w:sz w:val="24"/>
                <w:highlight w:val="none"/>
                <w:lang w:val="en-US" w:eastAsia="zh-CN"/>
              </w:rPr>
              <w:t>废机油储存</w:t>
            </w:r>
            <w:r>
              <w:rPr>
                <w:rFonts w:hint="default" w:ascii="Times New Roman" w:hAnsi="Times New Roman" w:cs="Times New Roman"/>
                <w:color w:val="auto"/>
                <w:sz w:val="24"/>
                <w:highlight w:val="none"/>
                <w:lang w:val="en-US" w:eastAsia="zh-CN"/>
              </w:rPr>
              <w:t>在危险废物贮存点</w:t>
            </w:r>
            <w:r>
              <w:rPr>
                <w:rFonts w:hint="default" w:ascii="Times New Roman" w:hAnsi="Times New Roman" w:eastAsia="宋体"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危险废物贮存点</w:t>
            </w:r>
            <w:r>
              <w:rPr>
                <w:rFonts w:hint="default" w:ascii="Times New Roman" w:hAnsi="Times New Roman" w:eastAsia="宋体" w:cs="Times New Roman"/>
                <w:color w:val="auto"/>
                <w:sz w:val="24"/>
                <w:highlight w:val="none"/>
                <w:lang w:val="en-US" w:eastAsia="zh-CN"/>
              </w:rPr>
              <w:t>内地面硬化，</w:t>
            </w:r>
            <w:r>
              <w:rPr>
                <w:rFonts w:hint="default" w:ascii="Times New Roman" w:hAnsi="Times New Roman" w:eastAsia="宋体" w:cs="Times New Roman"/>
                <w:color w:val="auto"/>
                <w:sz w:val="24"/>
                <w:highlight w:val="none"/>
                <w:lang w:val="en-US"/>
              </w:rPr>
              <w:t>防渗性能不低于</w:t>
            </w:r>
            <w:r>
              <w:rPr>
                <w:rFonts w:hint="default" w:ascii="Times New Roman" w:hAnsi="Times New Roman" w:cs="Times New Roman"/>
                <w:color w:val="auto"/>
                <w:sz w:val="24"/>
                <w:highlight w:val="none"/>
                <w:lang w:val="en-US" w:eastAsia="zh-CN"/>
              </w:rPr>
              <w:t>2mm厚的防渗人工材料，防渗</w:t>
            </w:r>
            <w:r>
              <w:rPr>
                <w:rFonts w:hint="default" w:ascii="Times New Roman" w:hAnsi="Times New Roman" w:eastAsia="宋体" w:cs="Times New Roman"/>
                <w:color w:val="auto"/>
                <w:sz w:val="24"/>
                <w:highlight w:val="none"/>
                <w:lang w:val="en-US"/>
              </w:rPr>
              <w:t>系数为10</w:t>
            </w:r>
            <w:r>
              <w:rPr>
                <w:rFonts w:hint="default" w:ascii="Times New Roman" w:hAnsi="Times New Roman" w:cs="Times New Roman"/>
                <w:color w:val="auto"/>
                <w:sz w:val="24"/>
                <w:highlight w:val="none"/>
                <w:vertAlign w:val="superscript"/>
                <w:lang w:val="en-US" w:eastAsia="zh-CN"/>
              </w:rPr>
              <w:t>-10</w:t>
            </w:r>
            <w:r>
              <w:rPr>
                <w:rFonts w:hint="default" w:ascii="Times New Roman" w:hAnsi="Times New Roman" w:eastAsia="宋体" w:cs="Times New Roman"/>
                <w:color w:val="auto"/>
                <w:sz w:val="24"/>
                <w:highlight w:val="none"/>
                <w:lang w:val="en-US"/>
              </w:rPr>
              <w:t>cm/s</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rPr>
              <w:t>只要建设单位加强风险管理，在项目建设、实施过程中认真落实各种环境风险防范措施，并在环境风险事故发生后，及时采取有效的风险应急措施，使环境风险事故得到有效的控制，将事故风险控制在可接受的范围内，项目环境风险值处于可接受水平范围内。</w:t>
            </w:r>
          </w:p>
          <w:p w14:paraId="54470E4D">
            <w:pPr>
              <w:keepNext w:val="0"/>
              <w:keepLines w:val="0"/>
              <w:pageBreakBefore w:val="0"/>
              <w:widowControl w:val="0"/>
              <w:kinsoku/>
              <w:wordWrap/>
              <w:overflowPunct/>
              <w:topLinePunct w:val="0"/>
              <w:autoSpaceDE/>
              <w:autoSpaceDN/>
              <w:bidi w:val="0"/>
              <w:spacing w:line="360" w:lineRule="auto"/>
              <w:textAlignment w:val="auto"/>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eastAsia="宋体" w:cs="Times New Roman"/>
                <w:b/>
                <w:color w:val="auto"/>
                <w:sz w:val="24"/>
                <w:szCs w:val="24"/>
                <w:highlight w:val="none"/>
                <w:lang w:val="en-US" w:eastAsia="zh-CN"/>
              </w:rPr>
              <w:t>8、运输线路环境影响</w:t>
            </w:r>
          </w:p>
          <w:p w14:paraId="1EB4C46E">
            <w:pPr>
              <w:pStyle w:val="19"/>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（1）运输路线环境敏感目标</w:t>
            </w:r>
          </w:p>
          <w:p w14:paraId="78B0627D">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kern w:val="24"/>
                <w:sz w:val="24"/>
                <w:szCs w:val="24"/>
                <w:highlight w:val="none"/>
                <w:lang w:val="en-US" w:eastAsia="zh-CN"/>
              </w:rPr>
              <w:t>本</w:t>
            </w:r>
            <w:r>
              <w:rPr>
                <w:rFonts w:hint="default" w:ascii="Times New Roman" w:hAnsi="Times New Roman" w:eastAsia="宋体" w:cs="Times New Roman"/>
                <w:color w:val="auto"/>
                <w:kern w:val="24"/>
                <w:sz w:val="24"/>
                <w:szCs w:val="24"/>
                <w:highlight w:val="none"/>
              </w:rPr>
              <w:t>项目</w:t>
            </w:r>
            <w:r>
              <w:rPr>
                <w:rFonts w:hint="default" w:ascii="Times New Roman" w:hAnsi="Times New Roman" w:eastAsia="宋体" w:cs="Times New Roman"/>
                <w:bCs/>
                <w:color w:val="auto"/>
                <w:kern w:val="0"/>
                <w:sz w:val="24"/>
                <w:szCs w:val="24"/>
                <w:highlight w:val="none"/>
              </w:rPr>
              <w:t>运输车辆</w:t>
            </w:r>
            <w:r>
              <w:rPr>
                <w:rFonts w:hint="default" w:ascii="Times New Roman" w:hAnsi="Times New Roman" w:eastAsia="宋体" w:cs="Times New Roman"/>
                <w:bCs/>
                <w:color w:val="auto"/>
                <w:kern w:val="0"/>
                <w:sz w:val="24"/>
                <w:szCs w:val="24"/>
                <w:highlight w:val="none"/>
                <w:lang w:eastAsia="zh-CN"/>
              </w:rPr>
              <w:t>向东侧行驶</w:t>
            </w:r>
            <w:r>
              <w:rPr>
                <w:rFonts w:hint="default" w:ascii="Times New Roman" w:hAnsi="Times New Roman" w:eastAsia="宋体" w:cs="Times New Roman"/>
                <w:bCs/>
                <w:color w:val="auto"/>
                <w:kern w:val="0"/>
                <w:sz w:val="24"/>
                <w:szCs w:val="24"/>
                <w:highlight w:val="none"/>
                <w:lang w:val="en-US" w:eastAsia="zh-CN"/>
              </w:rPr>
              <w:t>200米进入331国道</w:t>
            </w:r>
            <w:r>
              <w:rPr>
                <w:rFonts w:hint="default" w:ascii="Times New Roman" w:hAnsi="Times New Roman" w:eastAsia="宋体" w:cs="Times New Roman"/>
                <w:bCs/>
                <w:color w:val="auto"/>
                <w:kern w:val="0"/>
                <w:sz w:val="24"/>
                <w:szCs w:val="24"/>
                <w:highlight w:val="none"/>
              </w:rPr>
              <w:t>，</w:t>
            </w:r>
            <w:r>
              <w:rPr>
                <w:rFonts w:hint="default" w:ascii="Times New Roman" w:hAnsi="Times New Roman" w:eastAsia="宋体" w:cs="Times New Roman"/>
                <w:bCs/>
                <w:color w:val="auto"/>
                <w:kern w:val="0"/>
                <w:sz w:val="24"/>
                <w:szCs w:val="24"/>
                <w:highlight w:val="none"/>
                <w:lang w:val="en-US" w:eastAsia="zh-CN"/>
              </w:rPr>
              <w:t>项目所在团结村均已拆迁，</w:t>
            </w:r>
            <w:r>
              <w:rPr>
                <w:rFonts w:hint="default" w:ascii="Times New Roman" w:hAnsi="Times New Roman" w:eastAsia="宋体" w:cs="Times New Roman"/>
                <w:color w:val="auto"/>
                <w:kern w:val="24"/>
                <w:sz w:val="24"/>
                <w:szCs w:val="24"/>
                <w:highlight w:val="none"/>
              </w:rPr>
              <w:t>运输路线不经过居民区等环境敏感目标</w:t>
            </w:r>
            <w:r>
              <w:rPr>
                <w:rFonts w:hint="default" w:ascii="Times New Roman" w:hAnsi="Times New Roman" w:eastAsia="宋体" w:cs="Times New Roman"/>
                <w:color w:val="auto"/>
                <w:kern w:val="24"/>
                <w:sz w:val="24"/>
                <w:szCs w:val="24"/>
                <w:highlight w:val="none"/>
                <w:lang w:eastAsia="zh-CN"/>
              </w:rPr>
              <w:t>。</w:t>
            </w:r>
          </w:p>
          <w:p w14:paraId="15CC6E85">
            <w:pPr>
              <w:pStyle w:val="19"/>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（2）运输噪声影响分析</w:t>
            </w:r>
          </w:p>
          <w:p w14:paraId="610F16B4">
            <w:pPr>
              <w:pStyle w:val="19"/>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运输车辆行驶噪声源强约为70~8</w:t>
            </w:r>
            <w:r>
              <w:rPr>
                <w:rFonts w:hint="default" w:ascii="Times New Roman" w:hAnsi="Times New Roman" w:cs="Times New Roman"/>
                <w:color w:val="auto"/>
                <w:kern w:val="2"/>
                <w:sz w:val="24"/>
                <w:szCs w:val="24"/>
                <w:highlight w:val="none"/>
                <w:lang w:val="en-US" w:eastAsia="zh-CN" w:bidi="ar-SA"/>
              </w:rPr>
              <w:t>0</w:t>
            </w:r>
            <w:r>
              <w:rPr>
                <w:rFonts w:hint="default" w:ascii="Times New Roman" w:hAnsi="Times New Roman" w:eastAsia="宋体" w:cs="Times New Roman"/>
                <w:color w:val="auto"/>
                <w:kern w:val="2"/>
                <w:sz w:val="24"/>
                <w:szCs w:val="24"/>
                <w:highlight w:val="none"/>
                <w:lang w:val="en-US" w:eastAsia="zh-CN" w:bidi="ar-SA"/>
              </w:rPr>
              <w:t>dB（A），对运输交通噪声，禁止使用超过噪声限值的运输车辆，汽车运输机械设备应安装消声器和禁用高音喇叭，机动车辆必须加强维修和保养，保持技术性能良好，应限制鸣笛、合理安排运输车辆工作时间，22</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00</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次日6:00禁止运输工作，产品运输均在昼间进行，加强对运输车辆管理，杜绝超载现象，按期保养车辆保持车辆良好工况，运输车辆在经过沿线敏感目标时控制行驶速度，通过采取以上措施运输沿线公路交通噪声影响是可以接受的。</w:t>
            </w:r>
          </w:p>
          <w:p w14:paraId="175F2B1F">
            <w:pPr>
              <w:pStyle w:val="19"/>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（3）运输道路扬尘影响</w:t>
            </w:r>
          </w:p>
          <w:p w14:paraId="786BEFEB">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jc w:val="both"/>
              <w:textAlignment w:val="auto"/>
              <w:rPr>
                <w:rFonts w:hint="default" w:ascii="Times New Roman" w:hAnsi="Times New Roman" w:eastAsia="宋体" w:cs="Times New Roman"/>
                <w:color w:val="auto"/>
                <w:sz w:val="24"/>
                <w:highlight w:val="none"/>
                <w:lang w:val="en-US"/>
              </w:rPr>
            </w:pPr>
            <w:r>
              <w:rPr>
                <w:rFonts w:hint="default" w:ascii="Times New Roman" w:hAnsi="Times New Roman" w:eastAsia="宋体" w:cs="Times New Roman"/>
                <w:color w:val="auto"/>
                <w:kern w:val="2"/>
                <w:sz w:val="24"/>
                <w:szCs w:val="24"/>
                <w:highlight w:val="none"/>
                <w:lang w:val="en-US" w:eastAsia="zh-CN" w:bidi="ar-SA"/>
              </w:rPr>
              <w:t>本项目运输过程中要加强</w:t>
            </w:r>
            <w:r>
              <w:rPr>
                <w:rFonts w:hint="default" w:ascii="Times New Roman" w:hAnsi="Times New Roman" w:cs="Times New Roman"/>
                <w:color w:val="auto"/>
                <w:kern w:val="2"/>
                <w:sz w:val="24"/>
                <w:szCs w:val="24"/>
                <w:highlight w:val="none"/>
                <w:lang w:val="en-US" w:eastAsia="zh-CN" w:bidi="ar-SA"/>
              </w:rPr>
              <w:t>厂区内</w:t>
            </w:r>
            <w:r>
              <w:rPr>
                <w:rFonts w:hint="default" w:ascii="Times New Roman" w:hAnsi="Times New Roman" w:eastAsia="宋体" w:cs="Times New Roman"/>
                <w:color w:val="auto"/>
                <w:kern w:val="2"/>
                <w:sz w:val="24"/>
                <w:szCs w:val="24"/>
                <w:highlight w:val="none"/>
                <w:lang w:val="en-US" w:eastAsia="zh-CN" w:bidi="ar-SA"/>
              </w:rPr>
              <w:t>道路养护，保障路面平整，控制汽车行驶速度，运输车辆采用苫布苫盖，同时采取洒水抑尘的措施，可有效降低汽车运输的起尘量，运输产生的扬尘环境空气的影响较小。</w:t>
            </w:r>
          </w:p>
        </w:tc>
      </w:tr>
    </w:tbl>
    <w:p w14:paraId="010C1AE2">
      <w:pPr>
        <w:adjustRightInd w:val="0"/>
        <w:snapToGrid w:val="0"/>
        <w:spacing w:line="360" w:lineRule="auto"/>
        <w:rPr>
          <w:rFonts w:hint="default" w:ascii="Times New Roman" w:hAnsi="Times New Roman" w:cs="Times New Roman"/>
          <w:b/>
          <w:color w:val="auto"/>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09F76CFD">
      <w:pPr>
        <w:pStyle w:val="18"/>
        <w:keepNext w:val="0"/>
        <w:keepLines w:val="0"/>
        <w:pageBreakBefore w:val="0"/>
        <w:widowControl/>
        <w:kinsoku/>
        <w:wordWrap/>
        <w:overflowPunct/>
        <w:topLinePunct w:val="0"/>
        <w:autoSpaceDE/>
        <w:autoSpaceDN/>
        <w:bidi w:val="0"/>
        <w:adjustRightInd/>
        <w:snapToGrid/>
        <w:spacing w:before="0" w:beforeAutospacing="0" w:after="313" w:afterLines="100" w:afterAutospacing="0"/>
        <w:jc w:val="center"/>
        <w:textAlignment w:val="auto"/>
        <w:outlineLvl w:val="0"/>
        <w:rPr>
          <w:rFonts w:hint="eastAsia" w:ascii="宋体" w:hAnsi="宋体" w:eastAsia="宋体" w:cs="宋体"/>
          <w:snapToGrid w:val="0"/>
          <w:color w:val="auto"/>
          <w:sz w:val="30"/>
          <w:szCs w:val="30"/>
          <w:highlight w:val="none"/>
        </w:rPr>
      </w:pPr>
      <w:bookmarkStart w:id="37" w:name="_Toc30871"/>
      <w:bookmarkStart w:id="38" w:name="_Toc15003"/>
      <w:bookmarkStart w:id="39" w:name="_Toc27142"/>
      <w:bookmarkStart w:id="40" w:name="_Toc30012"/>
      <w:r>
        <w:rPr>
          <w:rFonts w:hint="eastAsia" w:ascii="宋体" w:hAnsi="宋体" w:eastAsia="宋体" w:cs="宋体"/>
          <w:snapToGrid w:val="0"/>
          <w:color w:val="auto"/>
          <w:sz w:val="30"/>
          <w:szCs w:val="30"/>
          <w:highlight w:val="none"/>
        </w:rPr>
        <w:t>五、</w:t>
      </w:r>
      <w:bookmarkStart w:id="41" w:name="_Hlk54167917"/>
      <w:r>
        <w:rPr>
          <w:rFonts w:hint="eastAsia" w:ascii="宋体" w:hAnsi="宋体" w:eastAsia="宋体" w:cs="宋体"/>
          <w:snapToGrid w:val="0"/>
          <w:color w:val="auto"/>
          <w:sz w:val="30"/>
          <w:szCs w:val="30"/>
          <w:highlight w:val="none"/>
        </w:rPr>
        <w:t>环境保护措施监督检查清单</w:t>
      </w:r>
      <w:bookmarkEnd w:id="37"/>
      <w:bookmarkEnd w:id="38"/>
      <w:bookmarkEnd w:id="39"/>
      <w:bookmarkEnd w:id="40"/>
      <w:bookmarkEnd w:id="41"/>
    </w:p>
    <w:tbl>
      <w:tblPr>
        <w:tblStyle w:val="20"/>
        <w:tblW w:w="880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84"/>
        <w:gridCol w:w="1560"/>
        <w:gridCol w:w="1320"/>
        <w:gridCol w:w="1950"/>
        <w:gridCol w:w="2886"/>
      </w:tblGrid>
      <w:tr w14:paraId="3DBD96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1084" w:type="dxa"/>
            <w:tcBorders>
              <w:tl2br w:val="single" w:color="auto" w:sz="4" w:space="0"/>
            </w:tcBorders>
            <w:noWrap w:val="0"/>
            <w:vAlign w:val="top"/>
          </w:tcPr>
          <w:p w14:paraId="0BF27FE9">
            <w:pPr>
              <w:adjustRightInd w:val="0"/>
              <w:snapToGrid w:val="0"/>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内容</w:t>
            </w:r>
          </w:p>
          <w:p w14:paraId="0C18739B">
            <w:pPr>
              <w:adjustRightInd w:val="0"/>
              <w:snapToGrid w:val="0"/>
              <w:rPr>
                <w:rFonts w:hint="eastAsia" w:ascii="宋体" w:hAnsi="宋体" w:eastAsia="宋体" w:cs="宋体"/>
                <w:color w:val="auto"/>
                <w:szCs w:val="21"/>
                <w:highlight w:val="none"/>
              </w:rPr>
            </w:pPr>
            <w:r>
              <w:rPr>
                <w:rFonts w:hint="eastAsia" w:ascii="宋体" w:hAnsi="宋体" w:eastAsia="宋体" w:cs="宋体"/>
                <w:color w:val="auto"/>
                <w:szCs w:val="21"/>
                <w:highlight w:val="none"/>
              </w:rPr>
              <w:t>要素</w:t>
            </w:r>
          </w:p>
        </w:tc>
        <w:tc>
          <w:tcPr>
            <w:tcW w:w="1560" w:type="dxa"/>
            <w:noWrap w:val="0"/>
            <w:vAlign w:val="center"/>
          </w:tcPr>
          <w:p w14:paraId="05793E56">
            <w:pPr>
              <w:adjustRightInd w:val="0"/>
              <w:snapToGrid w:val="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排放口</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编号、</w:t>
            </w:r>
          </w:p>
          <w:p w14:paraId="79DB5D7A">
            <w:pPr>
              <w:adjustRightInd w:val="0"/>
              <w:snapToGrid w:val="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名称</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/污染源</w:t>
            </w:r>
          </w:p>
        </w:tc>
        <w:tc>
          <w:tcPr>
            <w:tcW w:w="1320" w:type="dxa"/>
            <w:noWrap w:val="0"/>
            <w:vAlign w:val="center"/>
          </w:tcPr>
          <w:p w14:paraId="20203FF2">
            <w:pPr>
              <w:adjustRightInd w:val="0"/>
              <w:snapToGrid w:val="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污染物项目</w:t>
            </w:r>
          </w:p>
        </w:tc>
        <w:tc>
          <w:tcPr>
            <w:tcW w:w="1950" w:type="dxa"/>
            <w:noWrap w:val="0"/>
            <w:vAlign w:val="center"/>
          </w:tcPr>
          <w:p w14:paraId="18FB5F81">
            <w:pPr>
              <w:adjustRightInd w:val="0"/>
              <w:snapToGrid w:val="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环境保护措施</w:t>
            </w:r>
          </w:p>
        </w:tc>
        <w:tc>
          <w:tcPr>
            <w:tcW w:w="2886" w:type="dxa"/>
            <w:noWrap w:val="0"/>
            <w:vAlign w:val="center"/>
          </w:tcPr>
          <w:p w14:paraId="57526A9D">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执行标准</w:t>
            </w:r>
          </w:p>
        </w:tc>
      </w:tr>
      <w:tr w14:paraId="14AC1C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84" w:type="dxa"/>
            <w:noWrap w:val="0"/>
            <w:vAlign w:val="center"/>
          </w:tcPr>
          <w:p w14:paraId="0142A024">
            <w:pPr>
              <w:adjustRightInd w:val="0"/>
              <w:snapToGrid w:val="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大气环境</w:t>
            </w:r>
          </w:p>
        </w:tc>
        <w:tc>
          <w:tcPr>
            <w:tcW w:w="1560" w:type="dxa"/>
            <w:noWrap w:val="0"/>
            <w:vAlign w:val="center"/>
          </w:tcPr>
          <w:p w14:paraId="12123E08">
            <w:pPr>
              <w:pStyle w:val="37"/>
              <w:ind w:left="0" w:leftChars="0" w:right="0" w:rightChars="0" w:firstLine="0" w:firstLineChars="0"/>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储煤场、运输车辆</w:t>
            </w:r>
          </w:p>
        </w:tc>
        <w:tc>
          <w:tcPr>
            <w:tcW w:w="1320" w:type="dxa"/>
            <w:noWrap w:val="0"/>
            <w:vAlign w:val="center"/>
          </w:tcPr>
          <w:p w14:paraId="5A042BFA">
            <w:pPr>
              <w:pStyle w:val="34"/>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颗粒物、二氧化硫</w:t>
            </w:r>
          </w:p>
        </w:tc>
        <w:tc>
          <w:tcPr>
            <w:tcW w:w="1950" w:type="dxa"/>
            <w:noWrap w:val="0"/>
            <w:vAlign w:val="center"/>
          </w:tcPr>
          <w:p w14:paraId="796277CD">
            <w:pPr>
              <w:pStyle w:val="34"/>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储煤点四周设置闭合防风抑尘网，场内堆存煤炭使用绿网苫盖；定期洒水降尘，禁止在重污染天气、大风天气作业；运输车辆进行全面苫盖</w:t>
            </w:r>
          </w:p>
        </w:tc>
        <w:tc>
          <w:tcPr>
            <w:tcW w:w="2886" w:type="dxa"/>
            <w:noWrap w:val="0"/>
            <w:vAlign w:val="center"/>
          </w:tcPr>
          <w:p w14:paraId="7B390E0C">
            <w:pPr>
              <w:pStyle w:val="34"/>
              <w:rPr>
                <w:rFonts w:hint="default" w:ascii="Times New Roman" w:hAnsi="Times New Roman" w:cs="Times New Roman"/>
                <w:color w:val="auto"/>
                <w:szCs w:val="21"/>
                <w:highlight w:val="none"/>
                <w:lang w:val="en-US" w:eastAsia="zh-CN"/>
              </w:rPr>
            </w:pPr>
            <w:r>
              <w:rPr>
                <w:rFonts w:hint="default" w:ascii="Times New Roman" w:hAnsi="Times New Roman" w:eastAsia="宋体" w:cs="Times New Roman"/>
                <w:color w:val="000000" w:themeColor="text1"/>
                <w:szCs w:val="21"/>
                <w14:textFill>
                  <w14:solidFill>
                    <w14:schemeClr w14:val="tx1"/>
                  </w14:solidFill>
                </w14:textFill>
              </w:rPr>
              <w:t>《煤炭工业污染物排放标准》（GB20426-2006）中表5无组织限制排放标准</w:t>
            </w:r>
          </w:p>
        </w:tc>
      </w:tr>
      <w:tr w14:paraId="7971A0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3" w:hRule="atLeast"/>
          <w:jc w:val="center"/>
        </w:trPr>
        <w:tc>
          <w:tcPr>
            <w:tcW w:w="1084" w:type="dxa"/>
            <w:vMerge w:val="restart"/>
            <w:noWrap w:val="0"/>
            <w:vAlign w:val="center"/>
          </w:tcPr>
          <w:p w14:paraId="099F0844">
            <w:pPr>
              <w:adjustRightInd w:val="0"/>
              <w:snapToGrid w:val="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地表水环境</w:t>
            </w:r>
          </w:p>
        </w:tc>
        <w:tc>
          <w:tcPr>
            <w:tcW w:w="1560" w:type="dxa"/>
            <w:noWrap w:val="0"/>
            <w:vAlign w:val="center"/>
          </w:tcPr>
          <w:p w14:paraId="280811B0">
            <w:pPr>
              <w:adjustRightInd w:val="0"/>
              <w:snapToGrid w:val="0"/>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生活废水</w:t>
            </w:r>
          </w:p>
        </w:tc>
        <w:tc>
          <w:tcPr>
            <w:tcW w:w="1320" w:type="dxa"/>
            <w:noWrap w:val="0"/>
            <w:vAlign w:val="center"/>
          </w:tcPr>
          <w:p w14:paraId="00D340E2">
            <w:pPr>
              <w:pStyle w:val="34"/>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化学需氧量、五日生化需氧量、悬浮物、氨氮</w:t>
            </w:r>
          </w:p>
        </w:tc>
        <w:tc>
          <w:tcPr>
            <w:tcW w:w="1950" w:type="dxa"/>
            <w:noWrap w:val="0"/>
            <w:vAlign w:val="center"/>
          </w:tcPr>
          <w:p w14:paraId="4EB180A8">
            <w:pPr>
              <w:adjustRightInd w:val="0"/>
              <w:snapToGrid w:val="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排入防渗旱厕，定期清掏堆肥</w:t>
            </w:r>
          </w:p>
        </w:tc>
        <w:tc>
          <w:tcPr>
            <w:tcW w:w="2886" w:type="dxa"/>
            <w:vMerge w:val="restart"/>
            <w:noWrap w:val="0"/>
            <w:vAlign w:val="center"/>
          </w:tcPr>
          <w:p w14:paraId="269A2C0E">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不外排</w:t>
            </w:r>
          </w:p>
        </w:tc>
      </w:tr>
      <w:tr w14:paraId="74D577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3" w:hRule="atLeast"/>
          <w:jc w:val="center"/>
        </w:trPr>
        <w:tc>
          <w:tcPr>
            <w:tcW w:w="1084" w:type="dxa"/>
            <w:vMerge w:val="continue"/>
            <w:noWrap w:val="0"/>
            <w:vAlign w:val="center"/>
          </w:tcPr>
          <w:p w14:paraId="1A56F2B8">
            <w:pPr>
              <w:adjustRightInd w:val="0"/>
              <w:snapToGrid w:val="0"/>
              <w:jc w:val="center"/>
              <w:rPr>
                <w:rFonts w:hint="default" w:ascii="Times New Roman" w:hAnsi="Times New Roman" w:cs="Times New Roman"/>
                <w:color w:val="auto"/>
                <w:szCs w:val="21"/>
                <w:highlight w:val="none"/>
              </w:rPr>
            </w:pPr>
          </w:p>
        </w:tc>
        <w:tc>
          <w:tcPr>
            <w:tcW w:w="1560" w:type="dxa"/>
            <w:noWrap w:val="0"/>
            <w:vAlign w:val="center"/>
          </w:tcPr>
          <w:p w14:paraId="6B2DA64B">
            <w:pPr>
              <w:adjustRightInd w:val="0"/>
              <w:snapToGrid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初期雨水</w:t>
            </w:r>
          </w:p>
        </w:tc>
        <w:tc>
          <w:tcPr>
            <w:tcW w:w="1320" w:type="dxa"/>
            <w:noWrap w:val="0"/>
            <w:vAlign w:val="center"/>
          </w:tcPr>
          <w:p w14:paraId="363413E4">
            <w:pPr>
              <w:pStyle w:val="34"/>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悬浮物</w:t>
            </w:r>
          </w:p>
        </w:tc>
        <w:tc>
          <w:tcPr>
            <w:tcW w:w="1950" w:type="dxa"/>
            <w:noWrap w:val="0"/>
            <w:vAlign w:val="center"/>
          </w:tcPr>
          <w:p w14:paraId="425A0170">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建设300m</w:t>
            </w:r>
            <w:r>
              <w:rPr>
                <w:rFonts w:hint="default" w:ascii="Times New Roman" w:hAnsi="Times New Roman" w:cs="Times New Roman"/>
                <w:color w:val="auto"/>
                <w:szCs w:val="21"/>
                <w:highlight w:val="none"/>
                <w:vertAlign w:val="superscript"/>
                <w:lang w:val="en-US" w:eastAsia="zh-CN"/>
              </w:rPr>
              <w:t>3</w:t>
            </w:r>
            <w:r>
              <w:rPr>
                <w:rFonts w:hint="default" w:ascii="Times New Roman" w:hAnsi="Times New Roman" w:cs="Times New Roman"/>
                <w:color w:val="auto"/>
                <w:szCs w:val="21"/>
                <w:highlight w:val="none"/>
                <w:lang w:val="en-US" w:eastAsia="zh-CN"/>
              </w:rPr>
              <w:t>初期雨水收集池处理将初期雨水收集沉淀后洒水降尘，不外排</w:t>
            </w:r>
          </w:p>
        </w:tc>
        <w:tc>
          <w:tcPr>
            <w:tcW w:w="2886" w:type="dxa"/>
            <w:vMerge w:val="continue"/>
            <w:noWrap w:val="0"/>
            <w:vAlign w:val="center"/>
          </w:tcPr>
          <w:p w14:paraId="13E5D40F">
            <w:pPr>
              <w:adjustRightInd w:val="0"/>
              <w:snapToGrid w:val="0"/>
              <w:jc w:val="center"/>
              <w:rPr>
                <w:rFonts w:hint="default" w:ascii="Times New Roman" w:hAnsi="Times New Roman" w:cs="Times New Roman"/>
                <w:color w:val="auto"/>
                <w:szCs w:val="21"/>
                <w:highlight w:val="none"/>
              </w:rPr>
            </w:pPr>
          </w:p>
        </w:tc>
      </w:tr>
      <w:tr w14:paraId="43F84B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84" w:type="dxa"/>
            <w:noWrap w:val="0"/>
            <w:vAlign w:val="center"/>
          </w:tcPr>
          <w:p w14:paraId="6C75EE6F">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声环境</w:t>
            </w:r>
          </w:p>
        </w:tc>
        <w:tc>
          <w:tcPr>
            <w:tcW w:w="1560" w:type="dxa"/>
            <w:noWrap w:val="0"/>
            <w:vAlign w:val="center"/>
          </w:tcPr>
          <w:p w14:paraId="07C71EE8">
            <w:pPr>
              <w:pStyle w:val="37"/>
              <w:ind w:left="0" w:leftChars="0" w:right="0" w:rightChars="0" w:firstLine="0" w:firstLineChars="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设备噪声</w:t>
            </w:r>
          </w:p>
        </w:tc>
        <w:tc>
          <w:tcPr>
            <w:tcW w:w="1320" w:type="dxa"/>
            <w:noWrap w:val="0"/>
            <w:vAlign w:val="center"/>
          </w:tcPr>
          <w:p w14:paraId="4257D3B3">
            <w:pPr>
              <w:pStyle w:val="37"/>
              <w:ind w:left="0" w:leftChars="0" w:right="0" w:rightChars="0" w:firstLine="0" w:firstLineChars="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w:t>
            </w:r>
          </w:p>
        </w:tc>
        <w:tc>
          <w:tcPr>
            <w:tcW w:w="1950" w:type="dxa"/>
            <w:noWrap w:val="0"/>
            <w:vAlign w:val="center"/>
          </w:tcPr>
          <w:p w14:paraId="036CEF1D">
            <w:pPr>
              <w:pStyle w:val="37"/>
              <w:ind w:left="0" w:leftChars="0" w:right="0" w:rightChars="0" w:firstLine="0"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选用低噪声设备，</w:t>
            </w:r>
            <w:r>
              <w:rPr>
                <w:rFonts w:hint="default" w:ascii="Times New Roman" w:hAnsi="Times New Roman" w:cs="Times New Roman"/>
                <w:color w:val="auto"/>
                <w:szCs w:val="21"/>
                <w:highlight w:val="none"/>
                <w:lang w:val="en-US" w:eastAsia="zh-CN"/>
              </w:rPr>
              <w:t>加强设备维护</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厂区内限速</w:t>
            </w:r>
          </w:p>
        </w:tc>
        <w:tc>
          <w:tcPr>
            <w:tcW w:w="2886" w:type="dxa"/>
            <w:noWrap w:val="0"/>
            <w:vAlign w:val="center"/>
          </w:tcPr>
          <w:p w14:paraId="1C8D0EAF">
            <w:pPr>
              <w:pStyle w:val="37"/>
              <w:ind w:left="0" w:leftChars="0" w:right="0" w:rightChars="0" w:firstLine="0" w:firstLineChars="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厂界噪声满足</w:t>
            </w:r>
            <w:r>
              <w:rPr>
                <w:rFonts w:hint="default" w:ascii="Times New Roman" w:hAnsi="Times New Roman" w:cs="Times New Roman"/>
                <w:bCs/>
                <w:color w:val="auto"/>
                <w:szCs w:val="21"/>
                <w:highlight w:val="none"/>
              </w:rPr>
              <w:t>《工业企业厂界环境噪声排放标准》（GB12348-2008）</w:t>
            </w:r>
            <w:r>
              <w:rPr>
                <w:rFonts w:hint="default" w:ascii="Times New Roman" w:hAnsi="Times New Roman" w:cs="Times New Roman"/>
                <w:bCs/>
                <w:color w:val="auto"/>
                <w:szCs w:val="21"/>
                <w:highlight w:val="none"/>
                <w:lang w:val="en-US" w:eastAsia="zh-CN"/>
              </w:rPr>
              <w:t>2</w:t>
            </w:r>
            <w:r>
              <w:rPr>
                <w:rFonts w:hint="default" w:ascii="Times New Roman" w:hAnsi="Times New Roman" w:cs="Times New Roman"/>
                <w:bCs/>
                <w:color w:val="auto"/>
                <w:szCs w:val="21"/>
                <w:highlight w:val="none"/>
              </w:rPr>
              <w:t>类</w:t>
            </w:r>
            <w:r>
              <w:rPr>
                <w:rFonts w:hint="default" w:ascii="Times New Roman" w:hAnsi="Times New Roman" w:cs="Times New Roman"/>
                <w:color w:val="auto"/>
                <w:szCs w:val="21"/>
                <w:highlight w:val="none"/>
              </w:rPr>
              <w:t>标准</w:t>
            </w:r>
          </w:p>
        </w:tc>
      </w:tr>
      <w:tr w14:paraId="21EB82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7" w:hRule="atLeast"/>
          <w:jc w:val="center"/>
        </w:trPr>
        <w:tc>
          <w:tcPr>
            <w:tcW w:w="1084" w:type="dxa"/>
            <w:noWrap w:val="0"/>
            <w:vAlign w:val="center"/>
          </w:tcPr>
          <w:p w14:paraId="09242383">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电磁辐射</w:t>
            </w:r>
          </w:p>
        </w:tc>
        <w:tc>
          <w:tcPr>
            <w:tcW w:w="1560" w:type="dxa"/>
            <w:noWrap w:val="0"/>
            <w:vAlign w:val="center"/>
          </w:tcPr>
          <w:p w14:paraId="21C4CD89">
            <w:pPr>
              <w:adjustRightInd w:val="0"/>
              <w:snapToGrid w:val="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c>
          <w:tcPr>
            <w:tcW w:w="1320" w:type="dxa"/>
            <w:noWrap w:val="0"/>
            <w:vAlign w:val="center"/>
          </w:tcPr>
          <w:p w14:paraId="4B8598DE">
            <w:pPr>
              <w:adjustRightInd w:val="0"/>
              <w:snapToGrid w:val="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c>
          <w:tcPr>
            <w:tcW w:w="1950" w:type="dxa"/>
            <w:noWrap w:val="0"/>
            <w:vAlign w:val="center"/>
          </w:tcPr>
          <w:p w14:paraId="0344C682">
            <w:pPr>
              <w:adjustRightInd w:val="0"/>
              <w:snapToGrid w:val="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c>
          <w:tcPr>
            <w:tcW w:w="2886" w:type="dxa"/>
            <w:noWrap w:val="0"/>
            <w:vAlign w:val="center"/>
          </w:tcPr>
          <w:p w14:paraId="7595741B">
            <w:pPr>
              <w:adjustRightInd w:val="0"/>
              <w:snapToGrid w:val="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r>
      <w:tr w14:paraId="34909E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0" w:hRule="atLeast"/>
          <w:jc w:val="center"/>
        </w:trPr>
        <w:tc>
          <w:tcPr>
            <w:tcW w:w="1084" w:type="dxa"/>
            <w:noWrap w:val="0"/>
            <w:vAlign w:val="center"/>
          </w:tcPr>
          <w:p w14:paraId="3836C37B">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固体废物</w:t>
            </w:r>
          </w:p>
        </w:tc>
        <w:tc>
          <w:tcPr>
            <w:tcW w:w="7716" w:type="dxa"/>
            <w:gridSpan w:val="4"/>
            <w:noWrap w:val="0"/>
            <w:vAlign w:val="center"/>
          </w:tcPr>
          <w:p w14:paraId="255DCDF2">
            <w:pPr>
              <w:adjustRightInd w:val="0"/>
              <w:snapToGrid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生活垃圾</w:t>
            </w:r>
            <w:r>
              <w:rPr>
                <w:rFonts w:hint="default" w:ascii="Times New Roman" w:hAnsi="Times New Roman" w:cs="Times New Roman"/>
                <w:color w:val="auto"/>
                <w:szCs w:val="21"/>
                <w:highlight w:val="none"/>
                <w:lang w:val="en-US" w:eastAsia="zh-CN"/>
              </w:rPr>
              <w:t>依托</w:t>
            </w:r>
            <w:r>
              <w:rPr>
                <w:rFonts w:hint="default" w:ascii="Times New Roman" w:hAnsi="Times New Roman" w:cs="Times New Roman"/>
                <w:color w:val="auto"/>
                <w:szCs w:val="21"/>
                <w:highlight w:val="none"/>
              </w:rPr>
              <w:t>当地环卫部门统一收集处理</w:t>
            </w:r>
            <w:r>
              <w:rPr>
                <w:rFonts w:hint="default" w:ascii="Times New Roman" w:hAnsi="Times New Roman" w:cs="Times New Roman"/>
                <w:color w:val="auto"/>
                <w:szCs w:val="21"/>
                <w:highlight w:val="none"/>
                <w:lang w:val="en-US" w:eastAsia="zh-CN"/>
              </w:rPr>
              <w:t>；初期雨水收集池沉渣</w:t>
            </w:r>
            <w:r>
              <w:rPr>
                <w:rFonts w:hint="default" w:ascii="Times New Roman" w:hAnsi="Times New Roman" w:cs="Times New Roman"/>
                <w:bCs/>
                <w:color w:val="auto"/>
                <w:szCs w:val="24"/>
                <w:highlight w:val="none"/>
              </w:rPr>
              <w:t>定期清理后外售综合利用</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lang w:val="en-US" w:eastAsia="zh-CN"/>
              </w:rPr>
              <w:t>废机油</w:t>
            </w:r>
            <w:r>
              <w:rPr>
                <w:rFonts w:hint="default" w:ascii="Times New Roman" w:hAnsi="Times New Roman" w:cs="Times New Roman"/>
                <w:color w:val="auto"/>
                <w:szCs w:val="21"/>
                <w:highlight w:val="none"/>
                <w:lang w:val="en-US" w:eastAsia="zh-CN"/>
              </w:rPr>
              <w:t>统一</w:t>
            </w:r>
            <w:r>
              <w:rPr>
                <w:rFonts w:hint="default" w:ascii="Times New Roman" w:hAnsi="Times New Roman" w:eastAsia="宋体" w:cs="Times New Roman"/>
                <w:color w:val="auto"/>
                <w:szCs w:val="21"/>
                <w:highlight w:val="none"/>
                <w:lang w:val="en-US" w:eastAsia="zh-CN"/>
              </w:rPr>
              <w:t>暂存于</w:t>
            </w:r>
            <w:r>
              <w:rPr>
                <w:rFonts w:hint="default" w:ascii="Times New Roman" w:hAnsi="Times New Roman" w:cs="Times New Roman"/>
                <w:color w:val="auto"/>
                <w:szCs w:val="21"/>
                <w:highlight w:val="none"/>
                <w:lang w:val="en-US" w:eastAsia="zh-CN"/>
              </w:rPr>
              <w:t>危险废物贮存点</w:t>
            </w:r>
            <w:r>
              <w:rPr>
                <w:rFonts w:hint="default" w:ascii="Times New Roman" w:hAnsi="Times New Roman" w:eastAsia="宋体" w:cs="Times New Roman"/>
                <w:color w:val="auto"/>
                <w:szCs w:val="21"/>
                <w:highlight w:val="none"/>
                <w:lang w:val="en-US" w:eastAsia="zh-CN"/>
              </w:rPr>
              <w:t>，委托有资质单位处置</w:t>
            </w:r>
            <w:r>
              <w:rPr>
                <w:rFonts w:hint="default" w:ascii="Times New Roman" w:hAnsi="Times New Roman" w:eastAsia="宋体" w:cs="Times New Roman"/>
                <w:color w:val="auto"/>
                <w:szCs w:val="21"/>
                <w:highlight w:val="none"/>
                <w:lang w:eastAsia="zh-CN"/>
              </w:rPr>
              <w:t>。</w:t>
            </w:r>
          </w:p>
        </w:tc>
      </w:tr>
      <w:tr w14:paraId="6595BF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13" w:hRule="atLeast"/>
          <w:jc w:val="center"/>
        </w:trPr>
        <w:tc>
          <w:tcPr>
            <w:tcW w:w="1084" w:type="dxa"/>
            <w:noWrap w:val="0"/>
            <w:vAlign w:val="center"/>
          </w:tcPr>
          <w:p w14:paraId="5E333DA4">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土壤及地下水污染防治措施</w:t>
            </w:r>
          </w:p>
        </w:tc>
        <w:tc>
          <w:tcPr>
            <w:tcW w:w="7716" w:type="dxa"/>
            <w:gridSpan w:val="4"/>
            <w:noWrap w:val="0"/>
            <w:vAlign w:val="center"/>
          </w:tcPr>
          <w:p w14:paraId="152D2B3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lang w:val="en-US" w:eastAsia="zh-CN"/>
              </w:rPr>
              <w:t>车辆进出口及主要通道使用水泥硬化，对煤炭堆场、初期雨水收集池、旱厕进行一般防渗，防渗层为等效黏土防渗层Mb≥1.5m，渗透系数≤10</w:t>
            </w:r>
            <w:r>
              <w:rPr>
                <w:rFonts w:hint="default" w:ascii="Times New Roman" w:hAnsi="Times New Roman" w:eastAsia="宋体" w:cs="Times New Roman"/>
                <w:color w:val="auto"/>
                <w:szCs w:val="21"/>
                <w:highlight w:val="none"/>
                <w:vertAlign w:val="superscript"/>
                <w:lang w:val="en-US" w:eastAsia="zh-CN"/>
              </w:rPr>
              <w:t>-7</w:t>
            </w:r>
            <w:r>
              <w:rPr>
                <w:rFonts w:hint="default" w:ascii="Times New Roman" w:hAnsi="Times New Roman" w:eastAsia="宋体" w:cs="Times New Roman"/>
                <w:color w:val="auto"/>
                <w:szCs w:val="21"/>
                <w:highlight w:val="none"/>
                <w:lang w:val="en-US" w:eastAsia="zh-CN"/>
              </w:rPr>
              <w:t>cm/s）；危险废物贮存点进行重点防渗，防渗层为至少2mm厚的防渗人工材料，防渗系数≤10</w:t>
            </w:r>
            <w:r>
              <w:rPr>
                <w:rFonts w:hint="default" w:ascii="Times New Roman" w:hAnsi="Times New Roman" w:eastAsia="宋体" w:cs="Times New Roman"/>
                <w:color w:val="auto"/>
                <w:szCs w:val="21"/>
                <w:highlight w:val="none"/>
                <w:vertAlign w:val="superscript"/>
                <w:lang w:val="en-US" w:eastAsia="zh-CN"/>
              </w:rPr>
              <w:t>-10</w:t>
            </w:r>
            <w:r>
              <w:rPr>
                <w:rFonts w:hint="default" w:ascii="Times New Roman" w:hAnsi="Times New Roman" w:eastAsia="宋体" w:cs="Times New Roman"/>
                <w:color w:val="auto"/>
                <w:szCs w:val="21"/>
                <w:highlight w:val="none"/>
                <w:lang w:val="en-US" w:eastAsia="zh-CN"/>
              </w:rPr>
              <w:t>cm/s。</w:t>
            </w:r>
          </w:p>
        </w:tc>
      </w:tr>
      <w:tr w14:paraId="35DF6F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1084" w:type="dxa"/>
            <w:noWrap w:val="0"/>
            <w:vAlign w:val="center"/>
          </w:tcPr>
          <w:p w14:paraId="68090829">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生态保护措施</w:t>
            </w:r>
          </w:p>
        </w:tc>
        <w:tc>
          <w:tcPr>
            <w:tcW w:w="7716" w:type="dxa"/>
            <w:gridSpan w:val="4"/>
            <w:noWrap w:val="0"/>
            <w:vAlign w:val="center"/>
          </w:tcPr>
          <w:p w14:paraId="6EB5EC9F">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宋体" w:hAnsi="宋体" w:eastAsia="宋体" w:cs="宋体"/>
                <w:color w:val="auto"/>
                <w:szCs w:val="21"/>
                <w:highlight w:val="none"/>
                <w:lang w:val="en-US" w:eastAsia="zh-CN"/>
              </w:rPr>
              <w:t>/</w:t>
            </w:r>
          </w:p>
        </w:tc>
      </w:tr>
      <w:tr w14:paraId="6FD51C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9" w:hRule="atLeast"/>
          <w:jc w:val="center"/>
        </w:trPr>
        <w:tc>
          <w:tcPr>
            <w:tcW w:w="1084" w:type="dxa"/>
            <w:noWrap w:val="0"/>
            <w:vAlign w:val="center"/>
          </w:tcPr>
          <w:p w14:paraId="1640D069">
            <w:pPr>
              <w:adjustRightInd w:val="0"/>
              <w:snapToGrid w:val="0"/>
              <w:jc w:val="center"/>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环境风险</w:t>
            </w:r>
          </w:p>
          <w:p w14:paraId="7D9F45BB">
            <w:pPr>
              <w:adjustRightInd w:val="0"/>
              <w:snapToGrid w:val="0"/>
              <w:jc w:val="center"/>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防范措施</w:t>
            </w:r>
          </w:p>
        </w:tc>
        <w:tc>
          <w:tcPr>
            <w:tcW w:w="7716" w:type="dxa"/>
            <w:gridSpan w:val="4"/>
            <w:noWrap w:val="0"/>
            <w:vAlign w:val="center"/>
          </w:tcPr>
          <w:p w14:paraId="41503ED7">
            <w:pPr>
              <w:adjustRightInd w:val="0"/>
              <w:snapToGrid w:val="0"/>
              <w:ind w:left="0" w:leftChars="0" w:firstLine="0" w:firstLine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1、</w:t>
            </w:r>
            <w:r>
              <w:rPr>
                <w:rFonts w:hint="default" w:ascii="Times New Roman" w:hAnsi="Times New Roman" w:cs="Times New Roman"/>
                <w:color w:val="auto"/>
                <w:szCs w:val="21"/>
                <w:highlight w:val="none"/>
                <w:lang w:val="en-US" w:eastAsia="zh-CN"/>
              </w:rPr>
              <w:t>组织人员定期巡查；</w:t>
            </w:r>
            <w:r>
              <w:rPr>
                <w:rFonts w:hint="default" w:ascii="Times New Roman" w:hAnsi="Times New Roman" w:cs="Times New Roman"/>
                <w:color w:val="auto"/>
                <w:szCs w:val="21"/>
                <w:highlight w:val="none"/>
              </w:rPr>
              <w:t>2、设置安全警示标识及公告栏</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3、建立台账</w:t>
            </w:r>
          </w:p>
        </w:tc>
      </w:tr>
      <w:tr w14:paraId="7DAA9C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5" w:hRule="atLeast"/>
          <w:jc w:val="center"/>
        </w:trPr>
        <w:tc>
          <w:tcPr>
            <w:tcW w:w="1084" w:type="dxa"/>
            <w:noWrap w:val="0"/>
            <w:vAlign w:val="center"/>
          </w:tcPr>
          <w:p w14:paraId="4B533F46">
            <w:pPr>
              <w:adjustRightInd w:val="0"/>
              <w:snapToGrid w:val="0"/>
              <w:jc w:val="center"/>
              <w:rPr>
                <w:rFonts w:hint="default" w:ascii="Times New Roman" w:hAnsi="Times New Roman" w:cs="Times New Roman"/>
                <w:color w:val="000000" w:themeColor="text1"/>
                <w:spacing w:val="-8"/>
                <w:szCs w:val="21"/>
                <w:highlight w:val="none"/>
                <w14:textFill>
                  <w14:solidFill>
                    <w14:schemeClr w14:val="tx1"/>
                  </w14:solidFill>
                </w14:textFill>
              </w:rPr>
            </w:pPr>
            <w:r>
              <w:rPr>
                <w:rFonts w:hint="default" w:ascii="Times New Roman" w:hAnsi="Times New Roman" w:cs="Times New Roman"/>
                <w:color w:val="000000" w:themeColor="text1"/>
                <w:spacing w:val="-8"/>
                <w:szCs w:val="21"/>
                <w:highlight w:val="none"/>
                <w14:textFill>
                  <w14:solidFill>
                    <w14:schemeClr w14:val="tx1"/>
                  </w14:solidFill>
                </w14:textFill>
              </w:rPr>
              <w:t>其他环境</w:t>
            </w:r>
          </w:p>
          <w:p w14:paraId="09B89BB6">
            <w:pPr>
              <w:adjustRightInd w:val="0"/>
              <w:snapToGrid w:val="0"/>
              <w:jc w:val="center"/>
              <w:rPr>
                <w:rFonts w:hint="default" w:ascii="Times New Roman" w:hAnsi="Times New Roman" w:cs="Times New Roman"/>
                <w:color w:val="000000" w:themeColor="text1"/>
                <w:spacing w:val="-8"/>
                <w:szCs w:val="21"/>
                <w:highlight w:val="none"/>
                <w14:textFill>
                  <w14:solidFill>
                    <w14:schemeClr w14:val="tx1"/>
                  </w14:solidFill>
                </w14:textFill>
              </w:rPr>
            </w:pPr>
            <w:r>
              <w:rPr>
                <w:rFonts w:hint="default" w:ascii="Times New Roman" w:hAnsi="Times New Roman" w:cs="Times New Roman"/>
                <w:color w:val="000000" w:themeColor="text1"/>
                <w:spacing w:val="-8"/>
                <w:szCs w:val="21"/>
                <w:highlight w:val="none"/>
                <w14:textFill>
                  <w14:solidFill>
                    <w14:schemeClr w14:val="tx1"/>
                  </w14:solidFill>
                </w14:textFill>
              </w:rPr>
              <w:t>管理要求</w:t>
            </w:r>
          </w:p>
        </w:tc>
        <w:tc>
          <w:tcPr>
            <w:tcW w:w="7716" w:type="dxa"/>
            <w:gridSpan w:val="4"/>
            <w:noWrap w:val="0"/>
            <w:vAlign w:val="center"/>
          </w:tcPr>
          <w:p w14:paraId="749163D7">
            <w:pPr>
              <w:numPr>
                <w:ilvl w:val="0"/>
                <w:numId w:val="0"/>
              </w:numPr>
              <w:adjustRightInd w:val="0"/>
              <w:snapToGrid w:val="0"/>
              <w:jc w:val="center"/>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t>1、</w:t>
            </w:r>
            <w:r>
              <w:rPr>
                <w:rFonts w:hint="default" w:ascii="Times New Roman" w:hAnsi="Times New Roman" w:cs="Times New Roman"/>
                <w:color w:val="000000" w:themeColor="text1"/>
                <w:szCs w:val="21"/>
                <w:highlight w:val="none"/>
                <w14:textFill>
                  <w14:solidFill>
                    <w14:schemeClr w14:val="tx1"/>
                  </w14:solidFill>
                </w14:textFill>
              </w:rPr>
              <w:t>定期对厂区及周</w:t>
            </w:r>
            <w:r>
              <w:rPr>
                <w:rFonts w:hint="eastAsia" w:ascii="宋体" w:hAnsi="宋体" w:eastAsia="宋体" w:cs="宋体"/>
                <w:color w:val="000000" w:themeColor="text1"/>
                <w:szCs w:val="21"/>
                <w:highlight w:val="none"/>
                <w14:textFill>
                  <w14:solidFill>
                    <w14:schemeClr w14:val="tx1"/>
                  </w14:solidFill>
                </w14:textFill>
              </w:rPr>
              <w:t>边进行清理保洁，保持良好的环境卫生面貌，防止出现</w:t>
            </w:r>
            <w:r>
              <w:rPr>
                <w:rFonts w:hint="eastAsia" w:ascii="宋体" w:hAnsi="宋体" w:eastAsia="宋体" w:cs="宋体"/>
                <w:color w:val="000000" w:themeColor="text1"/>
                <w:szCs w:val="21"/>
                <w:highlight w:val="none"/>
                <w:lang w:eastAsia="zh-CN"/>
                <w14:textFill>
                  <w14:solidFill>
                    <w14:schemeClr w14:val="tx1"/>
                  </w14:solidFill>
                </w14:textFill>
              </w:rPr>
              <w:t>“</w:t>
            </w:r>
            <w:r>
              <w:rPr>
                <w:rFonts w:hint="eastAsia" w:ascii="宋体" w:hAnsi="宋体" w:eastAsia="宋体" w:cs="宋体"/>
                <w:color w:val="000000" w:themeColor="text1"/>
                <w:szCs w:val="21"/>
                <w:highlight w:val="none"/>
                <w14:textFill>
                  <w14:solidFill>
                    <w14:schemeClr w14:val="tx1"/>
                  </w14:solidFill>
                </w14:textFill>
              </w:rPr>
              <w:t>脏、乱、差</w:t>
            </w:r>
            <w:r>
              <w:rPr>
                <w:rFonts w:hint="eastAsia" w:ascii="宋体" w:hAnsi="宋体" w:eastAsia="宋体" w:cs="宋体"/>
                <w:color w:val="000000" w:themeColor="text1"/>
                <w:szCs w:val="21"/>
                <w:highlight w:val="none"/>
                <w:lang w:eastAsia="zh-CN"/>
                <w14:textFill>
                  <w14:solidFill>
                    <w14:schemeClr w14:val="tx1"/>
                  </w14:solidFill>
                </w14:textFill>
              </w:rPr>
              <w:t>”</w:t>
            </w:r>
            <w:r>
              <w:rPr>
                <w:rFonts w:hint="eastAsia" w:ascii="宋体" w:hAnsi="宋体" w:eastAsia="宋体" w:cs="宋体"/>
                <w:color w:val="000000" w:themeColor="text1"/>
                <w:szCs w:val="21"/>
                <w:highlight w:val="none"/>
                <w14:textFill>
                  <w14:solidFill>
                    <w14:schemeClr w14:val="tx1"/>
                  </w14:solidFill>
                </w14:textFill>
              </w:rPr>
              <w:t>现象</w:t>
            </w:r>
            <w:r>
              <w:rPr>
                <w:rFonts w:hint="eastAsia" w:ascii="宋体" w:hAnsi="宋体" w:eastAsia="宋体" w:cs="宋体"/>
                <w:color w:val="000000" w:themeColor="text1"/>
                <w:szCs w:val="21"/>
                <w:highlight w:val="none"/>
                <w:lang w:eastAsia="zh-CN"/>
                <w14:textFill>
                  <w14:solidFill>
                    <w14:schemeClr w14:val="tx1"/>
                  </w14:solidFill>
                </w14:textFill>
              </w:rPr>
              <w:t>。</w:t>
            </w:r>
          </w:p>
          <w:p w14:paraId="383202C6">
            <w:pPr>
              <w:numPr>
                <w:ilvl w:val="0"/>
                <w:numId w:val="0"/>
              </w:numPr>
              <w:adjustRightInd w:val="0"/>
              <w:snapToGrid w:val="0"/>
              <w:jc w:val="center"/>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t>2、</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根据《国务院办公厅关于印发控制污染物排放许可制度实施方案的通知》（国办发[2016]81 号），将排污许可制度建设成为固定污染源环境管理的核心制度。本项目应严格按照国家排污许可证改革的要求，推进刷卡排污及污染源</w:t>
            </w:r>
            <w:r>
              <w:rPr>
                <w:rFonts w:hint="eastAsia" w:cs="Times New Roman"/>
                <w:color w:val="000000" w:themeColor="text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一证式</w:t>
            </w:r>
            <w:r>
              <w:rPr>
                <w:rFonts w:hint="eastAsia" w:cs="Times New Roman"/>
                <w:color w:val="000000" w:themeColor="text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管理工作，并作为建设单位在生产运营期接受环境监管和环境保护部门实施监管的主要法律文书，单位依法申领排污许可证，按证排污，自证守法。环境保护部门基于企事业单位守法承诺，依法发放排污许可证， 依证强化事中事后监管。</w:t>
            </w:r>
          </w:p>
        </w:tc>
      </w:tr>
    </w:tbl>
    <w:p w14:paraId="0097A640">
      <w:pPr>
        <w:pStyle w:val="18"/>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cs="Times New Roman"/>
          <w:snapToGrid w:val="0"/>
          <w:color w:val="auto"/>
          <w:highlight w:val="none"/>
        </w:rPr>
        <w:br w:type="page"/>
      </w:r>
      <w:bookmarkStart w:id="42" w:name="_Toc25613"/>
      <w:bookmarkStart w:id="43" w:name="_Toc32071"/>
      <w:bookmarkStart w:id="44" w:name="_Toc12568"/>
      <w:bookmarkStart w:id="45" w:name="_Toc4881"/>
      <w:r>
        <w:rPr>
          <w:rFonts w:hint="default" w:ascii="Times New Roman" w:hAnsi="Times New Roman" w:eastAsia="黑体" w:cs="Times New Roman"/>
          <w:snapToGrid w:val="0"/>
          <w:color w:val="auto"/>
          <w:sz w:val="30"/>
          <w:szCs w:val="30"/>
          <w:highlight w:val="none"/>
        </w:rPr>
        <w:t>六、结论</w:t>
      </w:r>
      <w:bookmarkEnd w:id="42"/>
      <w:bookmarkEnd w:id="43"/>
      <w:bookmarkEnd w:id="44"/>
      <w:bookmarkEnd w:id="45"/>
    </w:p>
    <w:tbl>
      <w:tblPr>
        <w:tblStyle w:val="20"/>
        <w:tblW w:w="963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14:paraId="5DCE06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04EEBEF0">
            <w:pPr>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本项目符合国家的产业政策，选址合理。项目在建设和运营中产生的环境影响较小，建设单位认真落实本报告提出的各项污染治理措施</w:t>
            </w:r>
            <w:r>
              <w:rPr>
                <w:rFonts w:hint="default" w:ascii="Times New Roman" w:hAnsi="Times New Roman" w:cs="Times New Roman"/>
                <w:bCs/>
                <w:color w:val="auto"/>
                <w:sz w:val="24"/>
                <w:highlight w:val="none"/>
                <w:lang w:eastAsia="zh-CN"/>
              </w:rPr>
              <w:t>，以</w:t>
            </w:r>
            <w:r>
              <w:rPr>
                <w:rFonts w:hint="default" w:ascii="Times New Roman" w:hAnsi="Times New Roman" w:cs="Times New Roman"/>
                <w:bCs/>
                <w:color w:val="auto"/>
                <w:sz w:val="24"/>
                <w:highlight w:val="none"/>
              </w:rPr>
              <w:t>及日常环保管理工作，在确保环保设施正常运行和达标排放前提下，从环保角度考虑，本项目建设可行。</w:t>
            </w:r>
          </w:p>
          <w:p w14:paraId="3E445837">
            <w:pPr>
              <w:widowControl/>
              <w:spacing w:line="480" w:lineRule="atLeast"/>
              <w:ind w:firstLine="420"/>
              <w:rPr>
                <w:rFonts w:hint="default" w:ascii="Times New Roman" w:hAnsi="Times New Roman" w:cs="Times New Roman"/>
                <w:color w:val="auto"/>
                <w:kern w:val="0"/>
                <w:sz w:val="24"/>
                <w:highlight w:val="none"/>
              </w:rPr>
            </w:pPr>
          </w:p>
          <w:p w14:paraId="550EC3C8">
            <w:pPr>
              <w:spacing w:line="360" w:lineRule="auto"/>
              <w:rPr>
                <w:rFonts w:hint="default" w:ascii="Times New Roman" w:hAnsi="Times New Roman" w:cs="Times New Roman"/>
                <w:color w:val="auto"/>
                <w:sz w:val="24"/>
                <w:highlight w:val="none"/>
              </w:rPr>
            </w:pPr>
          </w:p>
        </w:tc>
      </w:tr>
    </w:tbl>
    <w:p w14:paraId="358CC2E2">
      <w:pPr>
        <w:rPr>
          <w:rFonts w:hint="default" w:ascii="Times New Roman" w:hAnsi="Times New Roman" w:cs="Times New Roman"/>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3F079710">
      <w:pPr>
        <w:pStyle w:val="18"/>
        <w:adjustRightInd w:val="0"/>
        <w:spacing w:before="0" w:beforeAutospacing="0" w:after="0" w:afterAutospacing="0" w:line="360" w:lineRule="auto"/>
        <w:outlineLvl w:val="0"/>
        <w:rPr>
          <w:rFonts w:hint="eastAsia" w:ascii="宋体" w:hAnsi="宋体" w:eastAsia="宋体" w:cs="宋体"/>
          <w:snapToGrid w:val="0"/>
          <w:color w:val="auto"/>
          <w:sz w:val="32"/>
          <w:szCs w:val="32"/>
          <w:highlight w:val="none"/>
        </w:rPr>
      </w:pPr>
      <w:bookmarkStart w:id="46" w:name="_Toc80034807"/>
      <w:bookmarkStart w:id="47" w:name="_Toc31938"/>
      <w:bookmarkStart w:id="48" w:name="_Toc16362"/>
      <w:bookmarkStart w:id="49" w:name="_Toc6080"/>
      <w:bookmarkStart w:id="50" w:name="_Toc6953"/>
      <w:bookmarkStart w:id="51" w:name="_Toc7416"/>
      <w:bookmarkStart w:id="52" w:name="_Toc24798"/>
      <w:r>
        <w:rPr>
          <w:rFonts w:hint="eastAsia" w:ascii="宋体" w:hAnsi="宋体" w:eastAsia="宋体" w:cs="宋体"/>
          <w:snapToGrid w:val="0"/>
          <w:color w:val="auto"/>
          <w:sz w:val="32"/>
          <w:szCs w:val="32"/>
          <w:highlight w:val="none"/>
        </w:rPr>
        <w:t>附表</w:t>
      </w:r>
      <w:bookmarkEnd w:id="46"/>
      <w:bookmarkEnd w:id="47"/>
      <w:bookmarkEnd w:id="48"/>
      <w:bookmarkEnd w:id="49"/>
      <w:bookmarkEnd w:id="50"/>
      <w:bookmarkEnd w:id="51"/>
      <w:bookmarkEnd w:id="52"/>
    </w:p>
    <w:p w14:paraId="3D7E5F26">
      <w:pPr>
        <w:pStyle w:val="18"/>
        <w:adjustRightInd w:val="0"/>
        <w:snapToGrid w:val="0"/>
        <w:spacing w:before="0" w:beforeAutospacing="0" w:after="0" w:afterAutospacing="0" w:line="360" w:lineRule="auto"/>
        <w:jc w:val="center"/>
        <w:outlineLvl w:val="0"/>
        <w:rPr>
          <w:rFonts w:hint="eastAsia" w:ascii="宋体" w:hAnsi="宋体" w:eastAsia="宋体" w:cs="宋体"/>
          <w:snapToGrid w:val="0"/>
          <w:color w:val="auto"/>
          <w:sz w:val="38"/>
          <w:szCs w:val="38"/>
          <w:highlight w:val="none"/>
        </w:rPr>
      </w:pPr>
      <w:bookmarkStart w:id="53" w:name="_Toc30416"/>
      <w:bookmarkStart w:id="54" w:name="_Toc80034808"/>
      <w:bookmarkStart w:id="55" w:name="_Toc3177"/>
      <w:bookmarkStart w:id="56" w:name="_Toc3415"/>
      <w:bookmarkStart w:id="57" w:name="_Toc16894"/>
      <w:r>
        <w:rPr>
          <w:rFonts w:hint="eastAsia" w:ascii="宋体" w:hAnsi="宋体" w:eastAsia="宋体" w:cs="宋体"/>
          <w:snapToGrid w:val="0"/>
          <w:color w:val="auto"/>
          <w:sz w:val="38"/>
          <w:szCs w:val="38"/>
          <w:highlight w:val="none"/>
        </w:rPr>
        <w:t>建设项目污染物排放量汇总表</w:t>
      </w:r>
      <w:bookmarkEnd w:id="53"/>
      <w:bookmarkEnd w:id="54"/>
      <w:bookmarkEnd w:id="55"/>
      <w:bookmarkEnd w:id="56"/>
      <w:bookmarkEnd w:id="57"/>
    </w:p>
    <w:tbl>
      <w:tblPr>
        <w:tblStyle w:val="20"/>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09"/>
        <w:gridCol w:w="1996"/>
        <w:gridCol w:w="1701"/>
        <w:gridCol w:w="1276"/>
        <w:gridCol w:w="1701"/>
        <w:gridCol w:w="1559"/>
        <w:gridCol w:w="1497"/>
        <w:gridCol w:w="1792"/>
        <w:gridCol w:w="1257"/>
      </w:tblGrid>
      <w:tr w14:paraId="1E8065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009" w:type="dxa"/>
            <w:tcBorders>
              <w:tl2br w:val="single" w:color="auto" w:sz="4" w:space="0"/>
            </w:tcBorders>
            <w:tcMar>
              <w:left w:w="28" w:type="dxa"/>
              <w:right w:w="28" w:type="dxa"/>
            </w:tcMar>
            <w:vAlign w:val="center"/>
          </w:tcPr>
          <w:p w14:paraId="4A638F0A">
            <w:pPr>
              <w:pStyle w:val="38"/>
              <w:spacing w:beforeLines="0" w:afterLines="0" w:line="240" w:lineRule="auto"/>
              <w:jc w:val="right"/>
              <w:rPr>
                <w:rFonts w:hint="eastAsia" w:ascii="宋体" w:hAnsi="宋体" w:eastAsia="宋体" w:cs="宋体"/>
                <w:snapToGrid w:val="0"/>
                <w:color w:val="auto"/>
                <w:spacing w:val="-6"/>
                <w:kern w:val="21"/>
                <w:sz w:val="21"/>
                <w:szCs w:val="21"/>
                <w:highlight w:val="none"/>
              </w:rPr>
            </w:pPr>
            <w:r>
              <w:rPr>
                <w:rFonts w:hint="eastAsia" w:ascii="宋体" w:hAnsi="宋体" w:eastAsia="宋体" w:cs="宋体"/>
                <w:snapToGrid w:val="0"/>
                <w:color w:val="auto"/>
                <w:spacing w:val="-6"/>
                <w:kern w:val="21"/>
                <w:sz w:val="21"/>
                <w:szCs w:val="21"/>
                <w:highlight w:val="none"/>
              </w:rPr>
              <w:t>项目</w:t>
            </w:r>
          </w:p>
          <w:p w14:paraId="58319617">
            <w:pPr>
              <w:pStyle w:val="38"/>
              <w:spacing w:beforeLines="0" w:afterLines="0" w:line="240" w:lineRule="auto"/>
              <w:jc w:val="left"/>
              <w:rPr>
                <w:rFonts w:hint="eastAsia" w:ascii="宋体" w:hAnsi="宋体" w:eastAsia="宋体" w:cs="宋体"/>
                <w:snapToGrid w:val="0"/>
                <w:color w:val="auto"/>
                <w:spacing w:val="-6"/>
                <w:kern w:val="21"/>
                <w:sz w:val="21"/>
                <w:szCs w:val="21"/>
                <w:highlight w:val="none"/>
              </w:rPr>
            </w:pPr>
            <w:r>
              <w:rPr>
                <w:rFonts w:hint="eastAsia" w:ascii="宋体" w:hAnsi="宋体" w:eastAsia="宋体" w:cs="宋体"/>
                <w:snapToGrid w:val="0"/>
                <w:color w:val="auto"/>
                <w:spacing w:val="-6"/>
                <w:kern w:val="21"/>
                <w:sz w:val="21"/>
                <w:szCs w:val="21"/>
                <w:highlight w:val="none"/>
              </w:rPr>
              <w:t>分类</w:t>
            </w:r>
          </w:p>
        </w:tc>
        <w:tc>
          <w:tcPr>
            <w:tcW w:w="1996" w:type="dxa"/>
            <w:tcMar>
              <w:left w:w="28" w:type="dxa"/>
              <w:right w:w="28" w:type="dxa"/>
            </w:tcMar>
            <w:vAlign w:val="center"/>
          </w:tcPr>
          <w:p w14:paraId="7B2CB8B3">
            <w:pPr>
              <w:pStyle w:val="38"/>
              <w:spacing w:beforeLines="0" w:afterLines="0" w:line="240" w:lineRule="auto"/>
              <w:rPr>
                <w:rFonts w:hint="eastAsia" w:ascii="宋体" w:hAnsi="宋体" w:eastAsia="宋体" w:cs="宋体"/>
                <w:snapToGrid w:val="0"/>
                <w:color w:val="auto"/>
                <w:spacing w:val="-6"/>
                <w:kern w:val="21"/>
                <w:sz w:val="21"/>
                <w:szCs w:val="21"/>
                <w:highlight w:val="none"/>
              </w:rPr>
            </w:pPr>
            <w:r>
              <w:rPr>
                <w:rFonts w:hint="eastAsia" w:ascii="宋体" w:hAnsi="宋体" w:eastAsia="宋体" w:cs="宋体"/>
                <w:snapToGrid w:val="0"/>
                <w:color w:val="auto"/>
                <w:spacing w:val="-6"/>
                <w:kern w:val="21"/>
                <w:sz w:val="21"/>
                <w:szCs w:val="21"/>
                <w:highlight w:val="none"/>
              </w:rPr>
              <w:t>污染物名称</w:t>
            </w:r>
          </w:p>
        </w:tc>
        <w:tc>
          <w:tcPr>
            <w:tcW w:w="1701" w:type="dxa"/>
            <w:tcMar>
              <w:left w:w="28" w:type="dxa"/>
              <w:right w:w="28" w:type="dxa"/>
            </w:tcMar>
            <w:vAlign w:val="center"/>
          </w:tcPr>
          <w:p w14:paraId="1C6FB852">
            <w:pPr>
              <w:pStyle w:val="38"/>
              <w:spacing w:beforeLines="0" w:afterLines="0" w:line="240" w:lineRule="auto"/>
              <w:rPr>
                <w:rFonts w:hint="eastAsia" w:ascii="宋体" w:hAnsi="宋体" w:eastAsia="宋体" w:cs="宋体"/>
                <w:snapToGrid w:val="0"/>
                <w:color w:val="auto"/>
                <w:spacing w:val="-6"/>
                <w:kern w:val="21"/>
                <w:sz w:val="21"/>
                <w:szCs w:val="21"/>
                <w:highlight w:val="none"/>
              </w:rPr>
            </w:pPr>
            <w:r>
              <w:rPr>
                <w:rFonts w:hint="eastAsia" w:ascii="宋体" w:hAnsi="宋体" w:eastAsia="宋体" w:cs="宋体"/>
                <w:snapToGrid w:val="0"/>
                <w:color w:val="auto"/>
                <w:spacing w:val="-6"/>
                <w:kern w:val="21"/>
                <w:sz w:val="21"/>
                <w:szCs w:val="21"/>
                <w:highlight w:val="none"/>
              </w:rPr>
              <w:t>现有工程</w:t>
            </w:r>
          </w:p>
          <w:p w14:paraId="46C99895">
            <w:pPr>
              <w:pStyle w:val="38"/>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eastAsia" w:ascii="宋体" w:hAnsi="宋体" w:eastAsia="宋体" w:cs="宋体"/>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1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①</w:t>
            </w:r>
            <w:r>
              <w:rPr>
                <w:rFonts w:hint="default" w:ascii="Times New Roman" w:hAnsi="Times New Roman" w:eastAsia="黑体" w:cs="Times New Roman"/>
                <w:snapToGrid w:val="0"/>
                <w:color w:val="auto"/>
                <w:spacing w:val="-6"/>
                <w:kern w:val="21"/>
                <w:sz w:val="21"/>
                <w:szCs w:val="21"/>
                <w:highlight w:val="none"/>
              </w:rPr>
              <w:fldChar w:fldCharType="end"/>
            </w:r>
          </w:p>
        </w:tc>
        <w:tc>
          <w:tcPr>
            <w:tcW w:w="1276" w:type="dxa"/>
            <w:tcMar>
              <w:left w:w="28" w:type="dxa"/>
              <w:right w:w="28" w:type="dxa"/>
            </w:tcMar>
            <w:vAlign w:val="center"/>
          </w:tcPr>
          <w:p w14:paraId="6D6BA0BC">
            <w:pPr>
              <w:pStyle w:val="38"/>
              <w:spacing w:beforeLines="0" w:afterLines="0" w:line="240" w:lineRule="auto"/>
              <w:rPr>
                <w:rFonts w:hint="default" w:ascii="宋体" w:hAnsi="宋体" w:eastAsia="宋体" w:cs="宋体"/>
                <w:snapToGrid w:val="0"/>
                <w:color w:val="auto"/>
                <w:spacing w:val="-6"/>
                <w:kern w:val="21"/>
                <w:sz w:val="21"/>
                <w:szCs w:val="21"/>
                <w:highlight w:val="none"/>
              </w:rPr>
            </w:pPr>
            <w:r>
              <w:rPr>
                <w:rFonts w:hint="default" w:ascii="宋体" w:hAnsi="宋体" w:eastAsia="宋体" w:cs="宋体"/>
                <w:snapToGrid w:val="0"/>
                <w:color w:val="auto"/>
                <w:spacing w:val="-6"/>
                <w:kern w:val="21"/>
                <w:sz w:val="21"/>
                <w:szCs w:val="21"/>
                <w:highlight w:val="none"/>
              </w:rPr>
              <w:t>现有工程</w:t>
            </w:r>
          </w:p>
          <w:p w14:paraId="5F207402">
            <w:pPr>
              <w:pStyle w:val="38"/>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宋体" w:hAnsi="宋体" w:eastAsia="宋体" w:cs="宋体"/>
                <w:snapToGrid w:val="0"/>
                <w:color w:val="auto"/>
                <w:spacing w:val="-6"/>
                <w:kern w:val="21"/>
                <w:sz w:val="21"/>
                <w:szCs w:val="21"/>
                <w:highlight w:val="none"/>
              </w:rPr>
              <w:t>许可排放量</w:t>
            </w:r>
          </w:p>
          <w:p w14:paraId="1B5AE6FE">
            <w:pPr>
              <w:pStyle w:val="38"/>
              <w:spacing w:beforeLines="0" w:afterLine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2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snapToGrid w:val="0"/>
                <w:color w:val="auto"/>
                <w:spacing w:val="-6"/>
                <w:kern w:val="21"/>
                <w:sz w:val="21"/>
                <w:szCs w:val="21"/>
                <w:highlight w:val="none"/>
              </w:rPr>
              <w:t>②</w:t>
            </w:r>
            <w:r>
              <w:rPr>
                <w:rFonts w:hint="default" w:ascii="Times New Roman" w:hAnsi="Times New Roman" w:eastAsia="黑体" w:cs="Times New Roman"/>
                <w:snapToGrid w:val="0"/>
                <w:color w:val="auto"/>
                <w:spacing w:val="-6"/>
                <w:kern w:val="21"/>
                <w:sz w:val="21"/>
                <w:szCs w:val="21"/>
                <w:highlight w:val="none"/>
              </w:rPr>
              <w:fldChar w:fldCharType="end"/>
            </w:r>
          </w:p>
        </w:tc>
        <w:tc>
          <w:tcPr>
            <w:tcW w:w="1701" w:type="dxa"/>
            <w:tcMar>
              <w:left w:w="28" w:type="dxa"/>
              <w:right w:w="28" w:type="dxa"/>
            </w:tcMar>
            <w:vAlign w:val="center"/>
          </w:tcPr>
          <w:p w14:paraId="560A04EC">
            <w:pPr>
              <w:pStyle w:val="38"/>
              <w:spacing w:beforeLines="0" w:afterLines="0" w:line="240" w:lineRule="auto"/>
              <w:rPr>
                <w:rFonts w:hint="default" w:ascii="宋体" w:hAnsi="宋体" w:eastAsia="宋体" w:cs="宋体"/>
                <w:snapToGrid w:val="0"/>
                <w:color w:val="auto"/>
                <w:spacing w:val="-6"/>
                <w:kern w:val="21"/>
                <w:sz w:val="21"/>
                <w:szCs w:val="21"/>
                <w:highlight w:val="none"/>
              </w:rPr>
            </w:pPr>
            <w:r>
              <w:rPr>
                <w:rFonts w:hint="default" w:ascii="宋体" w:hAnsi="宋体" w:eastAsia="宋体" w:cs="宋体"/>
                <w:snapToGrid w:val="0"/>
                <w:color w:val="auto"/>
                <w:spacing w:val="-6"/>
                <w:kern w:val="21"/>
                <w:sz w:val="21"/>
                <w:szCs w:val="21"/>
                <w:highlight w:val="none"/>
              </w:rPr>
              <w:t>在建工程</w:t>
            </w:r>
          </w:p>
          <w:p w14:paraId="1C229CE2">
            <w:pPr>
              <w:pStyle w:val="38"/>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宋体" w:hAnsi="宋体" w:eastAsia="宋体" w:cs="宋体"/>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3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③</w:t>
            </w:r>
            <w:r>
              <w:rPr>
                <w:rFonts w:hint="default" w:ascii="Times New Roman" w:hAnsi="Times New Roman" w:eastAsia="黑体" w:cs="Times New Roman"/>
                <w:snapToGrid w:val="0"/>
                <w:color w:val="auto"/>
                <w:spacing w:val="-6"/>
                <w:kern w:val="21"/>
                <w:sz w:val="21"/>
                <w:szCs w:val="21"/>
                <w:highlight w:val="none"/>
              </w:rPr>
              <w:fldChar w:fldCharType="end"/>
            </w:r>
          </w:p>
        </w:tc>
        <w:tc>
          <w:tcPr>
            <w:tcW w:w="1559" w:type="dxa"/>
            <w:tcMar>
              <w:left w:w="28" w:type="dxa"/>
              <w:right w:w="28" w:type="dxa"/>
            </w:tcMar>
            <w:vAlign w:val="center"/>
          </w:tcPr>
          <w:p w14:paraId="50BE56D4">
            <w:pPr>
              <w:pStyle w:val="38"/>
              <w:spacing w:beforeLines="0" w:afterLines="0" w:line="240" w:lineRule="auto"/>
              <w:rPr>
                <w:rFonts w:hint="default" w:ascii="宋体" w:hAnsi="宋体" w:eastAsia="宋体" w:cs="宋体"/>
                <w:snapToGrid w:val="0"/>
                <w:color w:val="auto"/>
                <w:spacing w:val="-6"/>
                <w:kern w:val="21"/>
                <w:sz w:val="21"/>
                <w:szCs w:val="21"/>
                <w:highlight w:val="none"/>
              </w:rPr>
            </w:pPr>
            <w:r>
              <w:rPr>
                <w:rFonts w:hint="default" w:ascii="宋体" w:hAnsi="宋体" w:eastAsia="宋体" w:cs="宋体"/>
                <w:snapToGrid w:val="0"/>
                <w:color w:val="auto"/>
                <w:spacing w:val="-6"/>
                <w:kern w:val="21"/>
                <w:sz w:val="21"/>
                <w:szCs w:val="21"/>
                <w:highlight w:val="none"/>
              </w:rPr>
              <w:t>本项目</w:t>
            </w:r>
          </w:p>
          <w:p w14:paraId="3F261A1C">
            <w:pPr>
              <w:pStyle w:val="38"/>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宋体" w:hAnsi="宋体" w:eastAsia="宋体" w:cs="宋体"/>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4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④</w:t>
            </w:r>
            <w:r>
              <w:rPr>
                <w:rFonts w:hint="default" w:ascii="Times New Roman" w:hAnsi="Times New Roman" w:eastAsia="黑体" w:cs="Times New Roman"/>
                <w:snapToGrid w:val="0"/>
                <w:color w:val="auto"/>
                <w:spacing w:val="-6"/>
                <w:kern w:val="21"/>
                <w:sz w:val="21"/>
                <w:szCs w:val="21"/>
                <w:highlight w:val="none"/>
              </w:rPr>
              <w:fldChar w:fldCharType="end"/>
            </w:r>
          </w:p>
        </w:tc>
        <w:tc>
          <w:tcPr>
            <w:tcW w:w="1497" w:type="dxa"/>
            <w:tcMar>
              <w:left w:w="28" w:type="dxa"/>
              <w:right w:w="28" w:type="dxa"/>
            </w:tcMar>
            <w:vAlign w:val="center"/>
          </w:tcPr>
          <w:p w14:paraId="5ACA858B">
            <w:pPr>
              <w:pStyle w:val="38"/>
              <w:spacing w:beforeLines="0" w:afterLines="0" w:line="240" w:lineRule="auto"/>
              <w:rPr>
                <w:rFonts w:hint="default" w:ascii="Times New Roman" w:hAnsi="Times New Roman" w:eastAsia="黑体" w:cs="Times New Roman"/>
                <w:snapToGrid w:val="0"/>
                <w:color w:val="auto"/>
                <w:spacing w:val="-16"/>
                <w:kern w:val="21"/>
                <w:sz w:val="21"/>
                <w:szCs w:val="21"/>
                <w:highlight w:val="none"/>
              </w:rPr>
            </w:pPr>
            <w:r>
              <w:rPr>
                <w:rFonts w:hint="default" w:ascii="宋体" w:hAnsi="宋体" w:eastAsia="宋体" w:cs="宋体"/>
                <w:snapToGrid w:val="0"/>
                <w:color w:val="auto"/>
                <w:spacing w:val="-6"/>
                <w:kern w:val="21"/>
                <w:sz w:val="21"/>
                <w:szCs w:val="21"/>
                <w:highlight w:val="none"/>
              </w:rPr>
              <w:t>以新带老削减量（新建项目不填</w:t>
            </w:r>
            <w:r>
              <w:rPr>
                <w:rFonts w:hint="eastAsia" w:ascii="宋体" w:hAnsi="宋体" w:eastAsia="宋体" w:cs="宋体"/>
                <w:snapToGrid w:val="0"/>
                <w:color w:val="auto"/>
                <w:spacing w:val="-16"/>
                <w:kern w:val="21"/>
                <w:sz w:val="21"/>
                <w:szCs w:val="21"/>
                <w:highlight w:val="none"/>
              </w:rPr>
              <w:t>）</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5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⑤</w:t>
            </w:r>
            <w:r>
              <w:rPr>
                <w:rFonts w:hint="default" w:ascii="Times New Roman" w:hAnsi="Times New Roman" w:eastAsia="黑体" w:cs="Times New Roman"/>
                <w:snapToGrid w:val="0"/>
                <w:color w:val="auto"/>
                <w:spacing w:val="-16"/>
                <w:kern w:val="21"/>
                <w:sz w:val="21"/>
                <w:szCs w:val="21"/>
                <w:highlight w:val="none"/>
              </w:rPr>
              <w:fldChar w:fldCharType="end"/>
            </w:r>
          </w:p>
        </w:tc>
        <w:tc>
          <w:tcPr>
            <w:tcW w:w="1792" w:type="dxa"/>
            <w:tcMar>
              <w:left w:w="28" w:type="dxa"/>
              <w:right w:w="28" w:type="dxa"/>
            </w:tcMar>
            <w:vAlign w:val="center"/>
          </w:tcPr>
          <w:p w14:paraId="161F7D1C">
            <w:pPr>
              <w:pStyle w:val="38"/>
              <w:spacing w:beforeLines="0" w:afterLines="0" w:line="240" w:lineRule="auto"/>
              <w:rPr>
                <w:rFonts w:hint="default" w:ascii="宋体" w:hAnsi="宋体" w:eastAsia="宋体" w:cs="宋体"/>
                <w:snapToGrid w:val="0"/>
                <w:color w:val="auto"/>
                <w:spacing w:val="-16"/>
                <w:kern w:val="21"/>
                <w:sz w:val="21"/>
                <w:szCs w:val="21"/>
                <w:highlight w:val="none"/>
              </w:rPr>
            </w:pPr>
            <w:r>
              <w:rPr>
                <w:rFonts w:hint="default" w:ascii="宋体" w:hAnsi="宋体" w:eastAsia="宋体" w:cs="宋体"/>
                <w:snapToGrid w:val="0"/>
                <w:color w:val="auto"/>
                <w:spacing w:val="-16"/>
                <w:kern w:val="21"/>
                <w:sz w:val="21"/>
                <w:szCs w:val="21"/>
                <w:highlight w:val="none"/>
              </w:rPr>
              <w:t>本项目建成后</w:t>
            </w:r>
          </w:p>
          <w:p w14:paraId="424EC400">
            <w:pPr>
              <w:pStyle w:val="38"/>
              <w:spacing w:beforeLines="0" w:afterLines="0" w:line="240" w:lineRule="auto"/>
              <w:rPr>
                <w:rFonts w:hint="default" w:ascii="Times New Roman" w:hAnsi="Times New Roman" w:eastAsia="黑体" w:cs="Times New Roman"/>
                <w:snapToGrid w:val="0"/>
                <w:color w:val="auto"/>
                <w:spacing w:val="-16"/>
                <w:kern w:val="21"/>
                <w:sz w:val="21"/>
                <w:szCs w:val="21"/>
                <w:highlight w:val="none"/>
              </w:rPr>
            </w:pPr>
            <w:r>
              <w:rPr>
                <w:rFonts w:hint="default" w:ascii="宋体" w:hAnsi="宋体" w:eastAsia="宋体" w:cs="宋体"/>
                <w:snapToGrid w:val="0"/>
                <w:color w:val="auto"/>
                <w:spacing w:val="-16"/>
                <w:kern w:val="21"/>
                <w:sz w:val="21"/>
                <w:szCs w:val="21"/>
                <w:highlight w:val="none"/>
              </w:rPr>
              <w:t>全厂排放量（固体废物产生量）</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6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⑥</w:t>
            </w:r>
            <w:r>
              <w:rPr>
                <w:rFonts w:hint="default" w:ascii="Times New Roman" w:hAnsi="Times New Roman" w:eastAsia="黑体" w:cs="Times New Roman"/>
                <w:snapToGrid w:val="0"/>
                <w:color w:val="auto"/>
                <w:spacing w:val="-16"/>
                <w:kern w:val="21"/>
                <w:sz w:val="21"/>
                <w:szCs w:val="21"/>
                <w:highlight w:val="none"/>
              </w:rPr>
              <w:fldChar w:fldCharType="end"/>
            </w:r>
          </w:p>
        </w:tc>
        <w:tc>
          <w:tcPr>
            <w:tcW w:w="1257" w:type="dxa"/>
            <w:tcMar>
              <w:left w:w="28" w:type="dxa"/>
              <w:right w:w="28" w:type="dxa"/>
            </w:tcMar>
            <w:vAlign w:val="center"/>
          </w:tcPr>
          <w:p w14:paraId="1A93B41E">
            <w:pPr>
              <w:pStyle w:val="38"/>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宋体" w:hAnsi="宋体" w:eastAsia="宋体" w:cs="宋体"/>
                <w:snapToGrid w:val="0"/>
                <w:color w:val="auto"/>
                <w:spacing w:val="-16"/>
                <w:kern w:val="21"/>
                <w:sz w:val="21"/>
                <w:szCs w:val="21"/>
                <w:highlight w:val="none"/>
              </w:rPr>
              <w:t>变化量</w:t>
            </w:r>
          </w:p>
          <w:p w14:paraId="68873669">
            <w:pPr>
              <w:pStyle w:val="38"/>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7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⑦</w:t>
            </w:r>
            <w:r>
              <w:rPr>
                <w:rFonts w:hint="default" w:ascii="Times New Roman" w:hAnsi="Times New Roman" w:eastAsia="黑体" w:cs="Times New Roman"/>
                <w:snapToGrid w:val="0"/>
                <w:color w:val="auto"/>
                <w:spacing w:val="-6"/>
                <w:kern w:val="21"/>
                <w:sz w:val="21"/>
                <w:szCs w:val="21"/>
                <w:highlight w:val="none"/>
              </w:rPr>
              <w:fldChar w:fldCharType="end"/>
            </w:r>
          </w:p>
        </w:tc>
      </w:tr>
      <w:tr w14:paraId="5CF2BA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009" w:type="dxa"/>
            <w:vAlign w:val="center"/>
          </w:tcPr>
          <w:p w14:paraId="770B4C2E">
            <w:pPr>
              <w:pStyle w:val="38"/>
              <w:spacing w:beforeLines="0" w:afterLines="0" w:line="240" w:lineRule="auto"/>
              <w:rPr>
                <w:rFonts w:hint="eastAsia" w:ascii="宋体" w:hAnsi="宋体" w:eastAsia="宋体" w:cs="宋体"/>
                <w:snapToGrid w:val="0"/>
                <w:color w:val="auto"/>
                <w:kern w:val="21"/>
                <w:sz w:val="21"/>
                <w:szCs w:val="21"/>
                <w:highlight w:val="none"/>
              </w:rPr>
            </w:pPr>
            <w:r>
              <w:rPr>
                <w:rFonts w:hint="eastAsia" w:ascii="宋体" w:hAnsi="宋体" w:eastAsia="宋体" w:cs="宋体"/>
                <w:snapToGrid w:val="0"/>
                <w:color w:val="auto"/>
                <w:kern w:val="21"/>
                <w:sz w:val="21"/>
                <w:szCs w:val="21"/>
                <w:highlight w:val="none"/>
              </w:rPr>
              <w:t>废气</w:t>
            </w:r>
          </w:p>
        </w:tc>
        <w:tc>
          <w:tcPr>
            <w:tcW w:w="1996" w:type="dxa"/>
            <w:vAlign w:val="center"/>
          </w:tcPr>
          <w:p w14:paraId="3BF70ED5">
            <w:pPr>
              <w:jc w:val="center"/>
              <w:rPr>
                <w:rFonts w:hint="eastAsia" w:ascii="宋体" w:hAnsi="宋体" w:eastAsia="宋体" w:cs="宋体"/>
                <w:snapToGrid w:val="0"/>
                <w:color w:val="auto"/>
                <w:kern w:val="21"/>
                <w:sz w:val="21"/>
                <w:szCs w:val="21"/>
                <w:highlight w:val="none"/>
              </w:rPr>
            </w:pPr>
            <w:r>
              <w:rPr>
                <w:rFonts w:hint="eastAsia" w:ascii="宋体" w:hAnsi="宋体" w:eastAsia="宋体" w:cs="宋体"/>
                <w:snapToGrid w:val="0"/>
                <w:color w:val="auto"/>
                <w:kern w:val="21"/>
                <w:sz w:val="21"/>
                <w:szCs w:val="21"/>
                <w:highlight w:val="none"/>
              </w:rPr>
              <w:t>颗粒物</w:t>
            </w:r>
          </w:p>
        </w:tc>
        <w:tc>
          <w:tcPr>
            <w:tcW w:w="1701" w:type="dxa"/>
            <w:vAlign w:val="center"/>
          </w:tcPr>
          <w:p w14:paraId="7F8D9725">
            <w:pPr>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276" w:type="dxa"/>
            <w:vAlign w:val="center"/>
          </w:tcPr>
          <w:p w14:paraId="431A65BD">
            <w:pPr>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701" w:type="dxa"/>
            <w:vAlign w:val="center"/>
          </w:tcPr>
          <w:p w14:paraId="05B7BBFA">
            <w:pPr>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559" w:type="dxa"/>
            <w:vAlign w:val="center"/>
          </w:tcPr>
          <w:p w14:paraId="1D2BE7C5">
            <w:pPr>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15.581t/a</w:t>
            </w:r>
          </w:p>
        </w:tc>
        <w:tc>
          <w:tcPr>
            <w:tcW w:w="1497" w:type="dxa"/>
            <w:vAlign w:val="center"/>
          </w:tcPr>
          <w:p w14:paraId="039D8D77">
            <w:pPr>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792" w:type="dxa"/>
            <w:shd w:val="clear" w:color="auto" w:fill="auto"/>
            <w:vAlign w:val="center"/>
          </w:tcPr>
          <w:p w14:paraId="6544DBC8">
            <w:pPr>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snapToGrid w:val="0"/>
                <w:color w:val="auto"/>
                <w:kern w:val="21"/>
                <w:sz w:val="21"/>
                <w:szCs w:val="21"/>
                <w:highlight w:val="none"/>
                <w:lang w:val="en-US" w:eastAsia="zh-CN"/>
              </w:rPr>
              <w:t>15.581t/a</w:t>
            </w:r>
          </w:p>
        </w:tc>
        <w:tc>
          <w:tcPr>
            <w:tcW w:w="1257" w:type="dxa"/>
            <w:vAlign w:val="center"/>
          </w:tcPr>
          <w:p w14:paraId="255DE0D8">
            <w:pPr>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lang w:val="en-US" w:eastAsia="zh-CN"/>
              </w:rPr>
              <w:t>+15.581t/a</w:t>
            </w:r>
          </w:p>
        </w:tc>
      </w:tr>
      <w:tr w14:paraId="4AE08C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009" w:type="dxa"/>
            <w:vAlign w:val="center"/>
          </w:tcPr>
          <w:p w14:paraId="3F058BB6">
            <w:pPr>
              <w:pStyle w:val="38"/>
              <w:spacing w:beforeLines="0" w:afterLines="0" w:line="240" w:lineRule="auto"/>
              <w:rPr>
                <w:rFonts w:hint="eastAsia" w:ascii="宋体" w:hAnsi="宋体" w:eastAsia="宋体" w:cs="宋体"/>
                <w:snapToGrid w:val="0"/>
                <w:color w:val="auto"/>
                <w:kern w:val="21"/>
                <w:sz w:val="21"/>
                <w:szCs w:val="21"/>
                <w:highlight w:val="none"/>
              </w:rPr>
            </w:pPr>
            <w:r>
              <w:rPr>
                <w:rFonts w:hint="eastAsia" w:ascii="宋体" w:hAnsi="宋体" w:eastAsia="宋体" w:cs="宋体"/>
                <w:snapToGrid w:val="0"/>
                <w:color w:val="auto"/>
                <w:kern w:val="21"/>
                <w:sz w:val="21"/>
                <w:szCs w:val="21"/>
                <w:highlight w:val="none"/>
              </w:rPr>
              <w:t>废水</w:t>
            </w:r>
          </w:p>
        </w:tc>
        <w:tc>
          <w:tcPr>
            <w:tcW w:w="1996" w:type="dxa"/>
            <w:vAlign w:val="center"/>
          </w:tcPr>
          <w:p w14:paraId="465090FB">
            <w:pPr>
              <w:jc w:val="center"/>
              <w:rPr>
                <w:rFonts w:hint="eastAsia" w:ascii="宋体" w:hAnsi="宋体" w:eastAsia="宋体" w:cs="宋体"/>
                <w:snapToGrid w:val="0"/>
                <w:color w:val="auto"/>
                <w:kern w:val="21"/>
                <w:sz w:val="21"/>
                <w:szCs w:val="21"/>
                <w:highlight w:val="none"/>
                <w:lang w:val="en-US" w:eastAsia="zh-CN"/>
              </w:rPr>
            </w:pPr>
            <w:r>
              <w:rPr>
                <w:rFonts w:hint="eastAsia" w:ascii="宋体" w:hAnsi="宋体" w:eastAsia="宋体" w:cs="宋体"/>
                <w:snapToGrid w:val="0"/>
                <w:color w:val="auto"/>
                <w:kern w:val="21"/>
                <w:sz w:val="21"/>
                <w:szCs w:val="21"/>
                <w:highlight w:val="none"/>
                <w:lang w:val="en-US" w:eastAsia="zh-CN"/>
              </w:rPr>
              <w:t>/</w:t>
            </w:r>
          </w:p>
        </w:tc>
        <w:tc>
          <w:tcPr>
            <w:tcW w:w="1701" w:type="dxa"/>
            <w:vAlign w:val="center"/>
          </w:tcPr>
          <w:p w14:paraId="322CE889">
            <w:pPr>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276" w:type="dxa"/>
            <w:vAlign w:val="center"/>
          </w:tcPr>
          <w:p w14:paraId="56F69FF3">
            <w:pPr>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701" w:type="dxa"/>
            <w:vAlign w:val="center"/>
          </w:tcPr>
          <w:p w14:paraId="1E77CC39">
            <w:pPr>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559" w:type="dxa"/>
            <w:vAlign w:val="center"/>
          </w:tcPr>
          <w:p w14:paraId="23F2E203">
            <w:pPr>
              <w:jc w:val="center"/>
              <w:rPr>
                <w:rFonts w:hint="default" w:ascii="Times New Roman" w:hAnsi="Times New Roman" w:eastAsia="宋体" w:cs="Times New Roman"/>
                <w:snapToGrid w:val="0"/>
                <w:color w:val="auto"/>
                <w:kern w:val="21"/>
                <w:sz w:val="21"/>
                <w:szCs w:val="21"/>
                <w:highlight w:val="none"/>
                <w:lang w:val="en-US"/>
              </w:rPr>
            </w:pPr>
            <w:r>
              <w:rPr>
                <w:rFonts w:hint="default" w:ascii="Times New Roman" w:hAnsi="Times New Roman" w:cs="Times New Roman"/>
                <w:snapToGrid w:val="0"/>
                <w:color w:val="auto"/>
                <w:kern w:val="21"/>
                <w:sz w:val="21"/>
                <w:szCs w:val="21"/>
                <w:highlight w:val="none"/>
                <w:lang w:val="en-US" w:eastAsia="zh-CN"/>
              </w:rPr>
              <w:t>/</w:t>
            </w:r>
          </w:p>
        </w:tc>
        <w:tc>
          <w:tcPr>
            <w:tcW w:w="1497" w:type="dxa"/>
            <w:vAlign w:val="center"/>
          </w:tcPr>
          <w:p w14:paraId="7623683D">
            <w:pPr>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792" w:type="dxa"/>
            <w:vAlign w:val="center"/>
          </w:tcPr>
          <w:p w14:paraId="0A628B4A">
            <w:pPr>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lang w:val="en-US" w:eastAsia="zh-CN"/>
              </w:rPr>
              <w:t>/</w:t>
            </w:r>
          </w:p>
        </w:tc>
        <w:tc>
          <w:tcPr>
            <w:tcW w:w="1257" w:type="dxa"/>
            <w:vAlign w:val="center"/>
          </w:tcPr>
          <w:p w14:paraId="3DB96BE3">
            <w:pPr>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lang w:val="en-US" w:eastAsia="zh-CN"/>
              </w:rPr>
              <w:t>/</w:t>
            </w:r>
          </w:p>
        </w:tc>
      </w:tr>
      <w:tr w14:paraId="19CAC3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009" w:type="dxa"/>
            <w:vMerge w:val="restart"/>
            <w:vAlign w:val="center"/>
          </w:tcPr>
          <w:p w14:paraId="118D4411">
            <w:pPr>
              <w:pStyle w:val="38"/>
              <w:spacing w:beforeLines="0" w:afterLines="0" w:line="240" w:lineRule="auto"/>
              <w:rPr>
                <w:rFonts w:hint="eastAsia" w:ascii="宋体" w:hAnsi="宋体" w:eastAsia="宋体" w:cs="宋体"/>
                <w:snapToGrid w:val="0"/>
                <w:color w:val="auto"/>
                <w:kern w:val="21"/>
                <w:sz w:val="21"/>
                <w:szCs w:val="21"/>
                <w:highlight w:val="none"/>
              </w:rPr>
            </w:pPr>
            <w:r>
              <w:rPr>
                <w:rFonts w:hint="eastAsia" w:ascii="宋体" w:hAnsi="宋体" w:eastAsia="宋体" w:cs="宋体"/>
                <w:snapToGrid w:val="0"/>
                <w:color w:val="auto"/>
                <w:kern w:val="21"/>
                <w:sz w:val="21"/>
                <w:szCs w:val="21"/>
                <w:highlight w:val="none"/>
              </w:rPr>
              <w:t>一般工业固体废物</w:t>
            </w:r>
          </w:p>
        </w:tc>
        <w:tc>
          <w:tcPr>
            <w:tcW w:w="1996" w:type="dxa"/>
            <w:vAlign w:val="center"/>
          </w:tcPr>
          <w:p w14:paraId="4031C7FB">
            <w:pPr>
              <w:jc w:val="center"/>
              <w:rPr>
                <w:rFonts w:hint="eastAsia" w:ascii="宋体" w:hAnsi="宋体" w:eastAsia="宋体" w:cs="宋体"/>
                <w:snapToGrid w:val="0"/>
                <w:color w:val="auto"/>
                <w:kern w:val="21"/>
                <w:sz w:val="21"/>
                <w:szCs w:val="21"/>
                <w:highlight w:val="none"/>
                <w:lang w:val="en-US" w:eastAsia="zh-CN"/>
              </w:rPr>
            </w:pPr>
            <w:r>
              <w:rPr>
                <w:rFonts w:hint="eastAsia" w:ascii="宋体" w:hAnsi="宋体" w:eastAsia="宋体" w:cs="宋体"/>
                <w:snapToGrid w:val="0"/>
                <w:color w:val="auto"/>
                <w:kern w:val="21"/>
                <w:sz w:val="21"/>
                <w:szCs w:val="21"/>
                <w:highlight w:val="none"/>
                <w:lang w:val="en-US" w:eastAsia="zh-CN"/>
              </w:rPr>
              <w:t>生活垃圾</w:t>
            </w:r>
          </w:p>
        </w:tc>
        <w:tc>
          <w:tcPr>
            <w:tcW w:w="1701" w:type="dxa"/>
            <w:vAlign w:val="center"/>
          </w:tcPr>
          <w:p w14:paraId="4D3903B9">
            <w:pPr>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276" w:type="dxa"/>
            <w:vAlign w:val="center"/>
          </w:tcPr>
          <w:p w14:paraId="1C8FD532">
            <w:pPr>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701" w:type="dxa"/>
            <w:vAlign w:val="center"/>
          </w:tcPr>
          <w:p w14:paraId="6DADD2B1">
            <w:pPr>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559" w:type="dxa"/>
            <w:vAlign w:val="center"/>
          </w:tcPr>
          <w:p w14:paraId="1B7992F1">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0.75t/a</w:t>
            </w:r>
          </w:p>
        </w:tc>
        <w:tc>
          <w:tcPr>
            <w:tcW w:w="1497" w:type="dxa"/>
            <w:vAlign w:val="center"/>
          </w:tcPr>
          <w:p w14:paraId="6F2C3942">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792" w:type="dxa"/>
            <w:vAlign w:val="center"/>
          </w:tcPr>
          <w:p w14:paraId="43D0D314">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0.75t/a</w:t>
            </w:r>
          </w:p>
        </w:tc>
        <w:tc>
          <w:tcPr>
            <w:tcW w:w="1257" w:type="dxa"/>
            <w:vAlign w:val="center"/>
          </w:tcPr>
          <w:p w14:paraId="34815D51">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+0.75t/a</w:t>
            </w:r>
          </w:p>
        </w:tc>
      </w:tr>
      <w:tr w14:paraId="7A86B6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009" w:type="dxa"/>
            <w:vMerge w:val="continue"/>
            <w:vAlign w:val="center"/>
          </w:tcPr>
          <w:p w14:paraId="54D1C3DE">
            <w:pPr>
              <w:pStyle w:val="38"/>
              <w:spacing w:beforeLines="0" w:afterLines="0" w:line="240" w:lineRule="auto"/>
              <w:rPr>
                <w:rFonts w:hint="eastAsia" w:ascii="宋体" w:hAnsi="宋体" w:eastAsia="宋体" w:cs="宋体"/>
                <w:snapToGrid w:val="0"/>
                <w:color w:val="auto"/>
                <w:kern w:val="21"/>
                <w:sz w:val="21"/>
                <w:szCs w:val="21"/>
                <w:highlight w:val="none"/>
              </w:rPr>
            </w:pPr>
          </w:p>
        </w:tc>
        <w:tc>
          <w:tcPr>
            <w:tcW w:w="1996" w:type="dxa"/>
            <w:vAlign w:val="center"/>
          </w:tcPr>
          <w:p w14:paraId="4B9564B6">
            <w:pPr>
              <w:jc w:val="center"/>
              <w:rPr>
                <w:rFonts w:hint="eastAsia" w:ascii="宋体" w:hAnsi="宋体" w:eastAsia="宋体" w:cs="宋体"/>
                <w:snapToGrid w:val="0"/>
                <w:color w:val="auto"/>
                <w:kern w:val="21"/>
                <w:sz w:val="21"/>
                <w:szCs w:val="21"/>
                <w:highlight w:val="none"/>
                <w:lang w:val="en-US" w:eastAsia="zh-CN"/>
              </w:rPr>
            </w:pPr>
            <w:r>
              <w:rPr>
                <w:rFonts w:hint="eastAsia" w:ascii="宋体" w:hAnsi="宋体" w:eastAsia="宋体" w:cs="宋体"/>
                <w:snapToGrid w:val="0"/>
                <w:color w:val="auto"/>
                <w:kern w:val="21"/>
                <w:sz w:val="21"/>
                <w:szCs w:val="21"/>
                <w:highlight w:val="none"/>
                <w:lang w:val="en-US" w:eastAsia="zh-CN"/>
              </w:rPr>
              <w:t>收集池沉渣</w:t>
            </w:r>
          </w:p>
        </w:tc>
        <w:tc>
          <w:tcPr>
            <w:tcW w:w="1701" w:type="dxa"/>
            <w:vAlign w:val="center"/>
          </w:tcPr>
          <w:p w14:paraId="5EBEBAFA">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276" w:type="dxa"/>
            <w:vAlign w:val="center"/>
          </w:tcPr>
          <w:p w14:paraId="77ED4849">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701" w:type="dxa"/>
            <w:vAlign w:val="center"/>
          </w:tcPr>
          <w:p w14:paraId="201A0D6E">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559" w:type="dxa"/>
            <w:vAlign w:val="center"/>
          </w:tcPr>
          <w:p w14:paraId="1008B578">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0.6t/a</w:t>
            </w:r>
          </w:p>
        </w:tc>
        <w:tc>
          <w:tcPr>
            <w:tcW w:w="1497" w:type="dxa"/>
            <w:vAlign w:val="center"/>
          </w:tcPr>
          <w:p w14:paraId="09814C1C">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792" w:type="dxa"/>
            <w:vAlign w:val="center"/>
          </w:tcPr>
          <w:p w14:paraId="04A01629">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0.6t/a</w:t>
            </w:r>
          </w:p>
        </w:tc>
        <w:tc>
          <w:tcPr>
            <w:tcW w:w="1257" w:type="dxa"/>
            <w:vAlign w:val="center"/>
          </w:tcPr>
          <w:p w14:paraId="47EB5A6A">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+0.6t/a</w:t>
            </w:r>
          </w:p>
        </w:tc>
      </w:tr>
      <w:tr w14:paraId="78674E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009" w:type="dxa"/>
            <w:vAlign w:val="center"/>
          </w:tcPr>
          <w:p w14:paraId="6F81E341">
            <w:pPr>
              <w:pStyle w:val="38"/>
              <w:spacing w:beforeLines="0" w:afterLines="0" w:line="240" w:lineRule="auto"/>
              <w:rPr>
                <w:rFonts w:hint="eastAsia" w:ascii="宋体" w:hAnsi="宋体" w:eastAsia="宋体" w:cs="宋体"/>
                <w:snapToGrid w:val="0"/>
                <w:color w:val="auto"/>
                <w:kern w:val="21"/>
                <w:sz w:val="21"/>
                <w:szCs w:val="21"/>
                <w:highlight w:val="none"/>
                <w:lang w:val="en-US" w:eastAsia="zh-CN"/>
              </w:rPr>
            </w:pPr>
            <w:r>
              <w:rPr>
                <w:rFonts w:hint="eastAsia" w:ascii="宋体" w:hAnsi="宋体" w:eastAsia="宋体" w:cs="宋体"/>
                <w:snapToGrid w:val="0"/>
                <w:color w:val="auto"/>
                <w:kern w:val="21"/>
                <w:sz w:val="21"/>
                <w:szCs w:val="21"/>
                <w:highlight w:val="none"/>
                <w:lang w:val="en-US" w:eastAsia="zh-CN"/>
              </w:rPr>
              <w:t>危险废物</w:t>
            </w:r>
          </w:p>
        </w:tc>
        <w:tc>
          <w:tcPr>
            <w:tcW w:w="1996" w:type="dxa"/>
            <w:tcBorders>
              <w:top w:val="single" w:color="000000" w:sz="4" w:space="0"/>
              <w:bottom w:val="single" w:color="000000" w:sz="4" w:space="0"/>
            </w:tcBorders>
            <w:vAlign w:val="center"/>
          </w:tcPr>
          <w:p w14:paraId="7A173592">
            <w:pPr>
              <w:jc w:val="center"/>
              <w:rPr>
                <w:rFonts w:hint="eastAsia" w:ascii="宋体" w:hAnsi="宋体" w:eastAsia="宋体" w:cs="宋体"/>
                <w:snapToGrid w:val="0"/>
                <w:color w:val="auto"/>
                <w:kern w:val="21"/>
                <w:sz w:val="21"/>
                <w:szCs w:val="21"/>
                <w:highlight w:val="none"/>
                <w:lang w:val="en-US" w:eastAsia="zh-CN"/>
              </w:rPr>
            </w:pPr>
            <w:r>
              <w:rPr>
                <w:rFonts w:hint="eastAsia" w:ascii="宋体" w:hAnsi="宋体" w:eastAsia="宋体" w:cs="宋体"/>
                <w:snapToGrid w:val="0"/>
                <w:color w:val="auto"/>
                <w:kern w:val="21"/>
                <w:sz w:val="21"/>
                <w:szCs w:val="21"/>
                <w:highlight w:val="none"/>
                <w:lang w:val="en-US" w:eastAsia="zh-CN"/>
              </w:rPr>
              <w:t>废机油、废弃含油抹布手套</w:t>
            </w:r>
          </w:p>
        </w:tc>
        <w:tc>
          <w:tcPr>
            <w:tcW w:w="1701" w:type="dxa"/>
            <w:tcBorders>
              <w:top w:val="single" w:color="000000" w:sz="4" w:space="0"/>
              <w:bottom w:val="single" w:color="000000" w:sz="4" w:space="0"/>
            </w:tcBorders>
            <w:vAlign w:val="center"/>
          </w:tcPr>
          <w:p w14:paraId="5585CD56">
            <w:pPr>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276" w:type="dxa"/>
            <w:tcBorders>
              <w:top w:val="single" w:color="000000" w:sz="4" w:space="0"/>
              <w:bottom w:val="single" w:color="000000" w:sz="4" w:space="0"/>
            </w:tcBorders>
            <w:vAlign w:val="center"/>
          </w:tcPr>
          <w:p w14:paraId="6CADAA6C">
            <w:pPr>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701" w:type="dxa"/>
            <w:tcBorders>
              <w:top w:val="single" w:color="000000" w:sz="4" w:space="0"/>
              <w:bottom w:val="single" w:color="000000" w:sz="4" w:space="0"/>
            </w:tcBorders>
            <w:vAlign w:val="center"/>
          </w:tcPr>
          <w:p w14:paraId="4252B34D">
            <w:pPr>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559" w:type="dxa"/>
            <w:tcBorders>
              <w:top w:val="single" w:color="000000" w:sz="4" w:space="0"/>
              <w:bottom w:val="single" w:color="000000" w:sz="4" w:space="0"/>
            </w:tcBorders>
            <w:vAlign w:val="center"/>
          </w:tcPr>
          <w:p w14:paraId="36C80F51">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0.02t/a</w:t>
            </w:r>
          </w:p>
        </w:tc>
        <w:tc>
          <w:tcPr>
            <w:tcW w:w="1497" w:type="dxa"/>
            <w:tcBorders>
              <w:top w:val="single" w:color="000000" w:sz="4" w:space="0"/>
              <w:bottom w:val="single" w:color="000000" w:sz="4" w:space="0"/>
            </w:tcBorders>
            <w:vAlign w:val="center"/>
          </w:tcPr>
          <w:p w14:paraId="1A79A070">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792" w:type="dxa"/>
            <w:tcBorders>
              <w:top w:val="single" w:color="000000" w:sz="4" w:space="0"/>
              <w:bottom w:val="single" w:color="000000" w:sz="4" w:space="0"/>
            </w:tcBorders>
            <w:vAlign w:val="center"/>
          </w:tcPr>
          <w:p w14:paraId="6EAB5452">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0.02t/a</w:t>
            </w:r>
          </w:p>
        </w:tc>
        <w:tc>
          <w:tcPr>
            <w:tcW w:w="1257" w:type="dxa"/>
            <w:tcBorders>
              <w:top w:val="single" w:color="000000" w:sz="4" w:space="0"/>
              <w:bottom w:val="single" w:color="000000" w:sz="4" w:space="0"/>
            </w:tcBorders>
            <w:vAlign w:val="center"/>
          </w:tcPr>
          <w:p w14:paraId="3C75D7E8">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+0.02t/a</w:t>
            </w:r>
          </w:p>
        </w:tc>
      </w:tr>
    </w:tbl>
    <w:p w14:paraId="7B6542C3">
      <w:pPr>
        <w:pStyle w:val="38"/>
        <w:spacing w:before="192" w:beforeLines="80" w:after="24"/>
        <w:jc w:val="left"/>
        <w:rPr>
          <w:rFonts w:hint="default" w:ascii="Times New Roman" w:hAnsi="Times New Roman" w:cs="Times New Roman"/>
          <w:color w:val="auto"/>
          <w:highlight w:val="none"/>
        </w:rPr>
        <w:sectPr>
          <w:footerReference r:id="rId7"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cs="Times New Roman"/>
          <w:snapToGrid w:val="0"/>
          <w:color w:val="auto"/>
          <w:kern w:val="21"/>
          <w:szCs w:val="21"/>
          <w:highlight w:val="none"/>
        </w:rPr>
        <w:t>注：</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3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③</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4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④</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5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⑤</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7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⑦</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p>
    <w:p w14:paraId="42EE0DE5">
      <w:pPr>
        <w:pStyle w:val="19"/>
        <w:ind w:firstLine="0" w:firstLineChars="0"/>
        <w:jc w:val="center"/>
        <w:rPr>
          <w:rFonts w:hint="default" w:ascii="Times New Roman" w:hAnsi="Times New Roman" w:eastAsia="黑体" w:cs="Times New Roman"/>
          <w:snapToGrid w:val="0"/>
          <w:color w:val="auto"/>
          <w:sz w:val="28"/>
          <w:szCs w:val="28"/>
          <w:highlight w:val="none"/>
        </w:rPr>
      </w:pPr>
      <w:r>
        <w:rPr>
          <w:rFonts w:hint="default" w:ascii="Times New Roman" w:hAnsi="Times New Roman" w:cs="Times New Roman"/>
          <w:sz w:val="18"/>
        </w:rPr>
        <mc:AlternateContent>
          <mc:Choice Requires="wps">
            <w:drawing>
              <wp:anchor distT="0" distB="0" distL="114300" distR="114300" simplePos="0" relativeHeight="251698176" behindDoc="0" locked="0" layoutInCell="1" allowOverlap="1">
                <wp:simplePos x="0" y="0"/>
                <wp:positionH relativeFrom="column">
                  <wp:posOffset>6346825</wp:posOffset>
                </wp:positionH>
                <wp:positionV relativeFrom="paragraph">
                  <wp:posOffset>4510405</wp:posOffset>
                </wp:positionV>
                <wp:extent cx="1268095" cy="561340"/>
                <wp:effectExtent l="4445" t="4445" r="22860" b="5715"/>
                <wp:wrapNone/>
                <wp:docPr id="33" name="文本框 33"/>
                <wp:cNvGraphicFramePr/>
                <a:graphic xmlns:a="http://schemas.openxmlformats.org/drawingml/2006/main">
                  <a:graphicData uri="http://schemas.microsoft.com/office/word/2010/wordprocessingShape">
                    <wps:wsp>
                      <wps:cNvSpPr txBox="1"/>
                      <wps:spPr>
                        <a:xfrm>
                          <a:off x="7313930" y="5110480"/>
                          <a:ext cx="1268095" cy="5613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8246E66">
                            <w:pPr>
                              <w:jc w:val="center"/>
                              <w:rPr>
                                <w:rFonts w:hint="default"/>
                                <w:b/>
                                <w:bCs/>
                                <w:sz w:val="28"/>
                                <w:szCs w:val="28"/>
                                <w:lang w:val="en-US" w:eastAsia="zh-CN"/>
                              </w:rPr>
                            </w:pPr>
                            <w:r>
                              <w:rPr>
                                <w:rFonts w:hint="eastAsia"/>
                                <w:b/>
                                <w:bCs/>
                                <w:sz w:val="28"/>
                                <w:szCs w:val="28"/>
                                <w:lang w:val="en-US" w:eastAsia="zh-CN"/>
                              </w:rPr>
                              <w:t>图例</w:t>
                            </w:r>
                          </w:p>
                          <w:p w14:paraId="0A01FAF9">
                            <w:pPr>
                              <w:rPr>
                                <w:rFonts w:hint="default" w:eastAsia="宋体"/>
                                <w:sz w:val="24"/>
                                <w:szCs w:val="24"/>
                                <w:lang w:val="en-US" w:eastAsia="zh-CN"/>
                              </w:rPr>
                            </w:pPr>
                            <w:r>
                              <w:rPr>
                                <w:rFonts w:hint="eastAsia"/>
                                <w:sz w:val="24"/>
                                <w:szCs w:val="24"/>
                                <w:lang w:val="en-US" w:eastAsia="zh-CN"/>
                              </w:rPr>
                              <w:t>比例尺1：36111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9.75pt;margin-top:355.15pt;height:44.2pt;width:99.85pt;z-index:251698176;mso-width-relative:page;mso-height-relative:page;" fillcolor="#FFFFFF [3201]" filled="t" stroked="t" coordsize="21600,21600" o:gfxdata="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SrOJP9gAAAAMAQAADwAAAAAAAAABACAAAAAiAAAAZHJzL2Rvd25yZXYueG1sUEsB&#10;AhQAFAAAAAgAh07iQFropi9nAgAAxQQAAA4AAAAAAAAAAQAgAAAAJwEAAGRycy9lMm9Eb2MueG1s&#10;UEsFBgAAAAAGAAYAWQEAAAAGAAAAAA==&#10;">
                <v:fill on="t" focussize="0,0"/>
                <v:stroke weight="0.5pt" color="#000000 [3204]" joinstyle="round"/>
                <v:imagedata o:title=""/>
                <o:lock v:ext="edit" aspectratio="f"/>
                <v:textbox>
                  <w:txbxContent>
                    <w:p w14:paraId="08246E66">
                      <w:pPr>
                        <w:jc w:val="center"/>
                        <w:rPr>
                          <w:rFonts w:hint="default"/>
                          <w:b/>
                          <w:bCs/>
                          <w:sz w:val="28"/>
                          <w:szCs w:val="28"/>
                          <w:lang w:val="en-US" w:eastAsia="zh-CN"/>
                        </w:rPr>
                      </w:pPr>
                      <w:r>
                        <w:rPr>
                          <w:rFonts w:hint="eastAsia"/>
                          <w:b/>
                          <w:bCs/>
                          <w:sz w:val="28"/>
                          <w:szCs w:val="28"/>
                          <w:lang w:val="en-US" w:eastAsia="zh-CN"/>
                        </w:rPr>
                        <w:t>图例</w:t>
                      </w:r>
                    </w:p>
                    <w:p w14:paraId="0A01FAF9">
                      <w:pPr>
                        <w:rPr>
                          <w:rFonts w:hint="default" w:eastAsia="宋体"/>
                          <w:sz w:val="24"/>
                          <w:szCs w:val="24"/>
                          <w:lang w:val="en-US" w:eastAsia="zh-CN"/>
                        </w:rPr>
                      </w:pPr>
                      <w:r>
                        <w:rPr>
                          <w:rFonts w:hint="eastAsia"/>
                          <w:sz w:val="24"/>
                          <w:szCs w:val="24"/>
                          <w:lang w:val="en-US" w:eastAsia="zh-CN"/>
                        </w:rPr>
                        <w:t>比例尺1：36111</w:t>
                      </w:r>
                    </w:p>
                  </w:txbxContent>
                </v:textbox>
              </v:shape>
            </w:pict>
          </mc:Fallback>
        </mc:AlternateContent>
      </w:r>
      <w:r>
        <w:rPr>
          <w:rFonts w:hint="default" w:ascii="Times New Roman" w:hAnsi="Times New Roman" w:cs="Times New Roman"/>
          <w:color w:val="auto"/>
          <w:highlight w:val="none"/>
        </w:rPr>
        <w:drawing>
          <wp:anchor distT="0" distB="0" distL="114300" distR="114300" simplePos="0" relativeHeight="251665408" behindDoc="0" locked="0" layoutInCell="1" allowOverlap="1">
            <wp:simplePos x="0" y="0"/>
            <wp:positionH relativeFrom="column">
              <wp:posOffset>6935470</wp:posOffset>
            </wp:positionH>
            <wp:positionV relativeFrom="paragraph">
              <wp:posOffset>635</wp:posOffset>
            </wp:positionV>
            <wp:extent cx="695325" cy="685800"/>
            <wp:effectExtent l="0" t="0" r="9525" b="0"/>
            <wp:wrapNone/>
            <wp:docPr id="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pic:cNvPicPr>
                      <a:picLocks noChangeAspect="1"/>
                    </pic:cNvPicPr>
                  </pic:nvPicPr>
                  <pic:blipFill>
                    <a:blip r:embed="rId29"/>
                    <a:stretch>
                      <a:fillRect/>
                    </a:stretch>
                  </pic:blipFill>
                  <pic:spPr>
                    <a:xfrm>
                      <a:off x="0" y="0"/>
                      <a:ext cx="695325" cy="685800"/>
                    </a:xfrm>
                    <a:prstGeom prst="rect">
                      <a:avLst/>
                    </a:prstGeom>
                    <a:noFill/>
                    <a:ln>
                      <a:noFill/>
                    </a:ln>
                  </pic:spPr>
                </pic:pic>
              </a:graphicData>
            </a:graphic>
          </wp:anchor>
        </w:drawing>
      </w:r>
      <w:r>
        <w:rPr>
          <w:rFonts w:hint="default" w:ascii="Times New Roman" w:hAnsi="Times New Roman" w:cs="Times New Roman"/>
          <w:sz w:val="18"/>
        </w:rPr>
        <mc:AlternateContent>
          <mc:Choice Requires="wps">
            <w:drawing>
              <wp:anchor distT="0" distB="0" distL="114300" distR="114300" simplePos="0" relativeHeight="251697152" behindDoc="0" locked="0" layoutInCell="1" allowOverlap="1">
                <wp:simplePos x="0" y="0"/>
                <wp:positionH relativeFrom="column">
                  <wp:posOffset>4357370</wp:posOffset>
                </wp:positionH>
                <wp:positionV relativeFrom="paragraph">
                  <wp:posOffset>1577975</wp:posOffset>
                </wp:positionV>
                <wp:extent cx="876300" cy="504825"/>
                <wp:effectExtent l="6350" t="6350" r="12700" b="288925"/>
                <wp:wrapNone/>
                <wp:docPr id="30" name="矩形标注 30"/>
                <wp:cNvGraphicFramePr/>
                <a:graphic xmlns:a="http://schemas.openxmlformats.org/drawingml/2006/main">
                  <a:graphicData uri="http://schemas.microsoft.com/office/word/2010/wordprocessingShape">
                    <wps:wsp>
                      <wps:cNvSpPr/>
                      <wps:spPr>
                        <a:xfrm>
                          <a:off x="5485130" y="2521585"/>
                          <a:ext cx="876300" cy="504825"/>
                        </a:xfrm>
                        <a:prstGeom prst="wedgeRectCallout">
                          <a:avLst>
                            <a:gd name="adj1" fmla="val -47971"/>
                            <a:gd name="adj2" fmla="val 102075"/>
                          </a:avLst>
                        </a:prstGeom>
                        <a:no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36B87BE">
                            <w:pPr>
                              <w:jc w:val="center"/>
                              <w:rPr>
                                <w:rFonts w:hint="default" w:eastAsia="宋体"/>
                                <w:lang w:val="en-US" w:eastAsia="zh-CN"/>
                              </w:rPr>
                            </w:pPr>
                            <w:r>
                              <w:rPr>
                                <w:rFonts w:hint="eastAsia"/>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3.1pt;margin-top:124.25pt;height:39.75pt;width:69pt;z-index:251697152;v-text-anchor:middle;mso-width-relative:page;mso-height-relative:page;" filled="f" stroked="t" coordsize="21600,21600" o:gfxdata="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Nl0EovaAAAACwEAAA8AAAAAAAAAAQAgAAAA&#10;IgAAAGRycy9kb3ducmV2LnhtbFBLAQIUABQAAAAIAIdO4kDDye0HtAIAAEgFAAAOAAAAAAAAAAEA&#10;IAAAACkBAABkcnMvZTJvRG9jLnhtbFBLBQYAAAAABgAGAFkBAABPBgAAAAA=&#10;" adj="438,32848">
                <v:fill on="f" focussize="0,0"/>
                <v:stroke weight="1pt" color="#FFFFFF [3212]" miterlimit="8" joinstyle="miter"/>
                <v:imagedata o:title=""/>
                <o:lock v:ext="edit" aspectratio="f"/>
                <v:textbox>
                  <w:txbxContent>
                    <w:p w14:paraId="036B87BE">
                      <w:pPr>
                        <w:jc w:val="center"/>
                        <w:rPr>
                          <w:rFonts w:hint="default" w:eastAsia="宋体"/>
                          <w:lang w:val="en-US" w:eastAsia="zh-CN"/>
                        </w:rPr>
                      </w:pPr>
                      <w:r>
                        <w:rPr>
                          <w:rFonts w:hint="eastAsia"/>
                          <w:lang w:val="en-US" w:eastAsia="zh-CN"/>
                        </w:rPr>
                        <w:t>项目位置</w:t>
                      </w:r>
                    </w:p>
                  </w:txbxContent>
                </v:textbox>
              </v:shape>
            </w:pict>
          </mc:Fallback>
        </mc:AlternateContent>
      </w:r>
      <w:r>
        <w:rPr>
          <w:rFonts w:hint="default" w:ascii="Times New Roman" w:hAnsi="Times New Roman" w:cs="Times New Roman"/>
        </w:rPr>
        <w:drawing>
          <wp:inline distT="0" distB="0" distL="114300" distR="114300">
            <wp:extent cx="6796405" cy="5060315"/>
            <wp:effectExtent l="0" t="0" r="4445" b="6985"/>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30"/>
                    <a:stretch>
                      <a:fillRect/>
                    </a:stretch>
                  </pic:blipFill>
                  <pic:spPr>
                    <a:xfrm>
                      <a:off x="0" y="0"/>
                      <a:ext cx="6796405" cy="5060315"/>
                    </a:xfrm>
                    <a:prstGeom prst="rect">
                      <a:avLst/>
                    </a:prstGeom>
                    <a:noFill/>
                    <a:ln>
                      <a:noFill/>
                    </a:ln>
                  </pic:spPr>
                </pic:pic>
              </a:graphicData>
            </a:graphic>
          </wp:inline>
        </w:drawing>
      </w:r>
    </w:p>
    <w:p w14:paraId="60932F5A">
      <w:pPr>
        <w:pStyle w:val="19"/>
        <w:ind w:firstLine="0" w:firstLineChars="0"/>
        <w:jc w:val="center"/>
        <w:rPr>
          <w:rFonts w:hint="default" w:ascii="Times New Roman" w:hAnsi="Times New Roman" w:cs="Times New Roman"/>
          <w:color w:val="auto"/>
        </w:rPr>
      </w:pPr>
      <w:r>
        <w:rPr>
          <w:rStyle w:val="58"/>
          <w:rFonts w:hint="eastAsia" w:ascii="宋体" w:hAnsi="宋体" w:eastAsia="宋体" w:cs="宋体"/>
          <w:b w:val="0"/>
          <w:bCs w:val="0"/>
          <w:sz w:val="28"/>
          <w:szCs w:val="28"/>
        </w:rPr>
        <mc:AlternateContent>
          <mc:Choice Requires="wpg">
            <w:drawing>
              <wp:anchor distT="0" distB="0" distL="114300" distR="114300" simplePos="0" relativeHeight="251660288" behindDoc="0" locked="0" layoutInCell="1" allowOverlap="1">
                <wp:simplePos x="0" y="0"/>
                <wp:positionH relativeFrom="column">
                  <wp:posOffset>6509385</wp:posOffset>
                </wp:positionH>
                <wp:positionV relativeFrom="paragraph">
                  <wp:posOffset>4264660</wp:posOffset>
                </wp:positionV>
                <wp:extent cx="1361440" cy="904875"/>
                <wp:effectExtent l="4445" t="4445" r="5715" b="5080"/>
                <wp:wrapNone/>
                <wp:docPr id="24" name="Group 104"/>
                <wp:cNvGraphicFramePr/>
                <a:graphic xmlns:a="http://schemas.openxmlformats.org/drawingml/2006/main">
                  <a:graphicData uri="http://schemas.microsoft.com/office/word/2010/wordprocessingGroup">
                    <wpg:wgp>
                      <wpg:cNvGrpSpPr/>
                      <wpg:grpSpPr>
                        <a:xfrm>
                          <a:off x="0" y="0"/>
                          <a:ext cx="1361494" cy="904875"/>
                          <a:chOff x="11475" y="8370"/>
                          <a:chExt cx="2159" cy="1425"/>
                        </a:xfrm>
                      </wpg:grpSpPr>
                      <wps:wsp>
                        <wps:cNvPr id="25" name="Rectangle 98"/>
                        <wps:cNvSpPr>
                          <a:spLocks noChangeArrowheads="1"/>
                        </wps:cNvSpPr>
                        <wps:spPr bwMode="auto">
                          <a:xfrm>
                            <a:off x="11475" y="8370"/>
                            <a:ext cx="2130" cy="1425"/>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wps:wsp>
                        <wps:cNvPr id="26" name="Text Box 99"/>
                        <wps:cNvSpPr txBox="1">
                          <a:spLocks noChangeArrowheads="1"/>
                        </wps:cNvSpPr>
                        <wps:spPr bwMode="auto">
                          <a:xfrm>
                            <a:off x="12122" y="8531"/>
                            <a:ext cx="1169" cy="435"/>
                          </a:xfrm>
                          <a:prstGeom prst="rect">
                            <a:avLst/>
                          </a:prstGeom>
                          <a:noFill/>
                          <a:ln>
                            <a:noFill/>
                          </a:ln>
                        </wps:spPr>
                        <wps:txbx>
                          <w:txbxContent>
                            <w:p w14:paraId="18FA3EF3">
                              <w:pPr>
                                <w:rPr>
                                  <w:b/>
                                  <w:bCs/>
                                </w:rPr>
                              </w:pPr>
                              <w:r>
                                <w:rPr>
                                  <w:rFonts w:hint="eastAsia"/>
                                  <w:b/>
                                  <w:bCs/>
                                </w:rPr>
                                <w:t xml:space="preserve">图 </w:t>
                              </w:r>
                              <w:r>
                                <w:rPr>
                                  <w:b/>
                                  <w:bCs/>
                                </w:rPr>
                                <w:t xml:space="preserve"> </w:t>
                              </w:r>
                              <w:r>
                                <w:rPr>
                                  <w:rFonts w:hint="eastAsia"/>
                                  <w:b/>
                                  <w:bCs/>
                                </w:rPr>
                                <w:t>例</w:t>
                              </w:r>
                            </w:p>
                          </w:txbxContent>
                        </wps:txbx>
                        <wps:bodyPr rot="0" vert="horz" wrap="square" lIns="91440" tIns="45720" rIns="91440" bIns="45720" anchor="t" anchorCtr="0" upright="1">
                          <a:noAutofit/>
                        </wps:bodyPr>
                      </wps:wsp>
                      <wps:wsp>
                        <wps:cNvPr id="27" name="Text Box 100"/>
                        <wps:cNvSpPr txBox="1">
                          <a:spLocks noChangeArrowheads="1"/>
                        </wps:cNvSpPr>
                        <wps:spPr bwMode="auto">
                          <a:xfrm>
                            <a:off x="12239" y="9120"/>
                            <a:ext cx="1395" cy="435"/>
                          </a:xfrm>
                          <a:prstGeom prst="rect">
                            <a:avLst/>
                          </a:prstGeom>
                          <a:noFill/>
                          <a:ln>
                            <a:noFill/>
                          </a:ln>
                        </wps:spPr>
                        <wps:txbx>
                          <w:txbxContent>
                            <w:p w14:paraId="5D370A98">
                              <w:pPr>
                                <w:rPr>
                                  <w:b/>
                                  <w:bCs/>
                                </w:rPr>
                              </w:pPr>
                              <w:r>
                                <w:rPr>
                                  <w:rFonts w:hint="eastAsia"/>
                                  <w:b/>
                                  <w:bCs/>
                                </w:rPr>
                                <w:t>本项目位置</w:t>
                              </w:r>
                            </w:p>
                          </w:txbxContent>
                        </wps:txbx>
                        <wps:bodyPr rot="0" vert="horz" wrap="square" lIns="91440" tIns="45720" rIns="91440" bIns="45720" anchor="t" anchorCtr="0" upright="1">
                          <a:noAutofit/>
                        </wps:bodyPr>
                      </wps:wsp>
                      <wps:wsp>
                        <wps:cNvPr id="28" name="AutoShape 102"/>
                        <wps:cNvSpPr>
                          <a:spLocks noChangeArrowheads="1"/>
                        </wps:cNvSpPr>
                        <wps:spPr bwMode="auto">
                          <a:xfrm>
                            <a:off x="11970" y="9120"/>
                            <a:ext cx="360" cy="405"/>
                          </a:xfrm>
                          <a:prstGeom prst="star5">
                            <a:avLst/>
                          </a:prstGeom>
                          <a:solidFill>
                            <a:srgbClr val="FF0000"/>
                          </a:solidFill>
                          <a:ln w="9525">
                            <a:solidFill>
                              <a:srgbClr val="000000"/>
                            </a:solidFill>
                            <a:miter lim="800000"/>
                          </a:ln>
                        </wps:spPr>
                        <wps:bodyPr rot="0" vert="horz" wrap="square" lIns="91440" tIns="45720" rIns="91440" bIns="45720" anchor="t" anchorCtr="0" upright="1">
                          <a:noAutofit/>
                        </wps:bodyPr>
                      </wps:wsp>
                    </wpg:wgp>
                  </a:graphicData>
                </a:graphic>
              </wp:anchor>
            </w:drawing>
          </mc:Choice>
          <mc:Fallback>
            <w:pict>
              <v:group id="Group 104" o:spid="_x0000_s1026" o:spt="203" style="position:absolute;left:0pt;margin-left:512.55pt;margin-top:335.8pt;height:71.25pt;width:107.2pt;z-index:251660288;mso-width-relative:page;mso-height-relative:page;" coordorigin="11475,8370" coordsize="2159,1425" o:gfxdata="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">
                <o:lock v:ext="edit" aspectratio="f"/>
                <v:rect id="Rectangle 98" o:spid="_x0000_s1026" o:spt="1" style="position:absolute;left:11475;top:8370;height:1425;width:2130;" fillcolor="#FFFFFF" filled="t" stroked="t" coordsize="21600,21600" o:gfxdata="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h3e0vQAA&#10;ANs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rect>
                <v:shape id="Text Box 99" o:spid="_x0000_s1026" o:spt="202" type="#_x0000_t202" style="position:absolute;left:12122;top:8531;height:435;width:1169;" filled="f" stroked="f" coordsize="21600,21600" o:gfxdata="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enGk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18FA3EF3">
                        <w:pPr>
                          <w:rPr>
                            <w:b/>
                            <w:bCs/>
                          </w:rPr>
                        </w:pPr>
                        <w:r>
                          <w:rPr>
                            <w:rFonts w:hint="eastAsia"/>
                            <w:b/>
                            <w:bCs/>
                          </w:rPr>
                          <w:t xml:space="preserve">图 </w:t>
                        </w:r>
                        <w:r>
                          <w:rPr>
                            <w:b/>
                            <w:bCs/>
                          </w:rPr>
                          <w:t xml:space="preserve"> </w:t>
                        </w:r>
                        <w:r>
                          <w:rPr>
                            <w:rFonts w:hint="eastAsia"/>
                            <w:b/>
                            <w:bCs/>
                          </w:rPr>
                          <w:t>例</w:t>
                        </w:r>
                      </w:p>
                    </w:txbxContent>
                  </v:textbox>
                </v:shape>
                <v:shape id="Text Box 100" o:spid="_x0000_s1026" o:spt="202" type="#_x0000_t202" style="position:absolute;left:12239;top:9120;height:435;width:1395;" filled="f" stroked="f" coordsize="21600,21600" o:gfxdata="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NtQ/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5D370A98">
                        <w:pPr>
                          <w:rPr>
                            <w:b/>
                            <w:bCs/>
                          </w:rPr>
                        </w:pPr>
                        <w:r>
                          <w:rPr>
                            <w:rFonts w:hint="eastAsia"/>
                            <w:b/>
                            <w:bCs/>
                          </w:rPr>
                          <w:t>本项目位置</w:t>
                        </w:r>
                      </w:p>
                    </w:txbxContent>
                  </v:textbox>
                </v:shape>
                <v:shape id="AutoShape 102" o:spid="_x0000_s1026" style="position:absolute;left:11970;top:9120;height:405;width:360;" fillcolor="#FF0000" filled="t" stroked="t" coordsize="360,405" o:gfxdata="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z0PjLtwAAANsAAAAP&#10;AAAAAAAAAAEAIAAAACIAAABkcnMvZG93bnJldi54bWxQSwECFAAUAAAACACHTuJAMy8FnjsAAAA5&#10;AAAAEAAAAAAAAAABACAAAAAGAQAAZHJzL3NoYXBleG1sLnhtbFBLBQYAAAAABgAGAFsBAACwAwAA&#10;AAA=&#10;" path="m0,154l137,154,180,0,222,154,359,154,248,250,291,404,180,309,68,404,111,250xe">
                  <v:path o:connectlocs="180,0;0,154;68,404;291,404;359,154" o:connectangles="247,164,82,82,0"/>
                  <v:fill on="t" focussize="0,0"/>
                  <v:stroke color="#000000" miterlimit="8" joinstyle="miter"/>
                  <v:imagedata o:title=""/>
                  <o:lock v:ext="edit" aspectratio="f"/>
                </v:shape>
              </v:group>
            </w:pict>
          </mc:Fallback>
        </mc:AlternateContent>
      </w:r>
      <w:r>
        <w:rPr>
          <w:rStyle w:val="58"/>
          <w:rFonts w:hint="eastAsia" w:ascii="宋体" w:hAnsi="宋体" w:eastAsia="宋体" w:cs="宋体"/>
          <w:b w:val="0"/>
          <w:bCs w:val="0"/>
          <w:sz w:val="28"/>
          <w:szCs w:val="28"/>
        </w:rPr>
        <mc:AlternateContent>
          <mc:Choice Requires="wps">
            <w:drawing>
              <wp:anchor distT="0" distB="0" distL="114300" distR="114300" simplePos="0" relativeHeight="251659264" behindDoc="0" locked="0" layoutInCell="1" allowOverlap="1">
                <wp:simplePos x="0" y="0"/>
                <wp:positionH relativeFrom="column">
                  <wp:posOffset>4745990</wp:posOffset>
                </wp:positionH>
                <wp:positionV relativeFrom="paragraph">
                  <wp:posOffset>2204085</wp:posOffset>
                </wp:positionV>
                <wp:extent cx="248285" cy="212725"/>
                <wp:effectExtent l="15875" t="13970" r="21590" b="20955"/>
                <wp:wrapNone/>
                <wp:docPr id="23" name="AutoShape 101"/>
                <wp:cNvGraphicFramePr/>
                <a:graphic xmlns:a="http://schemas.openxmlformats.org/drawingml/2006/main">
                  <a:graphicData uri="http://schemas.microsoft.com/office/word/2010/wordprocessingShape">
                    <wps:wsp>
                      <wps:cNvSpPr>
                        <a:spLocks noChangeArrowheads="1"/>
                      </wps:cNvSpPr>
                      <wps:spPr bwMode="auto">
                        <a:xfrm>
                          <a:off x="0" y="0"/>
                          <a:ext cx="248285" cy="212725"/>
                        </a:xfrm>
                        <a:prstGeom prst="star5">
                          <a:avLst/>
                        </a:prstGeom>
                        <a:solidFill>
                          <a:srgbClr val="FF00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AutoShape 101" o:spid="_x0000_s1026" style="position:absolute;left:0pt;margin-left:373.7pt;margin-top:173.55pt;height:16.75pt;width:19.55pt;z-index:251659264;mso-width-relative:page;mso-height-relative:page;" fillcolor="#FF0000" filled="t" stroked="t" coordsize="248285,212725" o:gfxdata="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Wj3v2wAAAAsBAAAPAAAAAAAAAAEAIAAAACIAAABkcnMvZG93bnJldi54bWxQSwECFAAUAAAA&#10;CACHTuJAJ6+JKCQCAAB1BAAADgAAAAAAAAABACAAAAAqAQAAZHJzL2Uyb0RvYy54bWxQSwUGAAAA&#10;AAYABgBZAQAAwAUAAAAA&#10;" path="m0,81253l94836,81254,124142,0,153448,81254,248284,81253,171559,131470,200866,212724,124142,162506,47418,212724,76725,131470xe">
                <v:path o:connectlocs="124142,0;0,81253;47418,212724;200866,212724;248284,81253" o:connectangles="247,164,82,82,0"/>
                <v:fill on="t" focussize="0,0"/>
                <v:stroke color="#000000" miterlimit="8" joinstyle="miter"/>
                <v:imagedata o:title=""/>
                <o:lock v:ext="edit" aspectratio="f"/>
              </v:shape>
            </w:pict>
          </mc:Fallback>
        </mc:AlternateContent>
      </w:r>
      <w:bookmarkStart w:id="58" w:name="_Toc11204"/>
      <w:bookmarkStart w:id="59" w:name="_Toc13308"/>
      <w:bookmarkStart w:id="60" w:name="_Toc24633"/>
      <w:r>
        <w:rPr>
          <w:rStyle w:val="58"/>
          <w:rFonts w:hint="eastAsia" w:ascii="宋体" w:hAnsi="宋体" w:eastAsia="宋体" w:cs="宋体"/>
          <w:b w:val="0"/>
          <w:bCs w:val="0"/>
          <w:sz w:val="28"/>
          <w:szCs w:val="28"/>
        </w:rPr>
        <w:t>附图</w:t>
      </w:r>
      <w:r>
        <w:rPr>
          <w:rStyle w:val="58"/>
          <w:rFonts w:hint="default" w:ascii="Times New Roman" w:hAnsi="Times New Roman" w:cs="Times New Roman"/>
          <w:b w:val="0"/>
          <w:bCs w:val="0"/>
          <w:sz w:val="28"/>
          <w:szCs w:val="28"/>
        </w:rPr>
        <w:t>1</w:t>
      </w:r>
      <w:r>
        <w:rPr>
          <w:rStyle w:val="58"/>
          <w:rFonts w:hint="eastAsia" w:ascii="宋体" w:hAnsi="宋体" w:eastAsia="宋体" w:cs="宋体"/>
          <w:b w:val="0"/>
          <w:bCs w:val="0"/>
          <w:sz w:val="28"/>
          <w:szCs w:val="28"/>
        </w:rPr>
        <w:t>项目地理位置图</w:t>
      </w:r>
      <w:bookmarkEnd w:id="58"/>
      <w:bookmarkEnd w:id="59"/>
      <w:r>
        <w:rPr>
          <w:rFonts w:hint="default" w:ascii="Times New Roman" w:hAnsi="Times New Roman" w:cs="Times New Roman"/>
          <w:color w:val="auto"/>
          <w:sz w:val="21"/>
        </w:rPr>
        <mc:AlternateContent>
          <mc:Choice Requires="wps">
            <w:drawing>
              <wp:anchor distT="0" distB="0" distL="114300" distR="114300" simplePos="0" relativeHeight="251669504" behindDoc="0" locked="0" layoutInCell="1" allowOverlap="1">
                <wp:simplePos x="0" y="0"/>
                <wp:positionH relativeFrom="column">
                  <wp:posOffset>-7654290</wp:posOffset>
                </wp:positionH>
                <wp:positionV relativeFrom="paragraph">
                  <wp:posOffset>1814830</wp:posOffset>
                </wp:positionV>
                <wp:extent cx="1174750" cy="304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17475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FA7B4A">
                            <w:pPr>
                              <w:rPr>
                                <w:rFonts w:hint="default"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2.7pt;margin-top:142.9pt;height:24pt;width:92.5pt;z-index:251669504;mso-width-relative:page;mso-height-relative:page;" filled="f" stroked="f" coordsize="21600,21600" o:gfxdata="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VauzP3gAAAA8BAAAPAAAAAAAAAAEAIAAAACIA&#10;AABkcnMvZG93bnJldi54bWxQSwECFAAUAAAACACHTuJAjNWQwDwCAABoBAAADgAAAAAAAAABACAA&#10;AAAtAQAAZHJzL2Uyb0RvYy54bWxQSwUGAAAAAAYABgBZAQAA2wUAAAAA&#10;">
                <v:fill on="f" focussize="0,0"/>
                <v:stroke on="f" weight="0.5pt"/>
                <v:imagedata o:title=""/>
                <o:lock v:ext="edit" aspectratio="f"/>
                <v:textbox>
                  <w:txbxContent>
                    <w:p w14:paraId="17FA7B4A">
                      <w:pPr>
                        <w:rPr>
                          <w:rFonts w:hint="default" w:eastAsia="宋体"/>
                          <w:lang w:val="en-US" w:eastAsia="zh-CN"/>
                        </w:rPr>
                      </w:pPr>
                      <w:r>
                        <w:rPr>
                          <w:rFonts w:hint="eastAsia"/>
                          <w:lang w:val="en-US" w:eastAsia="zh-CN"/>
                        </w:rPr>
                        <w:t>本项目位置</w:t>
                      </w:r>
                    </w:p>
                  </w:txbxContent>
                </v:textbox>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668480" behindDoc="0" locked="0" layoutInCell="1" allowOverlap="1">
                <wp:simplePos x="0" y="0"/>
                <wp:positionH relativeFrom="column">
                  <wp:posOffset>-7268845</wp:posOffset>
                </wp:positionH>
                <wp:positionV relativeFrom="paragraph">
                  <wp:posOffset>2131060</wp:posOffset>
                </wp:positionV>
                <wp:extent cx="127000" cy="104140"/>
                <wp:effectExtent l="16510" t="13335" r="27940" b="15875"/>
                <wp:wrapNone/>
                <wp:docPr id="36" name="五角星 36"/>
                <wp:cNvGraphicFramePr/>
                <a:graphic xmlns:a="http://schemas.openxmlformats.org/drawingml/2006/main">
                  <a:graphicData uri="http://schemas.microsoft.com/office/word/2010/wordprocessingShape">
                    <wps:wsp>
                      <wps:cNvSpPr/>
                      <wps:spPr>
                        <a:xfrm>
                          <a:off x="0" y="0"/>
                          <a:ext cx="127000" cy="104140"/>
                        </a:xfrm>
                        <a:prstGeom prst="star5">
                          <a:avLst>
                            <a:gd name="adj" fmla="val 19114"/>
                            <a:gd name="hf" fmla="val 105146"/>
                            <a:gd name="vf" fmla="val 110557"/>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572.35pt;margin-top:167.8pt;height:8.2pt;width:10pt;z-index:251668480;mso-width-relative:page;mso-height-relative:page;" fillcolor="#FF0000" filled="t" stroked="t" coordsize="127000,104140" o:gfxdata="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Tq+ym3QAAAA8BAAAPAAAAAAAAAAEAIAAAACIAAABkcnMvZG93&#10;bnJldi54bWxQSwECFAAUAAAACACHTuJAnxhODjQCAACVBAAADgAAAAAAAAABACAAAAAsAQAAZHJz&#10;L2Uyb0RvYy54bWxQSwUGAAAAAAYABgBZAQAA0gUAAAAA&#10;" path="m0,39777l48497,39763,63500,0,78502,39763,126999,39777,87774,64367,102745,104139,63500,79573,24254,104139,39225,64367xe">
                <v:path o:connectlocs="63500,0;0,39777;24254,104139;102745,104139;126999,39777" o:connectangles="247,164,82,82,0"/>
                <v:fill on="t" focussize="0,0"/>
                <v:stroke color="#000000" joinstyle="miter"/>
                <v:imagedata o:title=""/>
                <o:lock v:ext="edit" aspectratio="f"/>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667456" behindDoc="0" locked="0" layoutInCell="1" allowOverlap="1">
                <wp:simplePos x="0" y="0"/>
                <wp:positionH relativeFrom="column">
                  <wp:posOffset>-7798435</wp:posOffset>
                </wp:positionH>
                <wp:positionV relativeFrom="page">
                  <wp:posOffset>2472055</wp:posOffset>
                </wp:positionV>
                <wp:extent cx="1689100" cy="1304290"/>
                <wp:effectExtent l="4445" t="4445" r="20955" b="786765"/>
                <wp:wrapNone/>
                <wp:docPr id="19" name="圆角矩形标注 19"/>
                <wp:cNvGraphicFramePr/>
                <a:graphic xmlns:a="http://schemas.openxmlformats.org/drawingml/2006/main">
                  <a:graphicData uri="http://schemas.microsoft.com/office/word/2010/wordprocessingShape">
                    <wps:wsp>
                      <wps:cNvSpPr/>
                      <wps:spPr>
                        <a:xfrm>
                          <a:off x="0" y="0"/>
                          <a:ext cx="1689100" cy="1304290"/>
                        </a:xfrm>
                        <a:prstGeom prst="wedgeRoundRectCallout">
                          <a:avLst>
                            <a:gd name="adj1" fmla="val -10714"/>
                            <a:gd name="adj2" fmla="val 108714"/>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77DF6785">
                            <w:r>
                              <w:drawing>
                                <wp:inline distT="0" distB="0" distL="114300" distR="114300">
                                  <wp:extent cx="1330960" cy="1094740"/>
                                  <wp:effectExtent l="0" t="0" r="2540" b="1016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31"/>
                                          <a:stretch>
                                            <a:fillRect/>
                                          </a:stretch>
                                        </pic:blipFill>
                                        <pic:spPr>
                                          <a:xfrm>
                                            <a:off x="0" y="0"/>
                                            <a:ext cx="1330960" cy="1094740"/>
                                          </a:xfrm>
                                          <a:prstGeom prst="rect">
                                            <a:avLst/>
                                          </a:prstGeom>
                                          <a:noFill/>
                                          <a:ln>
                                            <a:noFill/>
                                          </a:ln>
                                        </pic:spPr>
                                      </pic:pic>
                                    </a:graphicData>
                                  </a:graphic>
                                </wp:inline>
                              </w:drawing>
                            </w:r>
                          </w:p>
                        </w:txbxContent>
                      </wps:txbx>
                      <wps:bodyPr upright="1"/>
                    </wps:wsp>
                  </a:graphicData>
                </a:graphic>
              </wp:anchor>
            </w:drawing>
          </mc:Choice>
          <mc:Fallback>
            <w:pict>
              <v:shape id="_x0000_s1026" o:spid="_x0000_s1026" o:spt="62" type="#_x0000_t62" style="position:absolute;left:0pt;margin-left:-614.05pt;margin-top:194.65pt;height:102.7pt;width:133pt;mso-position-vertical-relative:page;z-index:251667456;mso-width-relative:page;mso-height-relative:page;" fillcolor="#FFFFFF" filled="t" stroked="t" coordsize="21600,21600" o:gfxdata="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LCWvdndAAAA&#10;DgEAAA8AAAAAAAAAAQAgAAAAIgAAAGRycy9kb3ducmV2LnhtbFBLAQIUABQAAAAIAIdO4kAzQmVy&#10;UQIAAMAEAAAOAAAAAAAAAAEAIAAAACwBAABkcnMvZTJvRG9jLnhtbFBLBQYAAAAABgAGAFkBAADv&#10;BQAAAAA=&#10;" adj="8486,34282,14400">
                <v:fill on="t" focussize="0,0"/>
                <v:stroke color="#000000" joinstyle="miter"/>
                <v:imagedata o:title=""/>
                <o:lock v:ext="edit" aspectratio="f"/>
                <v:textbox>
                  <w:txbxContent>
                    <w:p w14:paraId="77DF6785">
                      <w:r>
                        <w:drawing>
                          <wp:inline distT="0" distB="0" distL="114300" distR="114300">
                            <wp:extent cx="1330960" cy="1094740"/>
                            <wp:effectExtent l="0" t="0" r="2540" b="1016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31"/>
                                    <a:stretch>
                                      <a:fillRect/>
                                    </a:stretch>
                                  </pic:blipFill>
                                  <pic:spPr>
                                    <a:xfrm>
                                      <a:off x="0" y="0"/>
                                      <a:ext cx="1330960" cy="1094740"/>
                                    </a:xfrm>
                                    <a:prstGeom prst="rect">
                                      <a:avLst/>
                                    </a:prstGeom>
                                    <a:noFill/>
                                    <a:ln>
                                      <a:noFill/>
                                    </a:ln>
                                  </pic:spPr>
                                </pic:pic>
                              </a:graphicData>
                            </a:graphic>
                          </wp:inline>
                        </w:drawing>
                      </w:r>
                    </w:p>
                  </w:txbxContent>
                </v:textbox>
              </v:shape>
            </w:pict>
          </mc:Fallback>
        </mc:AlternateContent>
      </w:r>
      <w:bookmarkEnd w:id="60"/>
    </w:p>
    <w:p w14:paraId="3C9262C6">
      <w:pPr>
        <w:pStyle w:val="19"/>
        <w:spacing w:line="240" w:lineRule="auto"/>
        <w:ind w:firstLine="0" w:firstLineChars="0"/>
        <w:jc w:val="both"/>
        <w:outlineLvl w:val="9"/>
        <w:rPr>
          <w:rFonts w:hint="default" w:ascii="Times New Roman" w:hAnsi="Times New Roman" w:eastAsia="黑体" w:cs="Times New Roman"/>
          <w:snapToGrid w:val="0"/>
          <w:color w:val="auto"/>
          <w:sz w:val="28"/>
          <w:szCs w:val="28"/>
          <w:highlight w:val="none"/>
          <w:lang w:val="en-US" w:eastAsia="zh-CN"/>
        </w:rPr>
      </w:pPr>
      <w:r>
        <w:rPr>
          <w:rFonts w:hint="default" w:ascii="Times New Roman" w:hAnsi="Times New Roman" w:cs="Times New Roman"/>
          <w:sz w:val="18"/>
        </w:rPr>
        <mc:AlternateContent>
          <mc:Choice Requires="wps">
            <w:drawing>
              <wp:anchor distT="0" distB="0" distL="114300" distR="114300" simplePos="0" relativeHeight="251692032" behindDoc="0" locked="0" layoutInCell="1" allowOverlap="1">
                <wp:simplePos x="0" y="0"/>
                <wp:positionH relativeFrom="column">
                  <wp:posOffset>7119620</wp:posOffset>
                </wp:positionH>
                <wp:positionV relativeFrom="paragraph">
                  <wp:posOffset>3825240</wp:posOffset>
                </wp:positionV>
                <wp:extent cx="1371600" cy="1171575"/>
                <wp:effectExtent l="5080" t="4445" r="13970" b="5080"/>
                <wp:wrapNone/>
                <wp:docPr id="13" name="文本框 13"/>
                <wp:cNvGraphicFramePr/>
                <a:graphic xmlns:a="http://schemas.openxmlformats.org/drawingml/2006/main">
                  <a:graphicData uri="http://schemas.microsoft.com/office/word/2010/wordprocessingShape">
                    <wps:wsp>
                      <wps:cNvSpPr txBox="1"/>
                      <wps:spPr>
                        <a:xfrm>
                          <a:off x="8161655" y="5045075"/>
                          <a:ext cx="1371600" cy="11715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02F4F12">
                            <w:pPr>
                              <w:keepNext w:val="0"/>
                              <w:keepLines w:val="0"/>
                              <w:pageBreakBefore w:val="0"/>
                              <w:kinsoku/>
                              <w:wordWrap/>
                              <w:overflowPunct/>
                              <w:topLinePunct w:val="0"/>
                              <w:bidi w:val="0"/>
                              <w:adjustRightInd/>
                              <w:spacing w:line="240" w:lineRule="auto"/>
                              <w:ind w:right="0"/>
                              <w:jc w:val="center"/>
                              <w:textAlignment w:val="auto"/>
                              <w:rPr>
                                <w:rFonts w:hint="eastAsia"/>
                                <w:b/>
                                <w:bCs/>
                                <w:sz w:val="28"/>
                                <w:szCs w:val="28"/>
                                <w:lang w:val="en-US" w:eastAsia="zh-CN"/>
                              </w:rPr>
                            </w:pPr>
                            <w:r>
                              <w:rPr>
                                <w:rFonts w:hint="eastAsia"/>
                                <w:b/>
                                <w:bCs/>
                                <w:sz w:val="28"/>
                                <w:szCs w:val="28"/>
                                <w:lang w:val="en-US" w:eastAsia="zh-CN"/>
                              </w:rPr>
                              <w:t>图例</w:t>
                            </w:r>
                          </w:p>
                          <w:p w14:paraId="08213FF2">
                            <w:pPr>
                              <w:pStyle w:val="2"/>
                              <w:keepNext w:val="0"/>
                              <w:keepLines w:val="0"/>
                              <w:pageBreakBefore w:val="0"/>
                              <w:kinsoku/>
                              <w:wordWrap/>
                              <w:overflowPunct/>
                              <w:topLinePunct w:val="0"/>
                              <w:bidi w:val="0"/>
                              <w:adjustRightInd/>
                              <w:spacing w:before="0" w:after="0" w:line="240" w:lineRule="auto"/>
                              <w:ind w:right="0" w:firstLine="480" w:firstLineChars="200"/>
                              <w:jc w:val="both"/>
                              <w:textAlignment w:val="auto"/>
                              <w:rPr>
                                <w:rFonts w:hint="default"/>
                                <w:sz w:val="24"/>
                                <w:szCs w:val="24"/>
                                <w:lang w:val="en-US" w:eastAsia="zh-CN"/>
                              </w:rPr>
                            </w:pPr>
                            <w:r>
                              <w:rPr>
                                <w:rFonts w:hint="eastAsia"/>
                                <w:sz w:val="24"/>
                                <w:szCs w:val="24"/>
                                <w:lang w:val="en-US" w:eastAsia="zh-CN"/>
                              </w:rPr>
                              <w:t>煤炭堆场</w:t>
                            </w:r>
                          </w:p>
                          <w:p w14:paraId="108CA7ED">
                            <w:pPr>
                              <w:pStyle w:val="3"/>
                              <w:keepNext w:val="0"/>
                              <w:keepLines w:val="0"/>
                              <w:pageBreakBefore w:val="0"/>
                              <w:kinsoku/>
                              <w:wordWrap/>
                              <w:overflowPunct/>
                              <w:topLinePunct w:val="0"/>
                              <w:bidi w:val="0"/>
                              <w:adjustRightInd/>
                              <w:spacing w:line="240" w:lineRule="auto"/>
                              <w:ind w:right="0" w:firstLine="480" w:firstLineChars="200"/>
                              <w:jc w:val="both"/>
                              <w:textAlignment w:val="auto"/>
                              <w:rPr>
                                <w:rFonts w:hint="eastAsia"/>
                                <w:sz w:val="24"/>
                                <w:szCs w:val="24"/>
                                <w:lang w:val="en-US" w:eastAsia="zh-CN"/>
                              </w:rPr>
                            </w:pPr>
                            <w:r>
                              <w:rPr>
                                <w:rFonts w:hint="eastAsia"/>
                                <w:sz w:val="24"/>
                                <w:szCs w:val="24"/>
                                <w:lang w:val="en-US" w:eastAsia="zh-CN"/>
                              </w:rPr>
                              <w:t>导流沟</w:t>
                            </w:r>
                          </w:p>
                          <w:p w14:paraId="245EDAA9">
                            <w:pPr>
                              <w:pStyle w:val="3"/>
                              <w:keepNext w:val="0"/>
                              <w:keepLines w:val="0"/>
                              <w:pageBreakBefore w:val="0"/>
                              <w:kinsoku/>
                              <w:wordWrap/>
                              <w:overflowPunct/>
                              <w:topLinePunct w:val="0"/>
                              <w:bidi w:val="0"/>
                              <w:adjustRightInd/>
                              <w:snapToGrid/>
                              <w:spacing w:line="240" w:lineRule="auto"/>
                              <w:ind w:left="0" w:leftChars="0" w:right="0" w:firstLine="480" w:firstLineChars="200"/>
                              <w:jc w:val="both"/>
                              <w:textAlignment w:val="auto"/>
                              <w:rPr>
                                <w:rFonts w:hint="eastAsia"/>
                                <w:sz w:val="24"/>
                                <w:szCs w:val="24"/>
                                <w:lang w:val="en-US" w:eastAsia="zh-CN"/>
                              </w:rPr>
                            </w:pPr>
                            <w:r>
                              <w:rPr>
                                <w:rFonts w:hint="eastAsia"/>
                                <w:sz w:val="24"/>
                                <w:szCs w:val="24"/>
                                <w:lang w:val="en-US" w:eastAsia="zh-CN"/>
                              </w:rPr>
                              <w:t>防风抑尘网</w:t>
                            </w:r>
                          </w:p>
                          <w:p w14:paraId="3FFF2463">
                            <w:pPr>
                              <w:pStyle w:val="4"/>
                              <w:keepNext w:val="0"/>
                              <w:keepLines w:val="0"/>
                              <w:pageBreakBefore w:val="0"/>
                              <w:kinsoku/>
                              <w:wordWrap/>
                              <w:overflowPunct/>
                              <w:topLinePunct w:val="0"/>
                              <w:bidi w:val="0"/>
                              <w:adjustRightInd/>
                              <w:snapToGrid/>
                              <w:ind w:left="0" w:leftChars="0"/>
                              <w:textAlignment w:val="auto"/>
                              <w:rPr>
                                <w:rFonts w:hint="default"/>
                                <w:sz w:val="24"/>
                                <w:szCs w:val="24"/>
                                <w:lang w:val="en-US" w:eastAsia="zh-CN"/>
                              </w:rPr>
                            </w:pPr>
                            <w:r>
                              <w:rPr>
                                <w:rFonts w:hint="eastAsia"/>
                                <w:sz w:val="24"/>
                                <w:szCs w:val="24"/>
                                <w:lang w:val="en-US" w:eastAsia="zh-CN"/>
                              </w:rPr>
                              <w:t>比例尺：1：2256</w:t>
                            </w:r>
                          </w:p>
                          <w:p w14:paraId="6C9085C9">
                            <w:pPr>
                              <w:keepNext w:val="0"/>
                              <w:keepLines w:val="0"/>
                              <w:pageBreakBefore w:val="0"/>
                              <w:kinsoku/>
                              <w:wordWrap/>
                              <w:overflowPunct/>
                              <w:topLinePunct w:val="0"/>
                              <w:bidi w:val="0"/>
                              <w:adjustRightInd/>
                              <w:snapToGrid/>
                              <w:ind w:left="0" w:leftChars="0"/>
                              <w:textAlignment w:val="auto"/>
                              <w:rPr>
                                <w:rFonts w:hint="default"/>
                                <w:lang w:val="en-US" w:eastAsia="zh-CN"/>
                              </w:rPr>
                            </w:pPr>
                          </w:p>
                          <w:p w14:paraId="2975C8C1">
                            <w:pPr>
                              <w:pStyle w:val="4"/>
                              <w:rPr>
                                <w:rFonts w:hint="default"/>
                                <w:lang w:val="en-US" w:eastAsia="zh-CN"/>
                              </w:rPr>
                            </w:pPr>
                          </w:p>
                          <w:p w14:paraId="70C09156">
                            <w:pPr>
                              <w:pStyle w:val="4"/>
                              <w:rPr>
                                <w:rFonts w:hint="default"/>
                                <w:lang w:val="en-US" w:eastAsia="zh-CN"/>
                              </w:rPr>
                            </w:pPr>
                            <w:r>
                              <w:rPr>
                                <w:rFonts w:hint="eastAsia"/>
                                <w:sz w:val="24"/>
                                <w:szCs w:val="24"/>
                                <w:lang w:val="en-US" w:eastAsia="zh-CN"/>
                              </w:rPr>
                              <w:t>的</w:t>
                            </w:r>
                          </w:p>
                          <w:p w14:paraId="34ACF886">
                            <w:pPr>
                              <w:pStyle w:val="4"/>
                              <w:rPr>
                                <w:rFonts w:hint="default"/>
                                <w:lang w:val="en-US" w:eastAsia="zh-CN"/>
                              </w:rPr>
                            </w:pPr>
                          </w:p>
                          <w:p w14:paraId="13265CB3">
                            <w:pPr>
                              <w:pStyle w:val="4"/>
                              <w:rPr>
                                <w:rFonts w:hint="default"/>
                                <w:lang w:val="en-US" w:eastAsia="zh-CN"/>
                              </w:rPr>
                            </w:pPr>
                          </w:p>
                          <w:p w14:paraId="0F0EE94D">
                            <w:pPr>
                              <w:pStyle w:val="4"/>
                              <w:rPr>
                                <w:rFonts w:hint="default"/>
                                <w:lang w:val="en-US" w:eastAsia="zh-CN"/>
                              </w:rPr>
                            </w:pPr>
                            <w:r>
                              <w:rPr>
                                <w:rFonts w:hint="eastAsia"/>
                                <w:lang w:val="en-US" w:eastAsia="zh-CN"/>
                              </w:rPr>
                              <w:t xml:space="preserve"> 的</w:t>
                            </w:r>
                          </w:p>
                          <w:p w14:paraId="5C539D2A">
                            <w:pPr>
                              <w:pStyle w:val="4"/>
                              <w:rPr>
                                <w:rFonts w:hint="eastAsia"/>
                                <w:lang w:val="en-US" w:eastAsia="zh-CN"/>
                              </w:rPr>
                            </w:pPr>
                          </w:p>
                          <w:p w14:paraId="10E47E43">
                            <w:pPr>
                              <w:pStyle w:val="4"/>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0.6pt;margin-top:301.2pt;height:92.25pt;width:108pt;z-index:251692032;mso-width-relative:page;mso-height-relative:page;" fillcolor="#FFFFFF [3201]" filled="t" stroked="t" coordsize="21600,21600" o:gfxdata="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h6nkddgAAAANAQAADwAAAAAAAAABACAAAAAiAAAAZHJzL2Rvd25yZXYueG1sUEsB&#10;AhQAFAAAAAgAh07iQGk8+/hnAgAAxgQAAA4AAAAAAAAAAQAgAAAAJwEAAGRycy9lMm9Eb2MueG1s&#10;UEsFBgAAAAAGAAYAWQEAAAAGAAAAAA==&#10;">
                <v:fill on="t" focussize="0,0"/>
                <v:stroke weight="0.5pt" color="#000000 [3204]" joinstyle="round"/>
                <v:imagedata o:title=""/>
                <o:lock v:ext="edit" aspectratio="f"/>
                <v:textbox>
                  <w:txbxContent>
                    <w:p w14:paraId="002F4F12">
                      <w:pPr>
                        <w:keepNext w:val="0"/>
                        <w:keepLines w:val="0"/>
                        <w:pageBreakBefore w:val="0"/>
                        <w:kinsoku/>
                        <w:wordWrap/>
                        <w:overflowPunct/>
                        <w:topLinePunct w:val="0"/>
                        <w:bidi w:val="0"/>
                        <w:adjustRightInd/>
                        <w:spacing w:line="240" w:lineRule="auto"/>
                        <w:ind w:right="0"/>
                        <w:jc w:val="center"/>
                        <w:textAlignment w:val="auto"/>
                        <w:rPr>
                          <w:rFonts w:hint="eastAsia"/>
                          <w:b/>
                          <w:bCs/>
                          <w:sz w:val="28"/>
                          <w:szCs w:val="28"/>
                          <w:lang w:val="en-US" w:eastAsia="zh-CN"/>
                        </w:rPr>
                      </w:pPr>
                      <w:r>
                        <w:rPr>
                          <w:rFonts w:hint="eastAsia"/>
                          <w:b/>
                          <w:bCs/>
                          <w:sz w:val="28"/>
                          <w:szCs w:val="28"/>
                          <w:lang w:val="en-US" w:eastAsia="zh-CN"/>
                        </w:rPr>
                        <w:t>图例</w:t>
                      </w:r>
                    </w:p>
                    <w:p w14:paraId="08213FF2">
                      <w:pPr>
                        <w:pStyle w:val="2"/>
                        <w:keepNext w:val="0"/>
                        <w:keepLines w:val="0"/>
                        <w:pageBreakBefore w:val="0"/>
                        <w:kinsoku/>
                        <w:wordWrap/>
                        <w:overflowPunct/>
                        <w:topLinePunct w:val="0"/>
                        <w:bidi w:val="0"/>
                        <w:adjustRightInd/>
                        <w:spacing w:before="0" w:after="0" w:line="240" w:lineRule="auto"/>
                        <w:ind w:right="0" w:firstLine="480" w:firstLineChars="200"/>
                        <w:jc w:val="both"/>
                        <w:textAlignment w:val="auto"/>
                        <w:rPr>
                          <w:rFonts w:hint="default"/>
                          <w:sz w:val="24"/>
                          <w:szCs w:val="24"/>
                          <w:lang w:val="en-US" w:eastAsia="zh-CN"/>
                        </w:rPr>
                      </w:pPr>
                      <w:r>
                        <w:rPr>
                          <w:rFonts w:hint="eastAsia"/>
                          <w:sz w:val="24"/>
                          <w:szCs w:val="24"/>
                          <w:lang w:val="en-US" w:eastAsia="zh-CN"/>
                        </w:rPr>
                        <w:t>煤炭堆场</w:t>
                      </w:r>
                    </w:p>
                    <w:p w14:paraId="108CA7ED">
                      <w:pPr>
                        <w:pStyle w:val="3"/>
                        <w:keepNext w:val="0"/>
                        <w:keepLines w:val="0"/>
                        <w:pageBreakBefore w:val="0"/>
                        <w:kinsoku/>
                        <w:wordWrap/>
                        <w:overflowPunct/>
                        <w:topLinePunct w:val="0"/>
                        <w:bidi w:val="0"/>
                        <w:adjustRightInd/>
                        <w:spacing w:line="240" w:lineRule="auto"/>
                        <w:ind w:right="0" w:firstLine="480" w:firstLineChars="200"/>
                        <w:jc w:val="both"/>
                        <w:textAlignment w:val="auto"/>
                        <w:rPr>
                          <w:rFonts w:hint="eastAsia"/>
                          <w:sz w:val="24"/>
                          <w:szCs w:val="24"/>
                          <w:lang w:val="en-US" w:eastAsia="zh-CN"/>
                        </w:rPr>
                      </w:pPr>
                      <w:r>
                        <w:rPr>
                          <w:rFonts w:hint="eastAsia"/>
                          <w:sz w:val="24"/>
                          <w:szCs w:val="24"/>
                          <w:lang w:val="en-US" w:eastAsia="zh-CN"/>
                        </w:rPr>
                        <w:t>导流沟</w:t>
                      </w:r>
                    </w:p>
                    <w:p w14:paraId="245EDAA9">
                      <w:pPr>
                        <w:pStyle w:val="3"/>
                        <w:keepNext w:val="0"/>
                        <w:keepLines w:val="0"/>
                        <w:pageBreakBefore w:val="0"/>
                        <w:kinsoku/>
                        <w:wordWrap/>
                        <w:overflowPunct/>
                        <w:topLinePunct w:val="0"/>
                        <w:bidi w:val="0"/>
                        <w:adjustRightInd/>
                        <w:snapToGrid/>
                        <w:spacing w:line="240" w:lineRule="auto"/>
                        <w:ind w:left="0" w:leftChars="0" w:right="0" w:firstLine="480" w:firstLineChars="200"/>
                        <w:jc w:val="both"/>
                        <w:textAlignment w:val="auto"/>
                        <w:rPr>
                          <w:rFonts w:hint="eastAsia"/>
                          <w:sz w:val="24"/>
                          <w:szCs w:val="24"/>
                          <w:lang w:val="en-US" w:eastAsia="zh-CN"/>
                        </w:rPr>
                      </w:pPr>
                      <w:r>
                        <w:rPr>
                          <w:rFonts w:hint="eastAsia"/>
                          <w:sz w:val="24"/>
                          <w:szCs w:val="24"/>
                          <w:lang w:val="en-US" w:eastAsia="zh-CN"/>
                        </w:rPr>
                        <w:t>防风抑尘网</w:t>
                      </w:r>
                    </w:p>
                    <w:p w14:paraId="3FFF2463">
                      <w:pPr>
                        <w:pStyle w:val="4"/>
                        <w:keepNext w:val="0"/>
                        <w:keepLines w:val="0"/>
                        <w:pageBreakBefore w:val="0"/>
                        <w:kinsoku/>
                        <w:wordWrap/>
                        <w:overflowPunct/>
                        <w:topLinePunct w:val="0"/>
                        <w:bidi w:val="0"/>
                        <w:adjustRightInd/>
                        <w:snapToGrid/>
                        <w:ind w:left="0" w:leftChars="0"/>
                        <w:textAlignment w:val="auto"/>
                        <w:rPr>
                          <w:rFonts w:hint="default"/>
                          <w:sz w:val="24"/>
                          <w:szCs w:val="24"/>
                          <w:lang w:val="en-US" w:eastAsia="zh-CN"/>
                        </w:rPr>
                      </w:pPr>
                      <w:r>
                        <w:rPr>
                          <w:rFonts w:hint="eastAsia"/>
                          <w:sz w:val="24"/>
                          <w:szCs w:val="24"/>
                          <w:lang w:val="en-US" w:eastAsia="zh-CN"/>
                        </w:rPr>
                        <w:t>比例尺：1：2256</w:t>
                      </w:r>
                    </w:p>
                    <w:p w14:paraId="6C9085C9">
                      <w:pPr>
                        <w:keepNext w:val="0"/>
                        <w:keepLines w:val="0"/>
                        <w:pageBreakBefore w:val="0"/>
                        <w:kinsoku/>
                        <w:wordWrap/>
                        <w:overflowPunct/>
                        <w:topLinePunct w:val="0"/>
                        <w:bidi w:val="0"/>
                        <w:adjustRightInd/>
                        <w:snapToGrid/>
                        <w:ind w:left="0" w:leftChars="0"/>
                        <w:textAlignment w:val="auto"/>
                        <w:rPr>
                          <w:rFonts w:hint="default"/>
                          <w:lang w:val="en-US" w:eastAsia="zh-CN"/>
                        </w:rPr>
                      </w:pPr>
                    </w:p>
                    <w:p w14:paraId="2975C8C1">
                      <w:pPr>
                        <w:pStyle w:val="4"/>
                        <w:rPr>
                          <w:rFonts w:hint="default"/>
                          <w:lang w:val="en-US" w:eastAsia="zh-CN"/>
                        </w:rPr>
                      </w:pPr>
                    </w:p>
                    <w:p w14:paraId="70C09156">
                      <w:pPr>
                        <w:pStyle w:val="4"/>
                        <w:rPr>
                          <w:rFonts w:hint="default"/>
                          <w:lang w:val="en-US" w:eastAsia="zh-CN"/>
                        </w:rPr>
                      </w:pPr>
                      <w:r>
                        <w:rPr>
                          <w:rFonts w:hint="eastAsia"/>
                          <w:sz w:val="24"/>
                          <w:szCs w:val="24"/>
                          <w:lang w:val="en-US" w:eastAsia="zh-CN"/>
                        </w:rPr>
                        <w:t>的</w:t>
                      </w:r>
                    </w:p>
                    <w:p w14:paraId="34ACF886">
                      <w:pPr>
                        <w:pStyle w:val="4"/>
                        <w:rPr>
                          <w:rFonts w:hint="default"/>
                          <w:lang w:val="en-US" w:eastAsia="zh-CN"/>
                        </w:rPr>
                      </w:pPr>
                    </w:p>
                    <w:p w14:paraId="13265CB3">
                      <w:pPr>
                        <w:pStyle w:val="4"/>
                        <w:rPr>
                          <w:rFonts w:hint="default"/>
                          <w:lang w:val="en-US" w:eastAsia="zh-CN"/>
                        </w:rPr>
                      </w:pPr>
                    </w:p>
                    <w:p w14:paraId="0F0EE94D">
                      <w:pPr>
                        <w:pStyle w:val="4"/>
                        <w:rPr>
                          <w:rFonts w:hint="default"/>
                          <w:lang w:val="en-US" w:eastAsia="zh-CN"/>
                        </w:rPr>
                      </w:pPr>
                      <w:r>
                        <w:rPr>
                          <w:rFonts w:hint="eastAsia"/>
                          <w:lang w:val="en-US" w:eastAsia="zh-CN"/>
                        </w:rPr>
                        <w:t xml:space="preserve"> 的</w:t>
                      </w:r>
                    </w:p>
                    <w:p w14:paraId="5C539D2A">
                      <w:pPr>
                        <w:pStyle w:val="4"/>
                        <w:rPr>
                          <w:rFonts w:hint="eastAsia"/>
                          <w:lang w:val="en-US" w:eastAsia="zh-CN"/>
                        </w:rPr>
                      </w:pPr>
                    </w:p>
                    <w:p w14:paraId="10E47E43">
                      <w:pPr>
                        <w:pStyle w:val="4"/>
                        <w:rPr>
                          <w:rFonts w:hint="default"/>
                          <w:lang w:val="en-US" w:eastAsia="zh-CN"/>
                        </w:rPr>
                      </w:pPr>
                    </w:p>
                  </w:txbxContent>
                </v:textbox>
              </v:shape>
            </w:pict>
          </mc:Fallback>
        </mc:AlternateContent>
      </w:r>
      <w:r>
        <w:rPr>
          <w:rFonts w:hint="default" w:ascii="Times New Roman" w:hAnsi="Times New Roman" w:cs="Times New Roman"/>
          <w:color w:val="auto"/>
          <w:sz w:val="18"/>
        </w:rPr>
        <mc:AlternateContent>
          <mc:Choice Requires="wps">
            <w:drawing>
              <wp:anchor distT="0" distB="0" distL="114300" distR="114300" simplePos="0" relativeHeight="251672576" behindDoc="0" locked="0" layoutInCell="1" allowOverlap="1">
                <wp:simplePos x="0" y="0"/>
                <wp:positionH relativeFrom="column">
                  <wp:posOffset>5291455</wp:posOffset>
                </wp:positionH>
                <wp:positionV relativeFrom="paragraph">
                  <wp:posOffset>3881755</wp:posOffset>
                </wp:positionV>
                <wp:extent cx="1176655" cy="334010"/>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1176655" cy="3340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10F37E">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危险废物贮存点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6.65pt;margin-top:305.65pt;height:26.3pt;width:92.65pt;z-index:251672576;mso-width-relative:page;mso-height-relative:page;" filled="f" stroked="f" coordsize="21600,21600" o:gfxdata="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&#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T3huXbAAAADAEAAA8AAAAAAAAAAQAgAAAAIgAAAGRy&#10;cy9kb3ducmV2LnhtbFBLAQIUABQAAAAIAIdO4kAN77gPOwIAAGgEAAAOAAAAAAAAAAEAIAAAACoB&#10;AABkcnMvZTJvRG9jLnhtbFBLBQYAAAAABgAGAFkBAADXBQAAAAA=&#10;">
                <v:fill on="f" focussize="0,0"/>
                <v:stroke on="f" weight="0.5pt"/>
                <v:imagedata o:title=""/>
                <o:lock v:ext="edit" aspectratio="f"/>
                <v:textbox>
                  <w:txbxContent>
                    <w:p w14:paraId="4310F37E">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危险废物贮存点</w:t>
                      </w:r>
                    </w:p>
                  </w:txbxContent>
                </v:textbox>
              </v:shape>
            </w:pict>
          </mc:Fallback>
        </mc:AlternateContent>
      </w:r>
      <w:r>
        <w:rPr>
          <w:rFonts w:hint="default" w:ascii="Times New Roman" w:hAnsi="Times New Roman" w:cs="Times New Roman"/>
          <w:sz w:val="18"/>
        </w:rPr>
        <mc:AlternateContent>
          <mc:Choice Requires="wps">
            <w:drawing>
              <wp:anchor distT="0" distB="0" distL="114300" distR="114300" simplePos="0" relativeHeight="251696128" behindDoc="0" locked="0" layoutInCell="1" allowOverlap="1">
                <wp:simplePos x="0" y="0"/>
                <wp:positionH relativeFrom="column">
                  <wp:posOffset>5713095</wp:posOffset>
                </wp:positionH>
                <wp:positionV relativeFrom="paragraph">
                  <wp:posOffset>3541395</wp:posOffset>
                </wp:positionV>
                <wp:extent cx="124460" cy="345440"/>
                <wp:effectExtent l="17780" t="0" r="10160" b="16510"/>
                <wp:wrapNone/>
                <wp:docPr id="22" name="直接箭头连接符 22"/>
                <wp:cNvGraphicFramePr/>
                <a:graphic xmlns:a="http://schemas.openxmlformats.org/drawingml/2006/main">
                  <a:graphicData uri="http://schemas.microsoft.com/office/word/2010/wordprocessingShape">
                    <wps:wsp>
                      <wps:cNvCnPr/>
                      <wps:spPr>
                        <a:xfrm flipH="1" flipV="1">
                          <a:off x="2979420" y="2478405"/>
                          <a:ext cx="124460" cy="345440"/>
                        </a:xfrm>
                        <a:prstGeom prst="straightConnector1">
                          <a:avLst/>
                        </a:prstGeom>
                        <a:ln>
                          <a:solidFill>
                            <a:schemeClr val="bg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449.85pt;margin-top:278.85pt;height:27.2pt;width:9.8pt;z-index:251696128;mso-width-relative:page;mso-height-relative:page;" filled="f" stroked="t" coordsize="21600,21600" o:gfxdata="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8s&#10;BBvZAAAACwEAAA8AAAAAAAAAAQAgAAAAIgAAAGRycy9kb3ducmV2LnhtbFBLAQIUABQAAAAIAIdO&#10;4kDU1+ETIgIAAAUEAAAOAAAAAAAAAAEAIAAAACgBAABkcnMvZTJvRG9jLnhtbFBLBQYAAAAABgAG&#10;AFkBAAC8BQAAAAA=&#10;">
                <v:fill on="f" focussize="0,0"/>
                <v:stroke weight="1pt" color="#FFFFFF [3212]" miterlimit="8" joinstyle="miter" endarrow="open"/>
                <v:imagedata o:title=""/>
                <o:lock v:ext="edit" aspectratio="f"/>
              </v:shape>
            </w:pict>
          </mc:Fallback>
        </mc:AlternateContent>
      </w:r>
      <w:r>
        <w:rPr>
          <w:rFonts w:hint="default" w:ascii="Times New Roman" w:hAnsi="Times New Roman" w:cs="Times New Roman"/>
          <w:color w:val="auto"/>
          <w:highlight w:val="none"/>
        </w:rPr>
        <w:drawing>
          <wp:anchor distT="0" distB="0" distL="114300" distR="114300" simplePos="0" relativeHeight="251673600" behindDoc="0" locked="0" layoutInCell="1" allowOverlap="1">
            <wp:simplePos x="0" y="0"/>
            <wp:positionH relativeFrom="column">
              <wp:posOffset>7849235</wp:posOffset>
            </wp:positionH>
            <wp:positionV relativeFrom="paragraph">
              <wp:posOffset>13335</wp:posOffset>
            </wp:positionV>
            <wp:extent cx="695325" cy="685800"/>
            <wp:effectExtent l="0" t="0" r="9525" b="0"/>
            <wp:wrapNone/>
            <wp:docPr id="9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6"/>
                    <pic:cNvPicPr>
                      <a:picLocks noChangeAspect="1"/>
                    </pic:cNvPicPr>
                  </pic:nvPicPr>
                  <pic:blipFill>
                    <a:blip r:embed="rId29"/>
                    <a:stretch>
                      <a:fillRect/>
                    </a:stretch>
                  </pic:blipFill>
                  <pic:spPr>
                    <a:xfrm>
                      <a:off x="0" y="0"/>
                      <a:ext cx="695325" cy="685800"/>
                    </a:xfrm>
                    <a:prstGeom prst="rect">
                      <a:avLst/>
                    </a:prstGeom>
                    <a:noFill/>
                    <a:ln>
                      <a:noFill/>
                    </a:ln>
                  </pic:spPr>
                </pic:pic>
              </a:graphicData>
            </a:graphic>
          </wp:anchor>
        </w:drawing>
      </w:r>
      <w:r>
        <w:rPr>
          <w:rFonts w:hint="default" w:ascii="Times New Roman" w:hAnsi="Times New Roman" w:cs="Times New Roman"/>
          <w:sz w:val="18"/>
        </w:rPr>
        <mc:AlternateContent>
          <mc:Choice Requires="wps">
            <w:drawing>
              <wp:anchor distT="0" distB="0" distL="114300" distR="114300" simplePos="0" relativeHeight="251695104" behindDoc="0" locked="0" layoutInCell="1" allowOverlap="1">
                <wp:simplePos x="0" y="0"/>
                <wp:positionH relativeFrom="column">
                  <wp:posOffset>7220585</wp:posOffset>
                </wp:positionH>
                <wp:positionV relativeFrom="paragraph">
                  <wp:posOffset>4618355</wp:posOffset>
                </wp:positionV>
                <wp:extent cx="228600" cy="0"/>
                <wp:effectExtent l="0" t="6350" r="0" b="6350"/>
                <wp:wrapNone/>
                <wp:docPr id="21" name="直接连接符 21"/>
                <wp:cNvGraphicFramePr/>
                <a:graphic xmlns:a="http://schemas.openxmlformats.org/drawingml/2006/main">
                  <a:graphicData uri="http://schemas.microsoft.com/office/word/2010/wordprocessingShape">
                    <wps:wsp>
                      <wps:cNvCnPr/>
                      <wps:spPr>
                        <a:xfrm>
                          <a:off x="0" y="0"/>
                          <a:ext cx="228600" cy="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68.55pt;margin-top:363.65pt;height:0pt;width:18pt;z-index:251695104;mso-width-relative:page;mso-height-relative:page;" filled="f" stroked="t" coordsize="21600,21600" o:gfxdata="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mhC2tkA&#10;AAANAQAADwAAAAAAAAABACAAAAAiAAAAZHJzL2Rvd25yZXYueG1sUEsBAhQAFAAAAAgAh07iQFZQ&#10;DSPlAQAAswMAAA4AAAAAAAAAAQAgAAAAKAEAAGRycy9lMm9Eb2MueG1sUEsFBgAAAAAGAAYAWQEA&#10;AH8FAAAAAA==&#10;">
                <v:fill on="f" focussize="0,0"/>
                <v:stroke weight="1pt" color="#FF0000 [3204]" miterlimit="8" joinstyle="miter"/>
                <v:imagedata o:title=""/>
                <o:lock v:ext="edit" aspectratio="f"/>
              </v:line>
            </w:pict>
          </mc:Fallback>
        </mc:AlternateContent>
      </w:r>
      <w:r>
        <w:rPr>
          <w:rFonts w:hint="default" w:ascii="Times New Roman" w:hAnsi="Times New Roman" w:cs="Times New Roman"/>
          <w:sz w:val="18"/>
        </w:rPr>
        <mc:AlternateContent>
          <mc:Choice Requires="wps">
            <w:drawing>
              <wp:anchor distT="0" distB="0" distL="114300" distR="114300" simplePos="0" relativeHeight="251694080" behindDoc="0" locked="0" layoutInCell="1" allowOverlap="1">
                <wp:simplePos x="0" y="0"/>
                <wp:positionH relativeFrom="column">
                  <wp:posOffset>7205345</wp:posOffset>
                </wp:positionH>
                <wp:positionV relativeFrom="paragraph">
                  <wp:posOffset>4389120</wp:posOffset>
                </wp:positionV>
                <wp:extent cx="228600" cy="0"/>
                <wp:effectExtent l="0" t="6350" r="0" b="6350"/>
                <wp:wrapNone/>
                <wp:docPr id="15" name="直接连接符 15"/>
                <wp:cNvGraphicFramePr/>
                <a:graphic xmlns:a="http://schemas.openxmlformats.org/drawingml/2006/main">
                  <a:graphicData uri="http://schemas.microsoft.com/office/word/2010/wordprocessingShape">
                    <wps:wsp>
                      <wps:cNvCnPr/>
                      <wps:spPr>
                        <a:xfrm>
                          <a:off x="7933055" y="5789930"/>
                          <a:ext cx="228600" cy="0"/>
                        </a:xfrm>
                        <a:prstGeom prst="line">
                          <a:avLst/>
                        </a:prstGeom>
                        <a:ln>
                          <a:solidFill>
                            <a:srgbClr val="0000FC"/>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67.35pt;margin-top:345.6pt;height:0pt;width:18pt;z-index:251694080;mso-width-relative:page;mso-height-relative:page;" filled="f" stroked="t" coordsize="21600,21600" o:gfxdata="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EEF092AAAAA0BAAAPAAAAAAAAAAEAIAAAACIAAABkcnMvZG93bnJldi54bWxQSwEC&#10;FAAUAAAACACHTuJAEasXOPQBAAC/AwAADgAAAAAAAAABACAAAAAnAQAAZHJzL2Uyb0RvYy54bWxQ&#10;SwUGAAAAAAYABgBZAQAAjQUAAAAA&#10;">
                <v:fill on="f" focussize="0,0"/>
                <v:stroke weight="1pt" color="#0000FC [3204]" miterlimit="8" joinstyle="miter"/>
                <v:imagedata o:title=""/>
                <o:lock v:ext="edit" aspectratio="f"/>
              </v:line>
            </w:pict>
          </mc:Fallback>
        </mc:AlternateContent>
      </w:r>
      <w:r>
        <w:rPr>
          <w:rFonts w:hint="default" w:ascii="Times New Roman" w:hAnsi="Times New Roman" w:cs="Times New Roman"/>
          <w:sz w:val="18"/>
        </w:rPr>
        <mc:AlternateContent>
          <mc:Choice Requires="wps">
            <w:drawing>
              <wp:anchor distT="0" distB="0" distL="114300" distR="114300" simplePos="0" relativeHeight="251693056" behindDoc="0" locked="0" layoutInCell="1" allowOverlap="1">
                <wp:simplePos x="0" y="0"/>
                <wp:positionH relativeFrom="column">
                  <wp:posOffset>7157720</wp:posOffset>
                </wp:positionH>
                <wp:positionV relativeFrom="paragraph">
                  <wp:posOffset>4131945</wp:posOffset>
                </wp:positionV>
                <wp:extent cx="304800" cy="142875"/>
                <wp:effectExtent l="6350" t="6350" r="12700" b="22225"/>
                <wp:wrapNone/>
                <wp:docPr id="14" name="矩形 14"/>
                <wp:cNvGraphicFramePr/>
                <a:graphic xmlns:a="http://schemas.openxmlformats.org/drawingml/2006/main">
                  <a:graphicData uri="http://schemas.microsoft.com/office/word/2010/wordprocessingShape">
                    <wps:wsp>
                      <wps:cNvSpPr/>
                      <wps:spPr>
                        <a:xfrm>
                          <a:off x="7904480" y="5561330"/>
                          <a:ext cx="304800" cy="142875"/>
                        </a:xfrm>
                        <a:prstGeom prst="rect">
                          <a:avLst/>
                        </a:prstGeom>
                        <a:solidFill>
                          <a:srgbClr val="00FFFF"/>
                        </a:solidFill>
                        <a:ln>
                          <a:solidFill>
                            <a:srgbClr val="00FFFF"/>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3.6pt;margin-top:325.35pt;height:11.25pt;width:24pt;z-index:251693056;v-text-anchor:middle;mso-width-relative:page;mso-height-relative:page;" fillcolor="#00FFFF" filled="t" stroked="t" coordsize="21600,21600" o:gfxdata="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96Y6xtsAAAANAQAADwAAAAAAAAABACAAAAAiAAAA&#10;ZHJzL2Rvd25yZXYueG1sUEsBAhQAFAAAAAgAh07iQJN9y5p2AgAAAQUAAA4AAAAAAAAAAQAgAAAA&#10;KgEAAGRycy9lMm9Eb2MueG1sUEsFBgAAAAAGAAYAWQEAABIGAAAAAA==&#10;">
                <v:fill on="t" focussize="0,0"/>
                <v:stroke weight="1pt" color="#00FFFF [2404]" miterlimit="8" joinstyle="miter"/>
                <v:imagedata o:title=""/>
                <o:lock v:ext="edit" aspectratio="f"/>
              </v:rect>
            </w:pict>
          </mc:Fallback>
        </mc:AlternateContent>
      </w:r>
      <w:r>
        <w:rPr>
          <w:rFonts w:hint="default" w:ascii="Times New Roman" w:hAnsi="Times New Roman" w:cs="Times New Roman"/>
        </w:rPr>
        <w:drawing>
          <wp:inline distT="0" distB="0" distL="114300" distR="114300">
            <wp:extent cx="8501380" cy="5008245"/>
            <wp:effectExtent l="0" t="0" r="13970" b="1905"/>
            <wp:docPr id="97" name="图片 9"/>
            <wp:cNvGraphicFramePr/>
            <a:graphic xmlns:a="http://schemas.openxmlformats.org/drawingml/2006/main">
              <a:graphicData uri="http://schemas.openxmlformats.org/drawingml/2006/picture">
                <pic:pic xmlns:pic="http://schemas.openxmlformats.org/drawingml/2006/picture">
                  <pic:nvPicPr>
                    <pic:cNvPr id="97" name="图片 9"/>
                    <pic:cNvPicPr/>
                  </pic:nvPicPr>
                  <pic:blipFill>
                    <a:blip r:embed="rId32"/>
                    <a:stretch>
                      <a:fillRect/>
                    </a:stretch>
                  </pic:blipFill>
                  <pic:spPr>
                    <a:xfrm>
                      <a:off x="0" y="0"/>
                      <a:ext cx="8501380" cy="5008245"/>
                    </a:xfrm>
                    <a:prstGeom prst="rect">
                      <a:avLst/>
                    </a:prstGeom>
                    <a:noFill/>
                    <a:ln>
                      <a:noFill/>
                    </a:ln>
                  </pic:spPr>
                </pic:pic>
              </a:graphicData>
            </a:graphic>
          </wp:inline>
        </w:drawing>
      </w:r>
    </w:p>
    <w:p w14:paraId="5319AB1B">
      <w:pPr>
        <w:pStyle w:val="19"/>
        <w:spacing w:line="240" w:lineRule="auto"/>
        <w:ind w:right="113" w:rightChars="0" w:firstLine="0" w:firstLineChars="0"/>
        <w:jc w:val="center"/>
        <w:outlineLvl w:val="0"/>
        <w:rPr>
          <w:rFonts w:hint="default" w:ascii="Times New Roman" w:hAnsi="Times New Roman" w:eastAsia="黑体" w:cs="Times New Roman"/>
          <w:snapToGrid w:val="0"/>
          <w:color w:val="auto"/>
          <w:sz w:val="28"/>
          <w:szCs w:val="28"/>
          <w:highlight w:val="none"/>
          <w:lang w:val="en-US" w:eastAsia="zh-CN"/>
        </w:rPr>
        <w:sectPr>
          <w:footerReference r:id="rId8"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bookmarkStart w:id="61" w:name="_Toc13003"/>
      <w:bookmarkStart w:id="62" w:name="_Toc12304"/>
      <w:bookmarkStart w:id="63" w:name="_Toc23920"/>
      <w:bookmarkStart w:id="64" w:name="_Toc20694"/>
      <w:r>
        <w:rPr>
          <w:rFonts w:hint="eastAsia" w:ascii="宋体" w:hAnsi="宋体" w:eastAsia="宋体" w:cs="宋体"/>
          <w:snapToGrid w:val="0"/>
          <w:color w:val="auto"/>
          <w:sz w:val="28"/>
          <w:szCs w:val="28"/>
          <w:highlight w:val="none"/>
          <w:lang w:val="en-US" w:eastAsia="zh-CN"/>
        </w:rPr>
        <w:t>附图</w:t>
      </w:r>
      <w:r>
        <w:rPr>
          <w:rFonts w:hint="default" w:ascii="Times New Roman" w:hAnsi="Times New Roman" w:eastAsia="黑体" w:cs="Times New Roman"/>
          <w:snapToGrid w:val="0"/>
          <w:color w:val="auto"/>
          <w:sz w:val="28"/>
          <w:szCs w:val="28"/>
          <w:highlight w:val="none"/>
          <w:lang w:val="en-US" w:eastAsia="zh-CN"/>
        </w:rPr>
        <w:t>2</w:t>
      </w:r>
      <w:r>
        <w:rPr>
          <w:rFonts w:hint="eastAsia" w:ascii="宋体" w:hAnsi="宋体" w:eastAsia="宋体" w:cs="宋体"/>
          <w:snapToGrid w:val="0"/>
          <w:color w:val="auto"/>
          <w:sz w:val="28"/>
          <w:szCs w:val="28"/>
          <w:highlight w:val="none"/>
          <w:lang w:val="en-US" w:eastAsia="zh-CN"/>
        </w:rPr>
        <w:t>项目总平面布置图</w:t>
      </w:r>
      <w:bookmarkEnd w:id="61"/>
      <w:bookmarkEnd w:id="62"/>
      <w:bookmarkEnd w:id="63"/>
      <w:bookmarkEnd w:id="64"/>
    </w:p>
    <w:p w14:paraId="2A22BB03">
      <w:pPr>
        <w:jc w:val="both"/>
        <w:rPr>
          <w:rFonts w:hint="default" w:ascii="Times New Roman" w:hAnsi="Times New Roman" w:cs="Times New Roman"/>
          <w:color w:val="auto"/>
        </w:rPr>
      </w:pP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7415530</wp:posOffset>
                </wp:positionH>
                <wp:positionV relativeFrom="paragraph">
                  <wp:posOffset>4379595</wp:posOffset>
                </wp:positionV>
                <wp:extent cx="993140" cy="295275"/>
                <wp:effectExtent l="0" t="0" r="0" b="0"/>
                <wp:wrapNone/>
                <wp:docPr id="94" name="Text Box 99"/>
                <wp:cNvGraphicFramePr/>
                <a:graphic xmlns:a="http://schemas.openxmlformats.org/drawingml/2006/main">
                  <a:graphicData uri="http://schemas.microsoft.com/office/word/2010/wordprocessingShape">
                    <wps:wsp>
                      <wps:cNvSpPr txBox="1">
                        <a:spLocks noChangeArrowheads="1"/>
                      </wps:cNvSpPr>
                      <wps:spPr bwMode="auto">
                        <a:xfrm>
                          <a:off x="0" y="0"/>
                          <a:ext cx="993140" cy="295275"/>
                        </a:xfrm>
                        <a:prstGeom prst="rect">
                          <a:avLst/>
                        </a:prstGeom>
                        <a:noFill/>
                        <a:ln>
                          <a:noFill/>
                        </a:ln>
                      </wps:spPr>
                      <wps:txbx>
                        <w:txbxContent>
                          <w:p w14:paraId="368FB568">
                            <w:pPr>
                              <w:rPr>
                                <w:rFonts w:hint="default" w:eastAsia="宋体"/>
                                <w:b w:val="0"/>
                                <w:bCs w:val="0"/>
                                <w:sz w:val="24"/>
                                <w:szCs w:val="24"/>
                                <w:lang w:val="en-US" w:eastAsia="zh-CN"/>
                              </w:rPr>
                            </w:pPr>
                            <w:r>
                              <w:rPr>
                                <w:rFonts w:hint="eastAsia"/>
                                <w:b w:val="0"/>
                                <w:bCs w:val="0"/>
                                <w:sz w:val="24"/>
                                <w:szCs w:val="24"/>
                                <w:lang w:val="en-US" w:eastAsia="zh-CN"/>
                              </w:rPr>
                              <w:t>一般防渗区</w:t>
                            </w:r>
                          </w:p>
                        </w:txbxContent>
                      </wps:txbx>
                      <wps:bodyPr rot="0" vert="horz" wrap="square" lIns="91440" tIns="45720" rIns="91440" bIns="45720" anchor="t" anchorCtr="0" upright="1">
                        <a:noAutofit/>
                      </wps:bodyPr>
                    </wps:wsp>
                  </a:graphicData>
                </a:graphic>
              </wp:anchor>
            </w:drawing>
          </mc:Choice>
          <mc:Fallback>
            <w:pict>
              <v:shape id="Text Box 99" o:spid="_x0000_s1026" o:spt="202" type="#_x0000_t202" style="position:absolute;left:0pt;margin-left:583.9pt;margin-top:344.85pt;height:23.25pt;width:78.2pt;z-index:251684864;mso-width-relative:page;mso-height-relative:page;" filled="f" stroked="f" coordsize="21600,21600" o:gfxdata="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U9VeL2gAAAA0BAAAPAAAAAAAAAAEAIAAAACIA&#10;AABkcnMvZG93bnJldi54bWxQSwECFAAUAAAACACHTuJAD/jw7wcCAAAVBAAADgAAAAAAAAABACAA&#10;AAApAQAAZHJzL2Uyb0RvYy54bWxQSwUGAAAAAAYABgBZAQAAogUAAAAA&#10;">
                <v:fill on="f" focussize="0,0"/>
                <v:stroke on="f"/>
                <v:imagedata o:title=""/>
                <o:lock v:ext="edit" aspectratio="f"/>
                <v:textbox>
                  <w:txbxContent>
                    <w:p w14:paraId="368FB568">
                      <w:pPr>
                        <w:rPr>
                          <w:rFonts w:hint="default" w:eastAsia="宋体"/>
                          <w:b w:val="0"/>
                          <w:bCs w:val="0"/>
                          <w:sz w:val="24"/>
                          <w:szCs w:val="24"/>
                          <w:lang w:val="en-US" w:eastAsia="zh-CN"/>
                        </w:rPr>
                      </w:pPr>
                      <w:r>
                        <w:rPr>
                          <w:rFonts w:hint="eastAsia"/>
                          <w:b w:val="0"/>
                          <w:bCs w:val="0"/>
                          <w:sz w:val="24"/>
                          <w:szCs w:val="24"/>
                          <w:lang w:val="en-US" w:eastAsia="zh-CN"/>
                        </w:rPr>
                        <w:t>一般防渗区</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2816" behindDoc="0" locked="0" layoutInCell="1" allowOverlap="1">
                <wp:simplePos x="0" y="0"/>
                <wp:positionH relativeFrom="column">
                  <wp:posOffset>7397115</wp:posOffset>
                </wp:positionH>
                <wp:positionV relativeFrom="paragraph">
                  <wp:posOffset>4164965</wp:posOffset>
                </wp:positionV>
                <wp:extent cx="1002030" cy="257175"/>
                <wp:effectExtent l="0" t="0" r="0" b="0"/>
                <wp:wrapNone/>
                <wp:docPr id="77" name="Text Box 99"/>
                <wp:cNvGraphicFramePr/>
                <a:graphic xmlns:a="http://schemas.openxmlformats.org/drawingml/2006/main">
                  <a:graphicData uri="http://schemas.microsoft.com/office/word/2010/wordprocessingShape">
                    <wps:wsp>
                      <wps:cNvSpPr txBox="1">
                        <a:spLocks noChangeArrowheads="1"/>
                      </wps:cNvSpPr>
                      <wps:spPr bwMode="auto">
                        <a:xfrm>
                          <a:off x="0" y="0"/>
                          <a:ext cx="1002030" cy="257175"/>
                        </a:xfrm>
                        <a:prstGeom prst="rect">
                          <a:avLst/>
                        </a:prstGeom>
                        <a:noFill/>
                        <a:ln>
                          <a:noFill/>
                        </a:ln>
                      </wps:spPr>
                      <wps:txbx>
                        <w:txbxContent>
                          <w:p w14:paraId="609FD77B">
                            <w:pPr>
                              <w:rPr>
                                <w:rFonts w:hint="default" w:eastAsia="宋体"/>
                                <w:b w:val="0"/>
                                <w:bCs w:val="0"/>
                                <w:sz w:val="24"/>
                                <w:szCs w:val="24"/>
                                <w:lang w:val="en-US" w:eastAsia="zh-CN"/>
                              </w:rPr>
                            </w:pPr>
                            <w:r>
                              <w:rPr>
                                <w:rFonts w:hint="eastAsia"/>
                                <w:b w:val="0"/>
                                <w:bCs w:val="0"/>
                                <w:sz w:val="24"/>
                                <w:szCs w:val="24"/>
                                <w:lang w:val="en-US" w:eastAsia="zh-CN"/>
                              </w:rPr>
                              <w:t>简单防渗区</w:t>
                            </w:r>
                          </w:p>
                        </w:txbxContent>
                      </wps:txbx>
                      <wps:bodyPr rot="0" vert="horz" wrap="square" lIns="91440" tIns="45720" rIns="91440" bIns="45720" anchor="t" anchorCtr="0" upright="1">
                        <a:noAutofit/>
                      </wps:bodyPr>
                    </wps:wsp>
                  </a:graphicData>
                </a:graphic>
              </wp:anchor>
            </w:drawing>
          </mc:Choice>
          <mc:Fallback>
            <w:pict>
              <v:shape id="Text Box 99" o:spid="_x0000_s1026" o:spt="202" type="#_x0000_t202" style="position:absolute;left:0pt;margin-left:582.45pt;margin-top:327.95pt;height:20.25pt;width:78.9pt;z-index:251682816;mso-width-relative:page;mso-height-relative:page;" filled="f" stroked="f" coordsize="21600,21600" o:gfxdata="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soLSo2QAAAA0BAAAPAAAAAAAAAAEAIAAAACIA&#10;AABkcnMvZG93bnJldi54bWxQSwECFAAUAAAACACHTuJACTF/wAgCAAAWBAAADgAAAAAAAAABACAA&#10;AAAoAQAAZHJzL2Uyb0RvYy54bWxQSwUGAAAAAAYABgBZAQAAogUAAAAA&#10;">
                <v:fill on="f" focussize="0,0"/>
                <v:stroke on="f"/>
                <v:imagedata o:title=""/>
                <o:lock v:ext="edit" aspectratio="f"/>
                <v:textbox>
                  <w:txbxContent>
                    <w:p w14:paraId="609FD77B">
                      <w:pPr>
                        <w:rPr>
                          <w:rFonts w:hint="default" w:eastAsia="宋体"/>
                          <w:b w:val="0"/>
                          <w:bCs w:val="0"/>
                          <w:sz w:val="24"/>
                          <w:szCs w:val="24"/>
                          <w:lang w:val="en-US" w:eastAsia="zh-CN"/>
                        </w:rPr>
                      </w:pPr>
                      <w:r>
                        <w:rPr>
                          <w:rFonts w:hint="eastAsia"/>
                          <w:b w:val="0"/>
                          <w:bCs w:val="0"/>
                          <w:sz w:val="24"/>
                          <w:szCs w:val="24"/>
                          <w:lang w:val="en-US" w:eastAsia="zh-CN"/>
                        </w:rPr>
                        <w:t>简单防渗区</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3840" behindDoc="0" locked="0" layoutInCell="1" allowOverlap="1">
                <wp:simplePos x="0" y="0"/>
                <wp:positionH relativeFrom="column">
                  <wp:posOffset>7387590</wp:posOffset>
                </wp:positionH>
                <wp:positionV relativeFrom="paragraph">
                  <wp:posOffset>3922395</wp:posOffset>
                </wp:positionV>
                <wp:extent cx="1021080" cy="266700"/>
                <wp:effectExtent l="0" t="0" r="0" b="0"/>
                <wp:wrapNone/>
                <wp:docPr id="87" name="Text Box 99"/>
                <wp:cNvGraphicFramePr/>
                <a:graphic xmlns:a="http://schemas.openxmlformats.org/drawingml/2006/main">
                  <a:graphicData uri="http://schemas.microsoft.com/office/word/2010/wordprocessingShape">
                    <wps:wsp>
                      <wps:cNvSpPr txBox="1">
                        <a:spLocks noChangeArrowheads="1"/>
                      </wps:cNvSpPr>
                      <wps:spPr bwMode="auto">
                        <a:xfrm>
                          <a:off x="0" y="0"/>
                          <a:ext cx="1021080" cy="266700"/>
                        </a:xfrm>
                        <a:prstGeom prst="rect">
                          <a:avLst/>
                        </a:prstGeom>
                        <a:noFill/>
                        <a:ln>
                          <a:noFill/>
                        </a:ln>
                      </wps:spPr>
                      <wps:txbx>
                        <w:txbxContent>
                          <w:p w14:paraId="25AE1F31">
                            <w:pPr>
                              <w:rPr>
                                <w:rFonts w:hint="default" w:eastAsia="宋体"/>
                                <w:b w:val="0"/>
                                <w:bCs w:val="0"/>
                                <w:sz w:val="24"/>
                                <w:szCs w:val="24"/>
                                <w:lang w:val="en-US" w:eastAsia="zh-CN"/>
                              </w:rPr>
                            </w:pPr>
                            <w:r>
                              <w:rPr>
                                <w:rFonts w:hint="eastAsia"/>
                                <w:b w:val="0"/>
                                <w:bCs w:val="0"/>
                                <w:sz w:val="24"/>
                                <w:szCs w:val="24"/>
                                <w:lang w:val="en-US" w:eastAsia="zh-CN"/>
                              </w:rPr>
                              <w:t>重点防渗区</w:t>
                            </w:r>
                          </w:p>
                        </w:txbxContent>
                      </wps:txbx>
                      <wps:bodyPr rot="0" vert="horz" wrap="square" lIns="91440" tIns="45720" rIns="91440" bIns="45720" anchor="t" anchorCtr="0" upright="1">
                        <a:noAutofit/>
                      </wps:bodyPr>
                    </wps:wsp>
                  </a:graphicData>
                </a:graphic>
              </wp:anchor>
            </w:drawing>
          </mc:Choice>
          <mc:Fallback>
            <w:pict>
              <v:shape id="Text Box 99" o:spid="_x0000_s1026" o:spt="202" type="#_x0000_t202" style="position:absolute;left:0pt;margin-left:581.7pt;margin-top:308.85pt;height:21pt;width:80.4pt;z-index:251683840;mso-width-relative:page;mso-height-relative:page;" filled="f" stroked="f" coordsize="21600,21600" o:gfxdata="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gt2E7doAAAANAQAADwAAAAAAAAABACAAAAAi&#10;AAAAZHJzL2Rvd25yZXYueG1sUEsBAhQAFAAAAAgAh07iQHi2t6wIAgAAFgQAAA4AAAAAAAAAAQAg&#10;AAAAKQEAAGRycy9lMm9Eb2MueG1sUEsFBgAAAAAGAAYAWQEAAKMFAAAAAA==&#10;">
                <v:fill on="f" focussize="0,0"/>
                <v:stroke on="f"/>
                <v:imagedata o:title=""/>
                <o:lock v:ext="edit" aspectratio="f"/>
                <v:textbox>
                  <w:txbxContent>
                    <w:p w14:paraId="25AE1F31">
                      <w:pPr>
                        <w:rPr>
                          <w:rFonts w:hint="default" w:eastAsia="宋体"/>
                          <w:b w:val="0"/>
                          <w:bCs w:val="0"/>
                          <w:sz w:val="24"/>
                          <w:szCs w:val="24"/>
                          <w:lang w:val="en-US" w:eastAsia="zh-CN"/>
                        </w:rPr>
                      </w:pPr>
                      <w:r>
                        <w:rPr>
                          <w:rFonts w:hint="eastAsia"/>
                          <w:b w:val="0"/>
                          <w:bCs w:val="0"/>
                          <w:sz w:val="24"/>
                          <w:szCs w:val="24"/>
                          <w:lang w:val="en-US" w:eastAsia="zh-CN"/>
                        </w:rPr>
                        <w:t>重点防渗区</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81792" behindDoc="0" locked="0" layoutInCell="1" allowOverlap="1">
                <wp:simplePos x="0" y="0"/>
                <wp:positionH relativeFrom="column">
                  <wp:posOffset>7113270</wp:posOffset>
                </wp:positionH>
                <wp:positionV relativeFrom="paragraph">
                  <wp:posOffset>4434205</wp:posOffset>
                </wp:positionV>
                <wp:extent cx="213360" cy="139065"/>
                <wp:effectExtent l="6350" t="6350" r="8890" b="6985"/>
                <wp:wrapNone/>
                <wp:docPr id="80" name="矩形 80"/>
                <wp:cNvGraphicFramePr/>
                <a:graphic xmlns:a="http://schemas.openxmlformats.org/drawingml/2006/main">
                  <a:graphicData uri="http://schemas.microsoft.com/office/word/2010/wordprocessingShape">
                    <wps:wsp>
                      <wps:cNvSpPr/>
                      <wps:spPr>
                        <a:xfrm>
                          <a:off x="0" y="0"/>
                          <a:ext cx="213360" cy="139065"/>
                        </a:xfrm>
                        <a:prstGeom prst="rect">
                          <a:avLst/>
                        </a:prstGeom>
                        <a:solidFill>
                          <a:srgbClr val="07D207"/>
                        </a:solidFill>
                        <a:ln>
                          <a:solidFill>
                            <a:srgbClr val="0CD80C"/>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0.1pt;margin-top:349.15pt;height:10.95pt;width:16.8pt;z-index:251681792;v-text-anchor:middle;mso-width-relative:page;mso-height-relative:page;" fillcolor="#07D207" filled="t" stroked="t" coordsize="21600,21600" o:gfxdata="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kYgwq2QAAAA0BAAAPAAAAAAAAAAEAIAAAACIAAABkcnMvZG93&#10;bnJldi54bWxQSwECFAAUAAAACACHTuJA+SVoRXECAAD1BAAADgAAAAAAAAABACAAAAAoAQAAZHJz&#10;L2Uyb0RvYy54bWxQSwUGAAAAAAYABgBZAQAACwYAAAAA&#10;">
                <v:fill on="t" focussize="0,0"/>
                <v:stroke weight="1pt" color="#0CD80C [2404]" miterlimit="8" joinstyle="miter"/>
                <v:imagedata o:title=""/>
                <o:lock v:ext="edit" aspectratio="f"/>
              </v:rect>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80768" behindDoc="0" locked="0" layoutInCell="1" allowOverlap="1">
                <wp:simplePos x="0" y="0"/>
                <wp:positionH relativeFrom="column">
                  <wp:posOffset>7113270</wp:posOffset>
                </wp:positionH>
                <wp:positionV relativeFrom="paragraph">
                  <wp:posOffset>4224655</wp:posOffset>
                </wp:positionV>
                <wp:extent cx="213360" cy="139065"/>
                <wp:effectExtent l="6350" t="6350" r="8890" b="6985"/>
                <wp:wrapNone/>
                <wp:docPr id="82" name="矩形 82"/>
                <wp:cNvGraphicFramePr/>
                <a:graphic xmlns:a="http://schemas.openxmlformats.org/drawingml/2006/main">
                  <a:graphicData uri="http://schemas.microsoft.com/office/word/2010/wordprocessingShape">
                    <wps:wsp>
                      <wps:cNvSpPr/>
                      <wps:spPr>
                        <a:xfrm>
                          <a:off x="0" y="0"/>
                          <a:ext cx="213360" cy="139065"/>
                        </a:xfrm>
                        <a:prstGeom prst="rect">
                          <a:avLst/>
                        </a:prstGeom>
                        <a:solidFill>
                          <a:srgbClr val="14E0E3"/>
                        </a:solidFill>
                        <a:ln>
                          <a:solidFill>
                            <a:srgbClr val="13DEE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0.1pt;margin-top:332.65pt;height:10.95pt;width:16.8pt;z-index:251680768;v-text-anchor:middle;mso-width-relative:page;mso-height-relative:page;" fillcolor="#14E0E3" filled="t" stroked="t" coordsize="21600,21600" o:gfxdata="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OHIQS/YAAAADQEAAA8AAAAAAAAAAQAgAAAAIgAAAGRycy9k&#10;b3ducmV2LnhtbFBLAQIUABQAAAAIAIdO4kBV5KpxdAIAAPUEAAAOAAAAAAAAAAEAIAAAACcBAABk&#10;cnMvZTJvRG9jLnhtbFBLBQYAAAAABgAGAFkBAAANBgAAAAA=&#10;">
                <v:fill on="t" focussize="0,0"/>
                <v:stroke weight="1pt" color="#13DEE1 [2404]" miterlimit="8" joinstyle="miter"/>
                <v:imagedata o:title=""/>
                <o:lock v:ext="edit" aspectratio="f"/>
              </v:rect>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79744" behindDoc="0" locked="0" layoutInCell="1" allowOverlap="1">
                <wp:simplePos x="0" y="0"/>
                <wp:positionH relativeFrom="column">
                  <wp:posOffset>7103745</wp:posOffset>
                </wp:positionH>
                <wp:positionV relativeFrom="paragraph">
                  <wp:posOffset>3983355</wp:posOffset>
                </wp:positionV>
                <wp:extent cx="213360" cy="139065"/>
                <wp:effectExtent l="6350" t="6350" r="8890" b="6985"/>
                <wp:wrapNone/>
                <wp:docPr id="73" name="矩形 73"/>
                <wp:cNvGraphicFramePr/>
                <a:graphic xmlns:a="http://schemas.openxmlformats.org/drawingml/2006/main">
                  <a:graphicData uri="http://schemas.microsoft.com/office/word/2010/wordprocessingShape">
                    <wps:wsp>
                      <wps:cNvSpPr/>
                      <wps:spPr>
                        <a:xfrm>
                          <a:off x="0" y="0"/>
                          <a:ext cx="213360" cy="139065"/>
                        </a:xfrm>
                        <a:prstGeom prst="rect">
                          <a:avLst/>
                        </a:prstGeom>
                        <a:solidFill>
                          <a:srgbClr val="D91114"/>
                        </a:solidFill>
                        <a:ln>
                          <a:solidFill>
                            <a:srgbClr val="D70F13"/>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9.35pt;margin-top:313.65pt;height:10.95pt;width:16.8pt;z-index:251679744;v-text-anchor:middle;mso-width-relative:page;mso-height-relative:page;" fillcolor="#D91114" filled="t" stroked="t" coordsize="21600,21600" o:gfxdata="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FV9LN9gAAAANAQAADwAAAAAAAAABACAAAAAiAAAAZHJz&#10;L2Rvd25yZXYueG1sUEsBAhQAFAAAAAgAh07iQBDf6qh2AgAA9QQAAA4AAAAAAAAAAQAgAAAAJwEA&#10;AGRycy9lMm9Eb2MueG1sUEsFBgAAAAAGAAYAWQEAAA8GAAAAAA==&#10;">
                <v:fill on="t" focussize="0,0"/>
                <v:stroke weight="1pt" color="#D70F13 [2404]" miterlimit="8" joinstyle="miter"/>
                <v:imagedata o:title=""/>
                <o:lock v:ext="edit" aspectratio="f"/>
              </v:rect>
            </w:pict>
          </mc:Fallback>
        </mc:AlternateContent>
      </w:r>
      <w:r>
        <w:rPr>
          <w:rFonts w:hint="default" w:ascii="Times New Roman" w:hAnsi="Times New Roman" w:cs="Times New Roman"/>
          <w:b/>
          <w:color w:val="auto"/>
          <w:kern w:val="2"/>
          <w:sz w:val="24"/>
          <w:szCs w:val="24"/>
          <w:highlight w:val="none"/>
        </w:rPr>
        <mc:AlternateContent>
          <mc:Choice Requires="wpg">
            <w:drawing>
              <wp:anchor distT="0" distB="0" distL="114300" distR="114300" simplePos="0" relativeHeight="251678720" behindDoc="0" locked="0" layoutInCell="1" allowOverlap="1">
                <wp:simplePos x="0" y="0"/>
                <wp:positionH relativeFrom="column">
                  <wp:posOffset>6927850</wp:posOffset>
                </wp:positionH>
                <wp:positionV relativeFrom="paragraph">
                  <wp:posOffset>3568065</wp:posOffset>
                </wp:positionV>
                <wp:extent cx="1516380" cy="1561465"/>
                <wp:effectExtent l="4445" t="4445" r="22225" b="15240"/>
                <wp:wrapNone/>
                <wp:docPr id="75" name="Group 104"/>
                <wp:cNvGraphicFramePr/>
                <a:graphic xmlns:a="http://schemas.openxmlformats.org/drawingml/2006/main">
                  <a:graphicData uri="http://schemas.microsoft.com/office/word/2010/wordprocessingGroup">
                    <wpg:wgp>
                      <wpg:cNvGrpSpPr/>
                      <wpg:grpSpPr>
                        <a:xfrm>
                          <a:off x="0" y="0"/>
                          <a:ext cx="1516380" cy="1561465"/>
                          <a:chOff x="11475" y="8370"/>
                          <a:chExt cx="2895" cy="1425"/>
                        </a:xfrm>
                      </wpg:grpSpPr>
                      <wps:wsp>
                        <wps:cNvPr id="78" name="Rectangle 98"/>
                        <wps:cNvSpPr>
                          <a:spLocks noChangeArrowheads="1"/>
                        </wps:cNvSpPr>
                        <wps:spPr bwMode="auto">
                          <a:xfrm>
                            <a:off x="11475" y="8370"/>
                            <a:ext cx="2895" cy="1425"/>
                          </a:xfrm>
                          <a:prstGeom prst="rect">
                            <a:avLst/>
                          </a:prstGeom>
                          <a:solidFill>
                            <a:srgbClr val="FFFFFF"/>
                          </a:solidFill>
                          <a:ln w="9525">
                            <a:solidFill>
                              <a:srgbClr val="000000"/>
                            </a:solidFill>
                            <a:miter lim="800000"/>
                          </a:ln>
                        </wps:spPr>
                        <wps:txbx>
                          <w:txbxContent>
                            <w:p w14:paraId="1B8E0048">
                              <w:pPr>
                                <w:jc w:val="center"/>
                              </w:pPr>
                            </w:p>
                            <w:p w14:paraId="275C893A">
                              <w:pPr>
                                <w:pStyle w:val="2"/>
                              </w:pPr>
                            </w:p>
                            <w:p w14:paraId="2BD2643E">
                              <w:pPr>
                                <w:pStyle w:val="3"/>
                              </w:pPr>
                            </w:p>
                            <w:p w14:paraId="6B5A012E">
                              <w:pPr>
                                <w:pStyle w:val="4"/>
                              </w:pPr>
                            </w:p>
                            <w:p w14:paraId="2890B4F5"/>
                            <w:p w14:paraId="2B192300">
                              <w:pPr>
                                <w:pStyle w:val="2"/>
                              </w:pPr>
                            </w:p>
                            <w:p w14:paraId="00C012B5">
                              <w:pPr>
                                <w:pStyle w:val="3"/>
                                <w:rPr>
                                  <w:rFonts w:hint="default" w:eastAsia="宋体"/>
                                  <w:lang w:val="en-US" w:eastAsia="zh-CN"/>
                                </w:rPr>
                              </w:pPr>
                              <w:r>
                                <w:rPr>
                                  <w:rFonts w:hint="eastAsia"/>
                                  <w:lang w:val="en-US" w:eastAsia="zh-CN"/>
                                </w:rPr>
                                <w:t>比例尺</w:t>
                              </w:r>
                              <w:r>
                                <w:rPr>
                                  <w:rFonts w:hint="default" w:ascii="Times New Roman" w:hAnsi="Times New Roman" w:cs="Times New Roman"/>
                                  <w:lang w:val="en-US" w:eastAsia="zh-CN"/>
                                </w:rPr>
                                <w:t>：1：2256</w:t>
                              </w:r>
                            </w:p>
                          </w:txbxContent>
                        </wps:txbx>
                        <wps:bodyPr rot="0" vert="horz" wrap="square" lIns="91440" tIns="45720" rIns="91440" bIns="45720" anchor="t" anchorCtr="0" upright="1">
                          <a:noAutofit/>
                        </wps:bodyPr>
                      </wps:wsp>
                      <wps:wsp>
                        <wps:cNvPr id="79" name="Text Box 99"/>
                        <wps:cNvSpPr txBox="1">
                          <a:spLocks noChangeArrowheads="1"/>
                        </wps:cNvSpPr>
                        <wps:spPr bwMode="auto">
                          <a:xfrm>
                            <a:off x="12360" y="8458"/>
                            <a:ext cx="1284" cy="276"/>
                          </a:xfrm>
                          <a:prstGeom prst="rect">
                            <a:avLst/>
                          </a:prstGeom>
                          <a:noFill/>
                          <a:ln>
                            <a:noFill/>
                          </a:ln>
                        </wps:spPr>
                        <wps:txbx>
                          <w:txbxContent>
                            <w:p w14:paraId="73B44D4C">
                              <w:pPr>
                                <w:rPr>
                                  <w:b/>
                                  <w:bCs/>
                                  <w:sz w:val="28"/>
                                  <w:szCs w:val="28"/>
                                </w:rPr>
                              </w:pPr>
                              <w:r>
                                <w:rPr>
                                  <w:rFonts w:hint="eastAsia"/>
                                  <w:b/>
                                  <w:bCs/>
                                  <w:sz w:val="28"/>
                                  <w:szCs w:val="28"/>
                                </w:rPr>
                                <w:t>图例</w:t>
                              </w:r>
                            </w:p>
                          </w:txbxContent>
                        </wps:txbx>
                        <wps:bodyPr rot="0" vert="horz" wrap="square" lIns="91440" tIns="45720" rIns="91440" bIns="45720" anchor="t" anchorCtr="0" upright="1">
                          <a:noAutofit/>
                        </wps:bodyPr>
                      </wps:wsp>
                    </wpg:wgp>
                  </a:graphicData>
                </a:graphic>
              </wp:anchor>
            </w:drawing>
          </mc:Choice>
          <mc:Fallback>
            <w:pict>
              <v:group id="Group 104" o:spid="_x0000_s1026" o:spt="203" style="position:absolute;left:0pt;margin-left:545.5pt;margin-top:280.95pt;height:122.95pt;width:119.4pt;z-index:251678720;mso-width-relative:page;mso-height-relative:page;" coordorigin="11475,8370" coordsize="2895,1425" o:gfxdata="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">
                <o:lock v:ext="edit" aspectratio="f"/>
                <v:rect id="Rectangle 98" o:spid="_x0000_s1026" o:spt="1" style="position:absolute;left:11475;top:8370;height:1425;width:2895;" fillcolor="#FFFFFF" filled="t" stroked="t" coordsize="21600,21600" o:gfxdata="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mNfc3ugAAANsA&#10;AAAPAAAAAAAAAAEAIAAAACIAAABkcnMvZG93bnJldi54bWxQSwECFAAUAAAACACHTuJAMy8FnjsA&#10;AAA5AAAAEAAAAAAAAAABACAAAAAJAQAAZHJzL3NoYXBleG1sLnhtbFBLBQYAAAAABgAGAFsBAACz&#10;AwAAAAA=&#10;">
                  <v:fill on="t" focussize="0,0"/>
                  <v:stroke color="#000000" miterlimit="8" joinstyle="miter"/>
                  <v:imagedata o:title=""/>
                  <o:lock v:ext="edit" aspectratio="f"/>
                  <v:textbox>
                    <w:txbxContent>
                      <w:p w14:paraId="1B8E0048">
                        <w:pPr>
                          <w:jc w:val="center"/>
                        </w:pPr>
                      </w:p>
                      <w:p w14:paraId="275C893A">
                        <w:pPr>
                          <w:pStyle w:val="2"/>
                        </w:pPr>
                      </w:p>
                      <w:p w14:paraId="2BD2643E">
                        <w:pPr>
                          <w:pStyle w:val="3"/>
                        </w:pPr>
                      </w:p>
                      <w:p w14:paraId="6B5A012E">
                        <w:pPr>
                          <w:pStyle w:val="4"/>
                        </w:pPr>
                      </w:p>
                      <w:p w14:paraId="2890B4F5"/>
                      <w:p w14:paraId="2B192300">
                        <w:pPr>
                          <w:pStyle w:val="2"/>
                        </w:pPr>
                      </w:p>
                      <w:p w14:paraId="00C012B5">
                        <w:pPr>
                          <w:pStyle w:val="3"/>
                          <w:rPr>
                            <w:rFonts w:hint="default" w:eastAsia="宋体"/>
                            <w:lang w:val="en-US" w:eastAsia="zh-CN"/>
                          </w:rPr>
                        </w:pPr>
                        <w:r>
                          <w:rPr>
                            <w:rFonts w:hint="eastAsia"/>
                            <w:lang w:val="en-US" w:eastAsia="zh-CN"/>
                          </w:rPr>
                          <w:t>比例尺</w:t>
                        </w:r>
                        <w:r>
                          <w:rPr>
                            <w:rFonts w:hint="default" w:ascii="Times New Roman" w:hAnsi="Times New Roman" w:cs="Times New Roman"/>
                            <w:lang w:val="en-US" w:eastAsia="zh-CN"/>
                          </w:rPr>
                          <w:t>：1：2256</w:t>
                        </w:r>
                      </w:p>
                    </w:txbxContent>
                  </v:textbox>
                </v:rect>
                <v:shape id="Text Box 99" o:spid="_x0000_s1026" o:spt="202" type="#_x0000_t202" style="position:absolute;left:12360;top:8458;height:276;width:1284;" filled="f" stroked="f" coordsize="21600,21600" o:gfxdata="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VsrL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73B44D4C">
                        <w:pPr>
                          <w:rPr>
                            <w:b/>
                            <w:bCs/>
                            <w:sz w:val="28"/>
                            <w:szCs w:val="28"/>
                          </w:rPr>
                        </w:pPr>
                        <w:r>
                          <w:rPr>
                            <w:rFonts w:hint="eastAsia"/>
                            <w:b/>
                            <w:bCs/>
                            <w:sz w:val="28"/>
                            <w:szCs w:val="28"/>
                          </w:rPr>
                          <w:t>图例</w:t>
                        </w:r>
                      </w:p>
                    </w:txbxContent>
                  </v:textbox>
                </v:shape>
              </v:group>
            </w:pict>
          </mc:Fallback>
        </mc:AlternateContent>
      </w:r>
      <w:r>
        <w:rPr>
          <w:rFonts w:hint="default" w:ascii="Times New Roman" w:hAnsi="Times New Roman" w:cs="Times New Roman"/>
          <w:color w:val="auto"/>
          <w:highlight w:val="none"/>
        </w:rPr>
        <w:drawing>
          <wp:anchor distT="0" distB="0" distL="114300" distR="114300" simplePos="0" relativeHeight="251685888" behindDoc="0" locked="0" layoutInCell="1" allowOverlap="1">
            <wp:simplePos x="0" y="0"/>
            <wp:positionH relativeFrom="column">
              <wp:posOffset>7730490</wp:posOffset>
            </wp:positionH>
            <wp:positionV relativeFrom="paragraph">
              <wp:posOffset>-5715</wp:posOffset>
            </wp:positionV>
            <wp:extent cx="718820" cy="709295"/>
            <wp:effectExtent l="0" t="0" r="5080" b="14605"/>
            <wp:wrapNone/>
            <wp:docPr id="9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6"/>
                    <pic:cNvPicPr>
                      <a:picLocks noChangeAspect="1"/>
                    </pic:cNvPicPr>
                  </pic:nvPicPr>
                  <pic:blipFill>
                    <a:blip r:embed="rId29"/>
                    <a:stretch>
                      <a:fillRect/>
                    </a:stretch>
                  </pic:blipFill>
                  <pic:spPr>
                    <a:xfrm>
                      <a:off x="0" y="0"/>
                      <a:ext cx="718820" cy="709295"/>
                    </a:xfrm>
                    <a:prstGeom prst="rect">
                      <a:avLst/>
                    </a:prstGeom>
                    <a:noFill/>
                    <a:ln>
                      <a:noFill/>
                    </a:ln>
                  </pic:spPr>
                </pic:pic>
              </a:graphicData>
            </a:graphic>
          </wp:anchor>
        </w:drawing>
      </w:r>
      <w:r>
        <w:rPr>
          <w:rFonts w:hint="default" w:ascii="Times New Roman" w:hAnsi="Times New Roman" w:cs="Times New Roman"/>
        </w:rPr>
        <w:drawing>
          <wp:inline distT="0" distB="0" distL="114300" distR="114300">
            <wp:extent cx="8441055" cy="5142865"/>
            <wp:effectExtent l="0" t="0" r="17145" b="635"/>
            <wp:docPr id="50" name="图片 7"/>
            <wp:cNvGraphicFramePr/>
            <a:graphic xmlns:a="http://schemas.openxmlformats.org/drawingml/2006/main">
              <a:graphicData uri="http://schemas.openxmlformats.org/drawingml/2006/picture">
                <pic:pic xmlns:pic="http://schemas.openxmlformats.org/drawingml/2006/picture">
                  <pic:nvPicPr>
                    <pic:cNvPr id="50" name="图片 7"/>
                    <pic:cNvPicPr/>
                  </pic:nvPicPr>
                  <pic:blipFill>
                    <a:blip r:embed="rId33"/>
                    <a:stretch>
                      <a:fillRect/>
                    </a:stretch>
                  </pic:blipFill>
                  <pic:spPr>
                    <a:xfrm>
                      <a:off x="0" y="0"/>
                      <a:ext cx="8441055" cy="5142865"/>
                    </a:xfrm>
                    <a:prstGeom prst="rect">
                      <a:avLst/>
                    </a:prstGeom>
                    <a:noFill/>
                    <a:ln>
                      <a:noFill/>
                    </a:ln>
                  </pic:spPr>
                </pic:pic>
              </a:graphicData>
            </a:graphic>
          </wp:inline>
        </w:drawing>
      </w:r>
    </w:p>
    <w:p w14:paraId="3AE9C2E1">
      <w:pPr>
        <w:jc w:val="center"/>
        <w:outlineLvl w:val="0"/>
        <w:rPr>
          <w:rFonts w:hint="eastAsia" w:ascii="宋体" w:hAnsi="宋体" w:eastAsia="宋体" w:cs="宋体"/>
          <w:color w:val="auto"/>
          <w:highlight w:val="none"/>
          <w:lang w:val="en-US" w:eastAsia="zh-CN"/>
        </w:rPr>
      </w:pPr>
      <w:bookmarkStart w:id="65" w:name="_Toc2306"/>
      <w:bookmarkStart w:id="66" w:name="_Toc1863"/>
      <w:bookmarkStart w:id="67" w:name="_Toc14678"/>
      <w:r>
        <w:rPr>
          <w:rFonts w:hint="eastAsia" w:ascii="宋体" w:hAnsi="宋体" w:eastAsia="宋体" w:cs="宋体"/>
          <w:snapToGrid w:val="0"/>
          <w:color w:val="auto"/>
          <w:kern w:val="0"/>
          <w:sz w:val="28"/>
          <w:szCs w:val="28"/>
          <w:highlight w:val="none"/>
          <w:lang w:val="en-US" w:eastAsia="zh-CN" w:bidi="ar-SA"/>
        </w:rPr>
        <w:t>附图</w:t>
      </w:r>
      <w:r>
        <w:rPr>
          <w:rFonts w:hint="default" w:ascii="Times New Roman" w:hAnsi="Times New Roman" w:eastAsia="黑体" w:cs="Times New Roman"/>
          <w:snapToGrid w:val="0"/>
          <w:color w:val="auto"/>
          <w:kern w:val="0"/>
          <w:sz w:val="28"/>
          <w:szCs w:val="28"/>
          <w:highlight w:val="none"/>
          <w:lang w:val="en-US" w:eastAsia="zh-CN" w:bidi="ar-SA"/>
        </w:rPr>
        <w:t>3</w:t>
      </w:r>
      <w:r>
        <w:rPr>
          <w:rFonts w:hint="eastAsia" w:ascii="宋体" w:hAnsi="宋体" w:eastAsia="宋体" w:cs="宋体"/>
          <w:snapToGrid w:val="0"/>
          <w:color w:val="auto"/>
          <w:kern w:val="0"/>
          <w:sz w:val="28"/>
          <w:szCs w:val="28"/>
          <w:highlight w:val="none"/>
          <w:lang w:val="en-US" w:eastAsia="zh-CN" w:bidi="ar-SA"/>
        </w:rPr>
        <w:t xml:space="preserve"> 项目分区防渗图</w:t>
      </w:r>
      <w:bookmarkEnd w:id="65"/>
      <w:bookmarkEnd w:id="66"/>
      <w:bookmarkEnd w:id="67"/>
    </w:p>
    <w:p w14:paraId="47904825">
      <w:pPr>
        <w:jc w:val="center"/>
        <w:rPr>
          <w:rFonts w:hint="default" w:ascii="Times New Roman" w:hAnsi="Times New Roman" w:cs="Times New Roman"/>
          <w:color w:val="auto"/>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55B0FDA4">
      <w:pPr>
        <w:rPr>
          <w:rFonts w:hint="default" w:ascii="Times New Roman" w:hAnsi="Times New Roman" w:cs="Times New Roman"/>
          <w:color w:val="auto"/>
          <w:lang w:val="en-US" w:eastAsia="zh-CN"/>
        </w:rPr>
      </w:pPr>
    </w:p>
    <w:p w14:paraId="14DB2F7F">
      <w:pPr>
        <w:spacing w:after="120" w:afterLines="50"/>
        <w:jc w:val="center"/>
        <w:outlineLvl w:val="9"/>
        <w:rPr>
          <w:rFonts w:hint="default" w:ascii="Times New Roman" w:hAnsi="Times New Roman" w:cs="Times New Roman"/>
          <w:color w:val="auto"/>
          <w:lang w:val="en-US" w:eastAsia="zh-CN"/>
        </w:rPr>
      </w:pPr>
      <w:r>
        <w:rPr>
          <w:rFonts w:hint="default" w:ascii="Times New Roman" w:hAnsi="Times New Roman" w:cs="Times New Roman"/>
          <w:sz w:val="21"/>
        </w:rPr>
        <mc:AlternateContent>
          <mc:Choice Requires="wps">
            <w:drawing>
              <wp:anchor distT="0" distB="0" distL="114300" distR="114300" simplePos="0" relativeHeight="251687936" behindDoc="0" locked="0" layoutInCell="1" allowOverlap="1">
                <wp:simplePos x="0" y="0"/>
                <wp:positionH relativeFrom="column">
                  <wp:posOffset>1894840</wp:posOffset>
                </wp:positionH>
                <wp:positionV relativeFrom="paragraph">
                  <wp:posOffset>2713990</wp:posOffset>
                </wp:positionV>
                <wp:extent cx="837565" cy="332105"/>
                <wp:effectExtent l="147320" t="6350" r="24765" b="385445"/>
                <wp:wrapNone/>
                <wp:docPr id="104" name="矩形标注 104"/>
                <wp:cNvGraphicFramePr/>
                <a:graphic xmlns:a="http://schemas.openxmlformats.org/drawingml/2006/main">
                  <a:graphicData uri="http://schemas.microsoft.com/office/word/2010/wordprocessingShape">
                    <wps:wsp>
                      <wps:cNvSpPr/>
                      <wps:spPr>
                        <a:xfrm>
                          <a:off x="3170555" y="3943985"/>
                          <a:ext cx="837565" cy="332105"/>
                        </a:xfrm>
                        <a:prstGeom prst="wedgeRectCallout">
                          <a:avLst>
                            <a:gd name="adj1" fmla="val -63986"/>
                            <a:gd name="adj2" fmla="val 155517"/>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AB0E5BC">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49.2pt;margin-top:213.7pt;height:26.15pt;width:65.95pt;z-index:251687936;v-text-anchor:middle;mso-width-relative:page;mso-height-relative:page;" filled="f" stroked="t" coordsize="21600,21600" o:gfxdata="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NLnVi/aAAAACwEAAA8AAAAAAAAAAQAgAAAAIgAA&#10;AGRycy9kb3ducmV2LnhtbFBLAQIUABQAAAAIAIdO4kBpt6B4sQIAAEoFAAAOAAAAAAAAAAEAIAAA&#10;ACkBAABkcnMvZTJvRG9jLnhtbFBLBQYAAAAABgAGAFkBAABMBgAAAAA=&#10;" adj="-3021,44392">
                <v:fill on="f" focussize="0,0"/>
                <v:stroke weight="1pt" color="#000000 [3213]" miterlimit="8" joinstyle="miter"/>
                <v:imagedata o:title=""/>
                <o:lock v:ext="edit" aspectratio="f"/>
                <v:textbox>
                  <w:txbxContent>
                    <w:p w14:paraId="7AB0E5BC">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项目位置</w:t>
                      </w:r>
                    </w:p>
                  </w:txbxContent>
                </v:textbox>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671552" behindDoc="0" locked="0" layoutInCell="1" allowOverlap="1">
                <wp:simplePos x="0" y="0"/>
                <wp:positionH relativeFrom="column">
                  <wp:posOffset>1675765</wp:posOffset>
                </wp:positionH>
                <wp:positionV relativeFrom="paragraph">
                  <wp:posOffset>3385185</wp:posOffset>
                </wp:positionV>
                <wp:extent cx="129540" cy="99695"/>
                <wp:effectExtent l="17780" t="12700" r="24130" b="20955"/>
                <wp:wrapNone/>
                <wp:docPr id="76" name="五角星 76"/>
                <wp:cNvGraphicFramePr/>
                <a:graphic xmlns:a="http://schemas.openxmlformats.org/drawingml/2006/main">
                  <a:graphicData uri="http://schemas.microsoft.com/office/word/2010/wordprocessingShape">
                    <wps:wsp>
                      <wps:cNvSpPr/>
                      <wps:spPr>
                        <a:xfrm>
                          <a:off x="0" y="0"/>
                          <a:ext cx="129540" cy="99695"/>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131.95pt;margin-top:266.55pt;height:7.85pt;width:10.2pt;z-index:251671552;mso-width-relative:page;mso-height-relative:page;" fillcolor="#FF0000" filled="t" stroked="t" coordsize="129540,99695" o:gfxdata="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V1XBt3QAAAAsBAAAPAAAAAAAAAAEAIAAAACIAAABkcnMv&#10;ZG93bnJldi54bWxQSwECFAAUAAAACACHTuJAoquiZv4BAAAiBAAADgAAAAAAAAABACAAAAAsAQAA&#10;ZHJzL2Uyb0RvYy54bWxQSwUGAAAAAAYABgBZAQAAnAUAAAAA&#10;" path="m0,38080l49480,38080,64770,0,80059,38080,129539,38080,89509,61614,104799,99694,64770,76159,24740,99694,40030,61614xe">
                <v:path o:connectlocs="64770,0;0,38080;24740,99694;104799,99694;129539,38080" o:connectangles="247,164,82,82,0"/>
                <v:fill on="t" focussize="0,0"/>
                <v:stroke color="#FF0000" joinstyle="miter"/>
                <v:imagedata o:title=""/>
                <o:lock v:ext="edit" aspectratio="f"/>
              </v:shape>
            </w:pict>
          </mc:Fallback>
        </mc:AlternateContent>
      </w:r>
      <w:r>
        <w:rPr>
          <w:rFonts w:hint="default" w:ascii="Times New Roman" w:hAnsi="Times New Roman" w:cs="Times New Roman"/>
          <w:color w:val="auto"/>
          <w:lang w:val="en-US" w:eastAsia="zh-CN"/>
        </w:rPr>
        <w:drawing>
          <wp:inline distT="0" distB="0" distL="114300" distR="114300">
            <wp:extent cx="6874510" cy="4863465"/>
            <wp:effectExtent l="0" t="0" r="2540" b="13335"/>
            <wp:docPr id="74" name="图片 7" descr="971785f5e851cc10cc77fa6b452fc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 descr="971785f5e851cc10cc77fa6b452fc50"/>
                    <pic:cNvPicPr>
                      <a:picLocks noChangeAspect="1"/>
                    </pic:cNvPicPr>
                  </pic:nvPicPr>
                  <pic:blipFill>
                    <a:blip r:embed="rId34"/>
                    <a:stretch>
                      <a:fillRect/>
                    </a:stretch>
                  </pic:blipFill>
                  <pic:spPr>
                    <a:xfrm>
                      <a:off x="0" y="0"/>
                      <a:ext cx="6874510" cy="4863465"/>
                    </a:xfrm>
                    <a:prstGeom prst="rect">
                      <a:avLst/>
                    </a:prstGeom>
                    <a:noFill/>
                    <a:ln>
                      <a:noFill/>
                    </a:ln>
                  </pic:spPr>
                </pic:pic>
              </a:graphicData>
            </a:graphic>
          </wp:inline>
        </w:drawing>
      </w:r>
      <w:bookmarkStart w:id="68" w:name="_Toc31499"/>
      <w:bookmarkStart w:id="69" w:name="_Toc101338967"/>
    </w:p>
    <w:p w14:paraId="4BE6683D">
      <w:pPr>
        <w:spacing w:after="120" w:afterLines="50"/>
        <w:jc w:val="center"/>
        <w:outlineLvl w:val="0"/>
        <w:rPr>
          <w:rFonts w:hint="default" w:ascii="Times New Roman" w:hAnsi="Times New Roman" w:cs="Times New Roman"/>
          <w:color w:val="auto"/>
          <w:sz w:val="21"/>
          <w:highlight w:val="none"/>
        </w:rPr>
      </w:pPr>
      <w:bookmarkStart w:id="70" w:name="_Toc26078"/>
      <w:bookmarkStart w:id="71" w:name="_Toc19259"/>
      <w:bookmarkStart w:id="72" w:name="_Toc528"/>
      <w:bookmarkStart w:id="73" w:name="_Toc13064"/>
      <w:r>
        <w:rPr>
          <w:rFonts w:hint="eastAsia" w:ascii="宋体" w:hAnsi="宋体" w:eastAsia="宋体" w:cs="宋体"/>
          <w:b w:val="0"/>
          <w:bCs/>
          <w:color w:val="auto"/>
          <w:sz w:val="28"/>
          <w:szCs w:val="28"/>
        </w:rPr>
        <w:t>附图</w:t>
      </w:r>
      <w:r>
        <w:rPr>
          <w:rFonts w:hint="default" w:ascii="Times New Roman" w:hAnsi="Times New Roman" w:eastAsia="黑体" w:cs="Times New Roman"/>
          <w:b w:val="0"/>
          <w:bCs/>
          <w:color w:val="auto"/>
          <w:sz w:val="28"/>
          <w:szCs w:val="28"/>
          <w:lang w:val="en-US" w:eastAsia="zh-CN"/>
        </w:rPr>
        <w:t>4</w:t>
      </w:r>
      <w:r>
        <w:rPr>
          <w:rFonts w:hint="eastAsia" w:ascii="宋体" w:hAnsi="宋体" w:eastAsia="宋体" w:cs="宋体"/>
          <w:b w:val="0"/>
          <w:bCs/>
          <w:color w:val="auto"/>
          <w:sz w:val="28"/>
          <w:szCs w:val="28"/>
        </w:rPr>
        <w:t>鸡西市环境单元管控图</w:t>
      </w:r>
      <w:bookmarkEnd w:id="68"/>
      <w:bookmarkEnd w:id="69"/>
      <w:r>
        <w:rPr>
          <w:rFonts w:hint="default" w:ascii="Times New Roman" w:hAnsi="Times New Roman" w:cs="Times New Roman"/>
          <w:color w:val="auto"/>
          <w:sz w:val="24"/>
        </w:rPr>
        <mc:AlternateContent>
          <mc:Choice Requires="wps">
            <w:drawing>
              <wp:anchor distT="0" distB="0" distL="114300" distR="114300" simplePos="0" relativeHeight="251670528" behindDoc="0" locked="0" layoutInCell="1" allowOverlap="1">
                <wp:simplePos x="0" y="0"/>
                <wp:positionH relativeFrom="column">
                  <wp:posOffset>-5499735</wp:posOffset>
                </wp:positionH>
                <wp:positionV relativeFrom="paragraph">
                  <wp:posOffset>5093970</wp:posOffset>
                </wp:positionV>
                <wp:extent cx="3177540" cy="79375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3177540" cy="793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AC462F">
                            <w:pPr>
                              <w:pStyle w:val="7"/>
                              <w:ind w:left="0" w:leftChars="0" w:firstLine="0" w:firstLineChars="0"/>
                              <w:jc w:val="center"/>
                              <w:outlineLvl w:val="0"/>
                            </w:pPr>
                            <w:r>
                              <w:rPr>
                                <w:rFonts w:hint="default" w:ascii="Times New Roman" w:hAnsi="Times New Roman" w:eastAsia="黑体" w:cs="Times New Roman"/>
                                <w:snapToGrid w:val="0"/>
                                <w:color w:val="auto"/>
                                <w:kern w:val="0"/>
                                <w:sz w:val="28"/>
                                <w:szCs w:val="28"/>
                                <w:lang w:val="en-US" w:eastAsia="zh-CN" w:bidi="ar-SA"/>
                              </w:rPr>
                              <w:t xml:space="preserve">附图2 </w:t>
                            </w:r>
                            <w:r>
                              <w:rPr>
                                <w:rFonts w:hint="eastAsia" w:ascii="Times New Roman" w:hAnsi="Times New Roman" w:eastAsia="黑体" w:cs="Times New Roman"/>
                                <w:snapToGrid w:val="0"/>
                                <w:color w:val="auto"/>
                                <w:kern w:val="0"/>
                                <w:sz w:val="28"/>
                                <w:szCs w:val="28"/>
                                <w:lang w:val="en-US" w:eastAsia="zh-CN" w:bidi="ar-SA"/>
                              </w:rPr>
                              <w:t>鸡西市</w:t>
                            </w:r>
                            <w:r>
                              <w:rPr>
                                <w:rFonts w:hint="default" w:ascii="Times New Roman" w:hAnsi="Times New Roman" w:eastAsia="黑体" w:cs="Times New Roman"/>
                                <w:snapToGrid w:val="0"/>
                                <w:color w:val="auto"/>
                                <w:kern w:val="0"/>
                                <w:sz w:val="28"/>
                                <w:szCs w:val="28"/>
                                <w:lang w:val="en-US" w:eastAsia="zh-CN" w:bidi="ar-SA"/>
                              </w:rPr>
                              <w:t>环境管控单元</w:t>
                            </w:r>
                            <w:r>
                              <w:rPr>
                                <w:rFonts w:hint="eastAsia" w:ascii="Times New Roman" w:hAnsi="Times New Roman" w:eastAsia="黑体" w:cs="Times New Roman"/>
                                <w:snapToGrid w:val="0"/>
                                <w:color w:val="auto"/>
                                <w:kern w:val="0"/>
                                <w:sz w:val="28"/>
                                <w:szCs w:val="28"/>
                                <w:lang w:val="en-US" w:eastAsia="zh-CN" w:bidi="ar-SA"/>
                              </w:rPr>
                              <w:t>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3.05pt;margin-top:401.1pt;height:62.5pt;width:250.2pt;z-index:251670528;mso-width-relative:page;mso-height-relative:page;" filled="f" stroked="f" coordsize="21600,21600" o:gfxdata="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gFf/neAAAADQEAAA8AAAAAAAAAAQAgAAAAIgAA&#10;AGRycy9kb3ducmV2LnhtbFBLAQIUABQAAAAIAIdO4kD+ARCXOwIAAGgEAAAOAAAAAAAAAAEAIAAA&#10;AC0BAABkcnMvZTJvRG9jLnhtbFBLBQYAAAAABgAGAFkBAADaBQAAAAA=&#10;">
                <v:fill on="f" focussize="0,0"/>
                <v:stroke on="f" weight="0.5pt"/>
                <v:imagedata o:title=""/>
                <o:lock v:ext="edit" aspectratio="f"/>
                <v:textbox>
                  <w:txbxContent>
                    <w:p w14:paraId="58AC462F">
                      <w:pPr>
                        <w:pStyle w:val="7"/>
                        <w:ind w:left="0" w:leftChars="0" w:firstLine="0" w:firstLineChars="0"/>
                        <w:jc w:val="center"/>
                        <w:outlineLvl w:val="0"/>
                      </w:pPr>
                      <w:r>
                        <w:rPr>
                          <w:rFonts w:hint="default" w:ascii="Times New Roman" w:hAnsi="Times New Roman" w:eastAsia="黑体" w:cs="Times New Roman"/>
                          <w:snapToGrid w:val="0"/>
                          <w:color w:val="auto"/>
                          <w:kern w:val="0"/>
                          <w:sz w:val="28"/>
                          <w:szCs w:val="28"/>
                          <w:lang w:val="en-US" w:eastAsia="zh-CN" w:bidi="ar-SA"/>
                        </w:rPr>
                        <w:t xml:space="preserve">附图2 </w:t>
                      </w:r>
                      <w:r>
                        <w:rPr>
                          <w:rFonts w:hint="eastAsia" w:ascii="Times New Roman" w:hAnsi="Times New Roman" w:eastAsia="黑体" w:cs="Times New Roman"/>
                          <w:snapToGrid w:val="0"/>
                          <w:color w:val="auto"/>
                          <w:kern w:val="0"/>
                          <w:sz w:val="28"/>
                          <w:szCs w:val="28"/>
                          <w:lang w:val="en-US" w:eastAsia="zh-CN" w:bidi="ar-SA"/>
                        </w:rPr>
                        <w:t>鸡西市</w:t>
                      </w:r>
                      <w:r>
                        <w:rPr>
                          <w:rFonts w:hint="default" w:ascii="Times New Roman" w:hAnsi="Times New Roman" w:eastAsia="黑体" w:cs="Times New Roman"/>
                          <w:snapToGrid w:val="0"/>
                          <w:color w:val="auto"/>
                          <w:kern w:val="0"/>
                          <w:sz w:val="28"/>
                          <w:szCs w:val="28"/>
                          <w:lang w:val="en-US" w:eastAsia="zh-CN" w:bidi="ar-SA"/>
                        </w:rPr>
                        <w:t>环境管控单元</w:t>
                      </w:r>
                      <w:r>
                        <w:rPr>
                          <w:rFonts w:hint="eastAsia" w:ascii="Times New Roman" w:hAnsi="Times New Roman" w:eastAsia="黑体" w:cs="Times New Roman"/>
                          <w:snapToGrid w:val="0"/>
                          <w:color w:val="auto"/>
                          <w:kern w:val="0"/>
                          <w:sz w:val="28"/>
                          <w:szCs w:val="28"/>
                          <w:lang w:val="en-US" w:eastAsia="zh-CN" w:bidi="ar-SA"/>
                        </w:rPr>
                        <w:t>图</w:t>
                      </w:r>
                    </w:p>
                  </w:txbxContent>
                </v:textbox>
              </v:shape>
            </w:pict>
          </mc:Fallback>
        </mc:AlternateContent>
      </w:r>
      <w:bookmarkEnd w:id="70"/>
      <w:bookmarkEnd w:id="71"/>
      <w:bookmarkEnd w:id="72"/>
      <w:bookmarkEnd w:id="73"/>
    </w:p>
    <w:p w14:paraId="4E9318BD">
      <w:pPr>
        <w:pStyle w:val="19"/>
        <w:ind w:left="10" w:leftChars="0" w:hanging="10" w:hangingChars="6"/>
        <w:jc w:val="center"/>
        <w:outlineLvl w:val="9"/>
        <w:rPr>
          <w:rFonts w:hint="default" w:ascii="Times New Roman" w:hAnsi="Times New Roman" w:cs="Times New Roman"/>
          <w:color w:val="auto"/>
        </w:rPr>
      </w:pPr>
      <w:r>
        <w:rPr>
          <w:rFonts w:hint="default" w:ascii="Times New Roman" w:hAnsi="Times New Roman" w:cs="Times New Roman"/>
          <w:sz w:val="18"/>
        </w:rPr>
        <mc:AlternateContent>
          <mc:Choice Requires="wps">
            <w:drawing>
              <wp:anchor distT="0" distB="0" distL="114300" distR="114300" simplePos="0" relativeHeight="251691008" behindDoc="0" locked="0" layoutInCell="1" allowOverlap="1">
                <wp:simplePos x="0" y="0"/>
                <wp:positionH relativeFrom="column">
                  <wp:posOffset>6766560</wp:posOffset>
                </wp:positionH>
                <wp:positionV relativeFrom="paragraph">
                  <wp:posOffset>4956810</wp:posOffset>
                </wp:positionV>
                <wp:extent cx="276225" cy="142875"/>
                <wp:effectExtent l="6350" t="6350" r="22225" b="22225"/>
                <wp:wrapNone/>
                <wp:docPr id="7" name="矩形 7"/>
                <wp:cNvGraphicFramePr/>
                <a:graphic xmlns:a="http://schemas.openxmlformats.org/drawingml/2006/main">
                  <a:graphicData uri="http://schemas.microsoft.com/office/word/2010/wordprocessingShape">
                    <wps:wsp>
                      <wps:cNvSpPr/>
                      <wps:spPr>
                        <a:xfrm>
                          <a:off x="0" y="0"/>
                          <a:ext cx="276225" cy="142875"/>
                        </a:xfrm>
                        <a:prstGeom prst="rect">
                          <a:avLst/>
                        </a:prstGeom>
                        <a:ln>
                          <a:solidFill>
                            <a:srgbClr val="0070C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2.8pt;margin-top:390.3pt;height:11.25pt;width:21.75pt;z-index:251691008;v-text-anchor:middle;mso-width-relative:page;mso-height-relative:page;" filled="f" stroked="t" coordsize="21600,21600" o:gfxdata="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Ek7lm/YAAAADQEAAA8AAAAAAAAAAQAgAAAAIgAAAGRycy9kb3ducmV2Lnht&#10;bFBLAQIUABQAAAAIAIdO4kChREHEawIAAMoEAAAOAAAAAAAAAAEAIAAAACcBAABkcnMvZTJvRG9j&#10;LnhtbFBLBQYAAAAABgAGAFkBAAAEBgAAAAA=&#10;">
                <v:fill on="f" focussize="0,0"/>
                <v:stroke weight="1pt" color="#0070C0 [3204]" miterlimit="8" joinstyle="miter"/>
                <v:imagedata o:title=""/>
                <o:lock v:ext="edit" aspectratio="f"/>
              </v:rect>
            </w:pict>
          </mc:Fallback>
        </mc:AlternateContent>
      </w:r>
      <w:r>
        <w:rPr>
          <w:rFonts w:hint="default" w:ascii="Times New Roman" w:hAnsi="Times New Roman" w:cs="Times New Roman"/>
          <w:sz w:val="18"/>
        </w:rPr>
        <mc:AlternateContent>
          <mc:Choice Requires="wps">
            <w:drawing>
              <wp:anchor distT="0" distB="0" distL="114300" distR="114300" simplePos="0" relativeHeight="251689984" behindDoc="0" locked="0" layoutInCell="1" allowOverlap="1">
                <wp:simplePos x="0" y="0"/>
                <wp:positionH relativeFrom="column">
                  <wp:posOffset>6757035</wp:posOffset>
                </wp:positionH>
                <wp:positionV relativeFrom="paragraph">
                  <wp:posOffset>4652010</wp:posOffset>
                </wp:positionV>
                <wp:extent cx="276225" cy="142875"/>
                <wp:effectExtent l="6350" t="6350" r="22225" b="22225"/>
                <wp:wrapNone/>
                <wp:docPr id="6" name="矩形 6"/>
                <wp:cNvGraphicFramePr/>
                <a:graphic xmlns:a="http://schemas.openxmlformats.org/drawingml/2006/main">
                  <a:graphicData uri="http://schemas.microsoft.com/office/word/2010/wordprocessingShape">
                    <wps:wsp>
                      <wps:cNvSpPr/>
                      <wps:spPr>
                        <a:xfrm>
                          <a:off x="0" y="0"/>
                          <a:ext cx="276225" cy="142875"/>
                        </a:xfrm>
                        <a:prstGeom prst="rect">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2.05pt;margin-top:366.3pt;height:11.25pt;width:21.75pt;z-index:251689984;v-text-anchor:middle;mso-width-relative:page;mso-height-relative:page;" fillcolor="#FFFF00" filled="t" stroked="t" coordsize="21600,21600" o:gfxdata="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Ho6uRrbAAAADQEAAA8AAAAAAAAAAQAgAAAAIgAAAGRycy9kb3ducmV2&#10;LnhtbFBLAQIUABQAAAAIAIdO4kCV/3b3awIAAPMEAAAOAAAAAAAAAAEAIAAAACoBAABkcnMvZTJv&#10;RG9jLnhtbFBLBQYAAAAABgAGAFkBAAAHBgAAAAA=&#10;">
                <v:fill on="t" focussize="0,0"/>
                <v:stroke weight="1pt" color="#FFFF00 [2404]" miterlimit="8" joinstyle="miter"/>
                <v:imagedata o:title=""/>
                <o:lock v:ext="edit" aspectratio="f"/>
              </v:rect>
            </w:pict>
          </mc:Fallback>
        </mc:AlternateContent>
      </w:r>
      <w:r>
        <w:rPr>
          <w:rFonts w:hint="default" w:ascii="Times New Roman" w:hAnsi="Times New Roman" w:cs="Times New Roman"/>
          <w:sz w:val="18"/>
        </w:rPr>
        <mc:AlternateContent>
          <mc:Choice Requires="wps">
            <w:drawing>
              <wp:anchor distT="0" distB="0" distL="114300" distR="114300" simplePos="0" relativeHeight="251688960" behindDoc="0" locked="0" layoutInCell="1" allowOverlap="1">
                <wp:simplePos x="0" y="0"/>
                <wp:positionH relativeFrom="column">
                  <wp:posOffset>6766560</wp:posOffset>
                </wp:positionH>
                <wp:positionV relativeFrom="paragraph">
                  <wp:posOffset>4347210</wp:posOffset>
                </wp:positionV>
                <wp:extent cx="276225" cy="142875"/>
                <wp:effectExtent l="6350" t="6350" r="22225" b="22225"/>
                <wp:wrapNone/>
                <wp:docPr id="5" name="矩形 5"/>
                <wp:cNvGraphicFramePr/>
                <a:graphic xmlns:a="http://schemas.openxmlformats.org/drawingml/2006/main">
                  <a:graphicData uri="http://schemas.microsoft.com/office/word/2010/wordprocessingShape">
                    <wps:wsp>
                      <wps:cNvSpPr/>
                      <wps:spPr>
                        <a:xfrm>
                          <a:off x="7818120" y="5748020"/>
                          <a:ext cx="276225" cy="142875"/>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2.8pt;margin-top:342.3pt;height:11.25pt;width:21.75pt;z-index:251688960;v-text-anchor:middle;mso-width-relative:page;mso-height-relative:page;" filled="f" stroked="t" coordsize="21600,21600" o:gfxdata="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3G+TV2gAAAA0BAAAPAAAAAAAAAAEAIAAAACIAAABkcnMv&#10;ZG93bnJldi54bWxQSwECFAAUAAAACACHTuJAjlv2MXMCAADWBAAADgAAAAAAAAABACAAAAApAQAA&#10;ZHJzL2Uyb0RvYy54bWxQSwUGAAAAAAYABgBZAQAADgYAAAAA&#10;">
                <v:fill on="f" focussize="0,0"/>
                <v:stroke weight="1pt" color="#FFFF00 [2404]" miterlimit="8" joinstyle="miter"/>
                <v:imagedata o:title=""/>
                <o:lock v:ext="edit" aspectratio="f"/>
              </v:rect>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74624" behindDoc="0" locked="0" layoutInCell="1" allowOverlap="1">
                <wp:simplePos x="0" y="0"/>
                <wp:positionH relativeFrom="column">
                  <wp:posOffset>6704330</wp:posOffset>
                </wp:positionH>
                <wp:positionV relativeFrom="paragraph">
                  <wp:posOffset>3982720</wp:posOffset>
                </wp:positionV>
                <wp:extent cx="1818640" cy="1183640"/>
                <wp:effectExtent l="4445" t="4445" r="5715" b="12065"/>
                <wp:wrapNone/>
                <wp:docPr id="20" name="文本框 20"/>
                <wp:cNvGraphicFramePr/>
                <a:graphic xmlns:a="http://schemas.openxmlformats.org/drawingml/2006/main">
                  <a:graphicData uri="http://schemas.microsoft.com/office/word/2010/wordprocessingShape">
                    <wps:wsp>
                      <wps:cNvSpPr txBox="1"/>
                      <wps:spPr>
                        <a:xfrm>
                          <a:off x="7513320" y="5022215"/>
                          <a:ext cx="1818640" cy="11836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49B6673">
                            <w:pPr>
                              <w:keepNext w:val="0"/>
                              <w:keepLines w:val="0"/>
                              <w:pageBreakBefore w:val="0"/>
                              <w:kinsoku/>
                              <w:wordWrap/>
                              <w:overflowPunct/>
                              <w:topLinePunct w:val="0"/>
                              <w:bidi w:val="0"/>
                              <w:adjustRightInd/>
                              <w:spacing w:line="360" w:lineRule="auto"/>
                              <w:jc w:val="center"/>
                              <w:textAlignment w:val="auto"/>
                              <w:rPr>
                                <w:rFonts w:hint="eastAsia" w:ascii="宋体" w:hAnsi="Times New Roman" w:eastAsia="宋体" w:cs="Times New Roman"/>
                                <w:b/>
                                <w:bCs/>
                                <w:kern w:val="0"/>
                                <w:sz w:val="24"/>
                                <w:szCs w:val="21"/>
                                <w:lang w:val="en-US" w:eastAsia="zh-CN" w:bidi="ar-SA"/>
                              </w:rPr>
                            </w:pPr>
                            <w:r>
                              <w:rPr>
                                <w:rFonts w:hint="eastAsia" w:ascii="宋体" w:hAnsi="Times New Roman" w:eastAsia="宋体" w:cs="Times New Roman"/>
                                <w:b/>
                                <w:bCs/>
                                <w:kern w:val="0"/>
                                <w:sz w:val="24"/>
                                <w:szCs w:val="21"/>
                                <w:lang w:val="en-US" w:eastAsia="zh-CN" w:bidi="ar-SA"/>
                              </w:rPr>
                              <w:t>图例</w:t>
                            </w:r>
                          </w:p>
                          <w:p w14:paraId="390E0A2F">
                            <w:pPr>
                              <w:pStyle w:val="2"/>
                              <w:keepNext w:val="0"/>
                              <w:keepLines w:val="0"/>
                              <w:pageBreakBefore w:val="0"/>
                              <w:kinsoku/>
                              <w:wordWrap/>
                              <w:overflowPunct/>
                              <w:topLinePunct w:val="0"/>
                              <w:bidi w:val="0"/>
                              <w:adjustRightInd/>
                              <w:spacing w:before="0" w:after="0" w:line="360" w:lineRule="auto"/>
                              <w:ind w:firstLine="480" w:firstLineChars="200"/>
                              <w:jc w:val="left"/>
                              <w:textAlignment w:val="auto"/>
                              <w:rPr>
                                <w:rFonts w:hint="eastAsia" w:ascii="宋体" w:hAnsi="Times New Roman" w:eastAsia="宋体" w:cs="Times New Roman"/>
                                <w:kern w:val="0"/>
                                <w:sz w:val="24"/>
                                <w:szCs w:val="21"/>
                                <w:lang w:val="en-US" w:eastAsia="zh-CN" w:bidi="ar-SA"/>
                              </w:rPr>
                            </w:pPr>
                            <w:r>
                              <w:rPr>
                                <w:rFonts w:hint="eastAsia" w:ascii="宋体" w:hAnsi="Times New Roman" w:eastAsia="宋体" w:cs="Times New Roman"/>
                                <w:kern w:val="0"/>
                                <w:sz w:val="24"/>
                                <w:szCs w:val="21"/>
                                <w:lang w:val="en-US" w:eastAsia="zh-CN" w:bidi="ar-SA"/>
                              </w:rPr>
                              <w:t>大气环境保护范围</w:t>
                            </w:r>
                          </w:p>
                          <w:p w14:paraId="764B2A7E">
                            <w:pPr>
                              <w:pStyle w:val="3"/>
                              <w:keepNext w:val="0"/>
                              <w:keepLines w:val="0"/>
                              <w:pageBreakBefore w:val="0"/>
                              <w:kinsoku/>
                              <w:wordWrap/>
                              <w:overflowPunct/>
                              <w:topLinePunct w:val="0"/>
                              <w:bidi w:val="0"/>
                              <w:adjustRightInd/>
                              <w:spacing w:line="360" w:lineRule="auto"/>
                              <w:ind w:firstLine="480" w:firstLineChars="200"/>
                              <w:jc w:val="left"/>
                              <w:textAlignment w:val="auto"/>
                              <w:rPr>
                                <w:rFonts w:hint="default" w:ascii="宋体" w:hAnsi="Times New Roman" w:eastAsia="宋体" w:cs="Times New Roman"/>
                                <w:kern w:val="0"/>
                                <w:sz w:val="24"/>
                                <w:szCs w:val="21"/>
                                <w:lang w:val="en-US" w:eastAsia="zh-CN" w:bidi="ar-SA"/>
                              </w:rPr>
                            </w:pPr>
                            <w:r>
                              <w:rPr>
                                <w:rFonts w:hint="eastAsia" w:ascii="宋体" w:hAnsi="Times New Roman" w:eastAsia="宋体" w:cs="Times New Roman"/>
                                <w:kern w:val="0"/>
                                <w:sz w:val="24"/>
                                <w:szCs w:val="21"/>
                                <w:lang w:val="en-US" w:eastAsia="zh-CN" w:bidi="ar-SA"/>
                              </w:rPr>
                              <w:t>大气环境保护目标</w:t>
                            </w:r>
                          </w:p>
                          <w:p w14:paraId="7C74252B">
                            <w:pPr>
                              <w:pStyle w:val="3"/>
                              <w:keepNext w:val="0"/>
                              <w:keepLines w:val="0"/>
                              <w:pageBreakBefore w:val="0"/>
                              <w:kinsoku/>
                              <w:wordWrap/>
                              <w:overflowPunct/>
                              <w:topLinePunct w:val="0"/>
                              <w:bidi w:val="0"/>
                              <w:adjustRightInd/>
                              <w:spacing w:line="360" w:lineRule="auto"/>
                              <w:ind w:firstLine="480" w:firstLineChars="200"/>
                              <w:jc w:val="left"/>
                              <w:textAlignment w:val="auto"/>
                              <w:rPr>
                                <w:rFonts w:hint="eastAsia" w:ascii="宋体" w:hAnsi="Times New Roman" w:eastAsia="宋体" w:cs="Times New Roman"/>
                                <w:kern w:val="0"/>
                                <w:sz w:val="24"/>
                                <w:szCs w:val="21"/>
                                <w:lang w:val="en-US" w:eastAsia="zh-CN" w:bidi="ar-SA"/>
                              </w:rPr>
                            </w:pPr>
                            <w:r>
                              <w:rPr>
                                <w:rFonts w:hint="eastAsia" w:ascii="宋体" w:hAnsi="Times New Roman" w:eastAsia="宋体" w:cs="Times New Roman"/>
                                <w:kern w:val="0"/>
                                <w:sz w:val="24"/>
                                <w:szCs w:val="21"/>
                                <w:lang w:val="en-US" w:eastAsia="zh-CN" w:bidi="ar-SA"/>
                              </w:rPr>
                              <w:t>声环境保护范围</w:t>
                            </w:r>
                          </w:p>
                          <w:p w14:paraId="276FFD8A">
                            <w:pPr>
                              <w:pStyle w:val="4"/>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7.9pt;margin-top:313.6pt;height:93.2pt;width:143.2pt;z-index:251674624;mso-width-relative:page;mso-height-relative:page;" fillcolor="#FFFFFF [3201]" filled="t" stroked="t" coordsize="21600,21600" o:gfxdata="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kRLgM2AAAAA0BAAAPAAAAAAAAAAEAIAAAACIAAABkcnMvZG93bnJldi54bWxQSwECFAAU&#10;AAAACACHTuJAHy615mMCAADGBAAADgAAAAAAAAABACAAAAAnAQAAZHJzL2Uyb0RvYy54bWxQSwUG&#10;AAAAAAYABgBZAQAA/AUAAAAA&#10;">
                <v:fill on="t" focussize="0,0"/>
                <v:stroke weight="0.5pt" color="#000000 [3204]" joinstyle="round"/>
                <v:imagedata o:title=""/>
                <o:lock v:ext="edit" aspectratio="f"/>
                <v:textbox>
                  <w:txbxContent>
                    <w:p w14:paraId="349B6673">
                      <w:pPr>
                        <w:keepNext w:val="0"/>
                        <w:keepLines w:val="0"/>
                        <w:pageBreakBefore w:val="0"/>
                        <w:kinsoku/>
                        <w:wordWrap/>
                        <w:overflowPunct/>
                        <w:topLinePunct w:val="0"/>
                        <w:bidi w:val="0"/>
                        <w:adjustRightInd/>
                        <w:spacing w:line="360" w:lineRule="auto"/>
                        <w:jc w:val="center"/>
                        <w:textAlignment w:val="auto"/>
                        <w:rPr>
                          <w:rFonts w:hint="eastAsia" w:ascii="宋体" w:hAnsi="Times New Roman" w:eastAsia="宋体" w:cs="Times New Roman"/>
                          <w:b/>
                          <w:bCs/>
                          <w:kern w:val="0"/>
                          <w:sz w:val="24"/>
                          <w:szCs w:val="21"/>
                          <w:lang w:val="en-US" w:eastAsia="zh-CN" w:bidi="ar-SA"/>
                        </w:rPr>
                      </w:pPr>
                      <w:r>
                        <w:rPr>
                          <w:rFonts w:hint="eastAsia" w:ascii="宋体" w:hAnsi="Times New Roman" w:eastAsia="宋体" w:cs="Times New Roman"/>
                          <w:b/>
                          <w:bCs/>
                          <w:kern w:val="0"/>
                          <w:sz w:val="24"/>
                          <w:szCs w:val="21"/>
                          <w:lang w:val="en-US" w:eastAsia="zh-CN" w:bidi="ar-SA"/>
                        </w:rPr>
                        <w:t>图例</w:t>
                      </w:r>
                    </w:p>
                    <w:p w14:paraId="390E0A2F">
                      <w:pPr>
                        <w:pStyle w:val="2"/>
                        <w:keepNext w:val="0"/>
                        <w:keepLines w:val="0"/>
                        <w:pageBreakBefore w:val="0"/>
                        <w:kinsoku/>
                        <w:wordWrap/>
                        <w:overflowPunct/>
                        <w:topLinePunct w:val="0"/>
                        <w:bidi w:val="0"/>
                        <w:adjustRightInd/>
                        <w:spacing w:before="0" w:after="0" w:line="360" w:lineRule="auto"/>
                        <w:ind w:firstLine="480" w:firstLineChars="200"/>
                        <w:jc w:val="left"/>
                        <w:textAlignment w:val="auto"/>
                        <w:rPr>
                          <w:rFonts w:hint="eastAsia" w:ascii="宋体" w:hAnsi="Times New Roman" w:eastAsia="宋体" w:cs="Times New Roman"/>
                          <w:kern w:val="0"/>
                          <w:sz w:val="24"/>
                          <w:szCs w:val="21"/>
                          <w:lang w:val="en-US" w:eastAsia="zh-CN" w:bidi="ar-SA"/>
                        </w:rPr>
                      </w:pPr>
                      <w:r>
                        <w:rPr>
                          <w:rFonts w:hint="eastAsia" w:ascii="宋体" w:hAnsi="Times New Roman" w:eastAsia="宋体" w:cs="Times New Roman"/>
                          <w:kern w:val="0"/>
                          <w:sz w:val="24"/>
                          <w:szCs w:val="21"/>
                          <w:lang w:val="en-US" w:eastAsia="zh-CN" w:bidi="ar-SA"/>
                        </w:rPr>
                        <w:t>大气环境保护范围</w:t>
                      </w:r>
                    </w:p>
                    <w:p w14:paraId="764B2A7E">
                      <w:pPr>
                        <w:pStyle w:val="3"/>
                        <w:keepNext w:val="0"/>
                        <w:keepLines w:val="0"/>
                        <w:pageBreakBefore w:val="0"/>
                        <w:kinsoku/>
                        <w:wordWrap/>
                        <w:overflowPunct/>
                        <w:topLinePunct w:val="0"/>
                        <w:bidi w:val="0"/>
                        <w:adjustRightInd/>
                        <w:spacing w:line="360" w:lineRule="auto"/>
                        <w:ind w:firstLine="480" w:firstLineChars="200"/>
                        <w:jc w:val="left"/>
                        <w:textAlignment w:val="auto"/>
                        <w:rPr>
                          <w:rFonts w:hint="default" w:ascii="宋体" w:hAnsi="Times New Roman" w:eastAsia="宋体" w:cs="Times New Roman"/>
                          <w:kern w:val="0"/>
                          <w:sz w:val="24"/>
                          <w:szCs w:val="21"/>
                          <w:lang w:val="en-US" w:eastAsia="zh-CN" w:bidi="ar-SA"/>
                        </w:rPr>
                      </w:pPr>
                      <w:r>
                        <w:rPr>
                          <w:rFonts w:hint="eastAsia" w:ascii="宋体" w:hAnsi="Times New Roman" w:eastAsia="宋体" w:cs="Times New Roman"/>
                          <w:kern w:val="0"/>
                          <w:sz w:val="24"/>
                          <w:szCs w:val="21"/>
                          <w:lang w:val="en-US" w:eastAsia="zh-CN" w:bidi="ar-SA"/>
                        </w:rPr>
                        <w:t>大气环境保护目标</w:t>
                      </w:r>
                    </w:p>
                    <w:p w14:paraId="7C74252B">
                      <w:pPr>
                        <w:pStyle w:val="3"/>
                        <w:keepNext w:val="0"/>
                        <w:keepLines w:val="0"/>
                        <w:pageBreakBefore w:val="0"/>
                        <w:kinsoku/>
                        <w:wordWrap/>
                        <w:overflowPunct/>
                        <w:topLinePunct w:val="0"/>
                        <w:bidi w:val="0"/>
                        <w:adjustRightInd/>
                        <w:spacing w:line="360" w:lineRule="auto"/>
                        <w:ind w:firstLine="480" w:firstLineChars="200"/>
                        <w:jc w:val="left"/>
                        <w:textAlignment w:val="auto"/>
                        <w:rPr>
                          <w:rFonts w:hint="eastAsia" w:ascii="宋体" w:hAnsi="Times New Roman" w:eastAsia="宋体" w:cs="Times New Roman"/>
                          <w:kern w:val="0"/>
                          <w:sz w:val="24"/>
                          <w:szCs w:val="21"/>
                          <w:lang w:val="en-US" w:eastAsia="zh-CN" w:bidi="ar-SA"/>
                        </w:rPr>
                      </w:pPr>
                      <w:r>
                        <w:rPr>
                          <w:rFonts w:hint="eastAsia" w:ascii="宋体" w:hAnsi="Times New Roman" w:eastAsia="宋体" w:cs="Times New Roman"/>
                          <w:kern w:val="0"/>
                          <w:sz w:val="24"/>
                          <w:szCs w:val="21"/>
                          <w:lang w:val="en-US" w:eastAsia="zh-CN" w:bidi="ar-SA"/>
                        </w:rPr>
                        <w:t>声环境保护范围</w:t>
                      </w:r>
                    </w:p>
                    <w:p w14:paraId="276FFD8A">
                      <w:pPr>
                        <w:pStyle w:val="4"/>
                        <w:rPr>
                          <w:rFonts w:hint="default"/>
                          <w:lang w:val="en-US" w:eastAsia="zh-CN"/>
                        </w:rPr>
                      </w:pPr>
                    </w:p>
                  </w:txbxContent>
                </v:textbox>
              </v:shape>
            </w:pict>
          </mc:Fallback>
        </mc:AlternateContent>
      </w:r>
    </w:p>
    <w:p w14:paraId="6D6B9801">
      <w:pPr>
        <w:spacing w:after="120" w:afterLines="50"/>
        <w:jc w:val="both"/>
        <w:outlineLvl w:val="9"/>
        <w:rPr>
          <w:rFonts w:hint="default" w:ascii="Times New Roman" w:hAnsi="Times New Roman" w:eastAsia="黑体" w:cs="Times New Roman"/>
          <w:b w:val="0"/>
          <w:bCs/>
          <w:color w:val="auto"/>
          <w:sz w:val="28"/>
          <w:szCs w:val="28"/>
          <w:lang w:val="en-US" w:eastAsia="zh-CN"/>
        </w:rPr>
      </w:pPr>
      <w:bookmarkStart w:id="74" w:name="_Toc28291"/>
      <w:r>
        <w:rPr>
          <w:rFonts w:hint="default" w:ascii="Times New Roman" w:hAnsi="Times New Roman" w:cs="Times New Roman"/>
          <w:color w:val="auto"/>
          <w:highlight w:val="none"/>
        </w:rPr>
        <w:drawing>
          <wp:anchor distT="0" distB="0" distL="114300" distR="114300" simplePos="0" relativeHeight="251675648" behindDoc="0" locked="0" layoutInCell="1" allowOverlap="1">
            <wp:simplePos x="0" y="0"/>
            <wp:positionH relativeFrom="column">
              <wp:posOffset>7807960</wp:posOffset>
            </wp:positionH>
            <wp:positionV relativeFrom="paragraph">
              <wp:posOffset>4445</wp:posOffset>
            </wp:positionV>
            <wp:extent cx="721360" cy="711835"/>
            <wp:effectExtent l="0" t="0" r="2540" b="12065"/>
            <wp:wrapNone/>
            <wp:docPr id="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pic:cNvPicPr>
                      <a:picLocks noChangeAspect="1"/>
                    </pic:cNvPicPr>
                  </pic:nvPicPr>
                  <pic:blipFill>
                    <a:blip r:embed="rId29"/>
                    <a:stretch>
                      <a:fillRect/>
                    </a:stretch>
                  </pic:blipFill>
                  <pic:spPr>
                    <a:xfrm>
                      <a:off x="0" y="0"/>
                      <a:ext cx="721360" cy="711835"/>
                    </a:xfrm>
                    <a:prstGeom prst="rect">
                      <a:avLst/>
                    </a:prstGeom>
                    <a:noFill/>
                    <a:ln>
                      <a:noFill/>
                    </a:ln>
                  </pic:spPr>
                </pic:pic>
              </a:graphicData>
            </a:graphic>
          </wp:anchor>
        </w:drawing>
      </w:r>
      <w:r>
        <w:rPr>
          <w:rFonts w:hint="default" w:ascii="Times New Roman" w:hAnsi="Times New Roman" w:cs="Times New Roman"/>
          <w:sz w:val="21"/>
        </w:rPr>
        <mc:AlternateContent>
          <mc:Choice Requires="wps">
            <w:drawing>
              <wp:anchor distT="0" distB="0" distL="114300" distR="114300" simplePos="0" relativeHeight="251708416" behindDoc="0" locked="0" layoutInCell="1" allowOverlap="1">
                <wp:simplePos x="0" y="0"/>
                <wp:positionH relativeFrom="column">
                  <wp:posOffset>6910070</wp:posOffset>
                </wp:positionH>
                <wp:positionV relativeFrom="paragraph">
                  <wp:posOffset>4632325</wp:posOffset>
                </wp:positionV>
                <wp:extent cx="276225" cy="123825"/>
                <wp:effectExtent l="6350" t="6350" r="22225" b="22225"/>
                <wp:wrapNone/>
                <wp:docPr id="47" name="矩形 47"/>
                <wp:cNvGraphicFramePr/>
                <a:graphic xmlns:a="http://schemas.openxmlformats.org/drawingml/2006/main">
                  <a:graphicData uri="http://schemas.microsoft.com/office/word/2010/wordprocessingShape">
                    <wps:wsp>
                      <wps:cNvSpPr/>
                      <wps:spPr>
                        <a:xfrm>
                          <a:off x="0" y="0"/>
                          <a:ext cx="276225" cy="123825"/>
                        </a:xfrm>
                        <a:prstGeom prst="rect">
                          <a:avLst/>
                        </a:prstGeom>
                        <a:noFill/>
                        <a:ln>
                          <a:solidFill>
                            <a:schemeClr val="accent3">
                              <a:lumMod val="40000"/>
                              <a:lumOff val="6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4.1pt;margin-top:364.75pt;height:9.75pt;width:21.75pt;z-index:251708416;v-text-anchor:middle;mso-width-relative:page;mso-height-relative:page;" filled="f" stroked="t" coordsize="21600,21600" o:gfxdata="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4xbJTdsAAAANAQAADwAA&#10;AAAAAAABACAAAAAiAAAAZHJzL2Rvd25yZXYueG1sUEsBAhQAFAAAAAgAh07iQJPSTjiFAgAABQUA&#10;AA4AAAAAAAAAAQAgAAAAKgEAAGRycy9lMm9Eb2MueG1sUEsFBgAAAAAGAAYAWQEAACEGAAAAAA==&#10;">
                <v:fill on="f" focussize="0,0"/>
                <v:stroke weight="1pt" color="#FEE695 [1302]" miterlimit="8" joinstyle="miter"/>
                <v:imagedata o:title=""/>
                <o:lock v:ext="edit" aspectratio="f"/>
              </v:rect>
            </w:pict>
          </mc:Fallback>
        </mc:AlternateContent>
      </w:r>
      <w:r>
        <w:rPr>
          <w:rFonts w:hint="default" w:ascii="Times New Roman" w:hAnsi="Times New Roman" w:cs="Times New Roman"/>
          <w:sz w:val="21"/>
        </w:rPr>
        <mc:AlternateContent>
          <mc:Choice Requires="wps">
            <w:drawing>
              <wp:anchor distT="0" distB="0" distL="114300" distR="114300" simplePos="0" relativeHeight="251707392" behindDoc="0" locked="0" layoutInCell="1" allowOverlap="1">
                <wp:simplePos x="0" y="0"/>
                <wp:positionH relativeFrom="column">
                  <wp:posOffset>6910070</wp:posOffset>
                </wp:positionH>
                <wp:positionV relativeFrom="paragraph">
                  <wp:posOffset>4356100</wp:posOffset>
                </wp:positionV>
                <wp:extent cx="276225" cy="123825"/>
                <wp:effectExtent l="6350" t="6350" r="22225" b="22225"/>
                <wp:wrapNone/>
                <wp:docPr id="54" name="矩形 54"/>
                <wp:cNvGraphicFramePr/>
                <a:graphic xmlns:a="http://schemas.openxmlformats.org/drawingml/2006/main">
                  <a:graphicData uri="http://schemas.microsoft.com/office/word/2010/wordprocessingShape">
                    <wps:wsp>
                      <wps:cNvSpPr/>
                      <wps:spPr>
                        <a:xfrm>
                          <a:off x="0" y="0"/>
                          <a:ext cx="276225" cy="123825"/>
                        </a:xfrm>
                        <a:prstGeom prst="rect">
                          <a:avLst/>
                        </a:prstGeom>
                        <a:noFill/>
                        <a:ln>
                          <a:solidFill>
                            <a:srgbClr val="0070C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4.1pt;margin-top:343pt;height:9.75pt;width:21.75pt;z-index:251707392;v-text-anchor:middle;mso-width-relative:page;mso-height-relative:page;" filled="f" stroked="t" coordsize="21600,21600" o:gfxdata="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8Zc6J2QAAAA0BAAAPAAAAAAAAAAEAIAAAACIAAABkcnMvZG93bnJldi54&#10;bWxQSwECFAAUAAAACACHTuJAiBi3VWsCAADMBAAADgAAAAAAAAABACAAAAAoAQAAZHJzL2Uyb0Rv&#10;Yy54bWxQSwUGAAAAAAYABgBZAQAABQYAAAAA&#10;">
                <v:fill on="f" focussize="0,0"/>
                <v:stroke weight="1pt" color="#0070C0 [2404]" miterlimit="8" joinstyle="miter"/>
                <v:imagedata o:title=""/>
                <o:lock v:ext="edit" aspectratio="f"/>
              </v:rect>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706368" behindDoc="0" locked="0" layoutInCell="1" allowOverlap="1">
                <wp:simplePos x="0" y="0"/>
                <wp:positionH relativeFrom="column">
                  <wp:posOffset>6771640</wp:posOffset>
                </wp:positionH>
                <wp:positionV relativeFrom="paragraph">
                  <wp:posOffset>4031615</wp:posOffset>
                </wp:positionV>
                <wp:extent cx="1722755" cy="1058545"/>
                <wp:effectExtent l="4445" t="4445" r="6350" b="22860"/>
                <wp:wrapNone/>
                <wp:docPr id="46" name="文本框 46"/>
                <wp:cNvGraphicFramePr/>
                <a:graphic xmlns:a="http://schemas.openxmlformats.org/drawingml/2006/main">
                  <a:graphicData uri="http://schemas.microsoft.com/office/word/2010/wordprocessingShape">
                    <wps:wsp>
                      <wps:cNvSpPr txBox="1"/>
                      <wps:spPr>
                        <a:xfrm>
                          <a:off x="0" y="0"/>
                          <a:ext cx="1722755" cy="10585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6A5BF52">
                            <w:pPr>
                              <w:keepNext w:val="0"/>
                              <w:keepLines w:val="0"/>
                              <w:pageBreakBefore w:val="0"/>
                              <w:kinsoku/>
                              <w:wordWrap/>
                              <w:overflowPunct/>
                              <w:topLinePunct w:val="0"/>
                              <w:bidi w:val="0"/>
                              <w:adjustRightInd/>
                              <w:spacing w:line="360" w:lineRule="auto"/>
                              <w:ind w:right="0"/>
                              <w:jc w:val="center"/>
                              <w:textAlignment w:val="auto"/>
                              <w:rPr>
                                <w:rFonts w:hint="eastAsia"/>
                                <w:b/>
                                <w:bCs/>
                                <w:sz w:val="21"/>
                                <w:szCs w:val="21"/>
                                <w:lang w:val="en-US" w:eastAsia="zh-CN"/>
                              </w:rPr>
                            </w:pPr>
                            <w:r>
                              <w:rPr>
                                <w:rFonts w:hint="eastAsia"/>
                                <w:b/>
                                <w:bCs/>
                                <w:sz w:val="21"/>
                                <w:szCs w:val="21"/>
                                <w:lang w:val="en-US" w:eastAsia="zh-CN"/>
                              </w:rPr>
                              <w:t>图例</w:t>
                            </w:r>
                          </w:p>
                          <w:p w14:paraId="76524914">
                            <w:pPr>
                              <w:pStyle w:val="2"/>
                              <w:keepNext w:val="0"/>
                              <w:keepLines w:val="0"/>
                              <w:pageBreakBefore w:val="0"/>
                              <w:kinsoku/>
                              <w:wordWrap/>
                              <w:overflowPunct/>
                              <w:topLinePunct w:val="0"/>
                              <w:bidi w:val="0"/>
                              <w:adjustRightInd/>
                              <w:spacing w:before="0" w:after="0" w:line="360" w:lineRule="auto"/>
                              <w:ind w:right="0"/>
                              <w:jc w:val="center"/>
                              <w:textAlignment w:val="auto"/>
                              <w:rPr>
                                <w:rFonts w:hint="eastAsia"/>
                                <w:sz w:val="21"/>
                                <w:szCs w:val="21"/>
                                <w:lang w:val="en-US" w:eastAsia="zh-CN"/>
                              </w:rPr>
                            </w:pPr>
                            <w:r>
                              <w:rPr>
                                <w:rFonts w:hint="eastAsia"/>
                                <w:sz w:val="21"/>
                                <w:szCs w:val="21"/>
                                <w:lang w:val="en-US" w:eastAsia="zh-CN"/>
                              </w:rPr>
                              <w:t xml:space="preserve">    声环境保护范围</w:t>
                            </w:r>
                          </w:p>
                          <w:p w14:paraId="4D8394C4">
                            <w:pPr>
                              <w:pStyle w:val="3"/>
                              <w:keepNext w:val="0"/>
                              <w:keepLines w:val="0"/>
                              <w:pageBreakBefore w:val="0"/>
                              <w:kinsoku/>
                              <w:wordWrap/>
                              <w:overflowPunct/>
                              <w:topLinePunct w:val="0"/>
                              <w:bidi w:val="0"/>
                              <w:adjustRightInd/>
                              <w:spacing w:line="360" w:lineRule="auto"/>
                              <w:jc w:val="right"/>
                              <w:textAlignment w:val="auto"/>
                              <w:rPr>
                                <w:rFonts w:hint="eastAsia"/>
                                <w:sz w:val="21"/>
                                <w:szCs w:val="21"/>
                                <w:lang w:val="en-US" w:eastAsia="zh-CN"/>
                              </w:rPr>
                            </w:pPr>
                            <w:r>
                              <w:rPr>
                                <w:rFonts w:hint="eastAsia"/>
                                <w:sz w:val="21"/>
                                <w:szCs w:val="21"/>
                                <w:lang w:val="en-US" w:eastAsia="zh-CN"/>
                              </w:rPr>
                              <w:t>大气环境保护范围</w:t>
                            </w:r>
                          </w:p>
                          <w:p w14:paraId="19D2C727">
                            <w:pPr>
                              <w:jc w:val="center"/>
                              <w:rPr>
                                <w:rFonts w:hint="default"/>
                                <w:lang w:val="en-US" w:eastAsia="zh-CN"/>
                              </w:rPr>
                            </w:pPr>
                            <w:r>
                              <w:rPr>
                                <w:rFonts w:hint="eastAsia"/>
                                <w:lang w:val="en-US" w:eastAsia="zh-CN"/>
                              </w:rPr>
                              <w:t>比例尺：1：18055</w:t>
                            </w:r>
                          </w:p>
                          <w:p w14:paraId="5368CBEE">
                            <w:pPr>
                              <w:pStyle w:val="4"/>
                              <w:rPr>
                                <w:rFonts w:hint="default"/>
                                <w:lang w:val="en-US" w:eastAsia="zh-CN"/>
                              </w:rPr>
                            </w:pPr>
                          </w:p>
                          <w:p w14:paraId="65EAD092">
                            <w:pPr>
                              <w:pStyle w:val="4"/>
                              <w:rPr>
                                <w:rFonts w:hint="eastAsia"/>
                                <w:lang w:val="en-US" w:eastAsia="zh-CN"/>
                              </w:rPr>
                            </w:pPr>
                          </w:p>
                          <w:p w14:paraId="1599775C">
                            <w:pPr>
                              <w:pStyle w:val="4"/>
                              <w:rPr>
                                <w:rFonts w:hint="eastAsia"/>
                                <w:lang w:val="en-US" w:eastAsia="zh-CN"/>
                              </w:rPr>
                            </w:pPr>
                          </w:p>
                          <w:p w14:paraId="3D50489C">
                            <w:pPr>
                              <w:pStyle w:val="4"/>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3.2pt;margin-top:317.45pt;height:83.35pt;width:135.65pt;z-index:251706368;mso-width-relative:page;mso-height-relative:page;" fillcolor="#FFFFFF [3201]" filled="t" stroked="t" coordsize="21600,21600" o:gfxdata="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8OAn&#10;1tgAAAANAQAADwAAAAAAAAABACAAAAAiAAAAZHJzL2Rvd25yZXYueG1sUEsBAhQAFAAAAAgAh07i&#10;QE7MTCVbAgAAugQAAA4AAAAAAAAAAQAgAAAAJwEAAGRycy9lMm9Eb2MueG1sUEsFBgAAAAAGAAYA&#10;WQEAAPQFAAAAAA==&#10;">
                <v:fill on="t" focussize="0,0"/>
                <v:stroke weight="0.5pt" color="#000000 [3204]" joinstyle="round"/>
                <v:imagedata o:title=""/>
                <o:lock v:ext="edit" aspectratio="f"/>
                <v:textbox>
                  <w:txbxContent>
                    <w:p w14:paraId="36A5BF52">
                      <w:pPr>
                        <w:keepNext w:val="0"/>
                        <w:keepLines w:val="0"/>
                        <w:pageBreakBefore w:val="0"/>
                        <w:kinsoku/>
                        <w:wordWrap/>
                        <w:overflowPunct/>
                        <w:topLinePunct w:val="0"/>
                        <w:bidi w:val="0"/>
                        <w:adjustRightInd/>
                        <w:spacing w:line="360" w:lineRule="auto"/>
                        <w:ind w:right="0"/>
                        <w:jc w:val="center"/>
                        <w:textAlignment w:val="auto"/>
                        <w:rPr>
                          <w:rFonts w:hint="eastAsia"/>
                          <w:b/>
                          <w:bCs/>
                          <w:sz w:val="21"/>
                          <w:szCs w:val="21"/>
                          <w:lang w:val="en-US" w:eastAsia="zh-CN"/>
                        </w:rPr>
                      </w:pPr>
                      <w:r>
                        <w:rPr>
                          <w:rFonts w:hint="eastAsia"/>
                          <w:b/>
                          <w:bCs/>
                          <w:sz w:val="21"/>
                          <w:szCs w:val="21"/>
                          <w:lang w:val="en-US" w:eastAsia="zh-CN"/>
                        </w:rPr>
                        <w:t>图例</w:t>
                      </w:r>
                    </w:p>
                    <w:p w14:paraId="76524914">
                      <w:pPr>
                        <w:pStyle w:val="2"/>
                        <w:keepNext w:val="0"/>
                        <w:keepLines w:val="0"/>
                        <w:pageBreakBefore w:val="0"/>
                        <w:kinsoku/>
                        <w:wordWrap/>
                        <w:overflowPunct/>
                        <w:topLinePunct w:val="0"/>
                        <w:bidi w:val="0"/>
                        <w:adjustRightInd/>
                        <w:spacing w:before="0" w:after="0" w:line="360" w:lineRule="auto"/>
                        <w:ind w:right="0"/>
                        <w:jc w:val="center"/>
                        <w:textAlignment w:val="auto"/>
                        <w:rPr>
                          <w:rFonts w:hint="eastAsia"/>
                          <w:sz w:val="21"/>
                          <w:szCs w:val="21"/>
                          <w:lang w:val="en-US" w:eastAsia="zh-CN"/>
                        </w:rPr>
                      </w:pPr>
                      <w:r>
                        <w:rPr>
                          <w:rFonts w:hint="eastAsia"/>
                          <w:sz w:val="21"/>
                          <w:szCs w:val="21"/>
                          <w:lang w:val="en-US" w:eastAsia="zh-CN"/>
                        </w:rPr>
                        <w:t xml:space="preserve">    声环境保护范围</w:t>
                      </w:r>
                    </w:p>
                    <w:p w14:paraId="4D8394C4">
                      <w:pPr>
                        <w:pStyle w:val="3"/>
                        <w:keepNext w:val="0"/>
                        <w:keepLines w:val="0"/>
                        <w:pageBreakBefore w:val="0"/>
                        <w:kinsoku/>
                        <w:wordWrap/>
                        <w:overflowPunct/>
                        <w:topLinePunct w:val="0"/>
                        <w:bidi w:val="0"/>
                        <w:adjustRightInd/>
                        <w:spacing w:line="360" w:lineRule="auto"/>
                        <w:jc w:val="right"/>
                        <w:textAlignment w:val="auto"/>
                        <w:rPr>
                          <w:rFonts w:hint="eastAsia"/>
                          <w:sz w:val="21"/>
                          <w:szCs w:val="21"/>
                          <w:lang w:val="en-US" w:eastAsia="zh-CN"/>
                        </w:rPr>
                      </w:pPr>
                      <w:r>
                        <w:rPr>
                          <w:rFonts w:hint="eastAsia"/>
                          <w:sz w:val="21"/>
                          <w:szCs w:val="21"/>
                          <w:lang w:val="en-US" w:eastAsia="zh-CN"/>
                        </w:rPr>
                        <w:t>大气环境保护范围</w:t>
                      </w:r>
                    </w:p>
                    <w:p w14:paraId="19D2C727">
                      <w:pPr>
                        <w:jc w:val="center"/>
                        <w:rPr>
                          <w:rFonts w:hint="default"/>
                          <w:lang w:val="en-US" w:eastAsia="zh-CN"/>
                        </w:rPr>
                      </w:pPr>
                      <w:r>
                        <w:rPr>
                          <w:rFonts w:hint="eastAsia"/>
                          <w:lang w:val="en-US" w:eastAsia="zh-CN"/>
                        </w:rPr>
                        <w:t>比例尺：1：18055</w:t>
                      </w:r>
                    </w:p>
                    <w:p w14:paraId="5368CBEE">
                      <w:pPr>
                        <w:pStyle w:val="4"/>
                        <w:rPr>
                          <w:rFonts w:hint="default"/>
                          <w:lang w:val="en-US" w:eastAsia="zh-CN"/>
                        </w:rPr>
                      </w:pPr>
                    </w:p>
                    <w:p w14:paraId="65EAD092">
                      <w:pPr>
                        <w:pStyle w:val="4"/>
                        <w:rPr>
                          <w:rFonts w:hint="eastAsia"/>
                          <w:lang w:val="en-US" w:eastAsia="zh-CN"/>
                        </w:rPr>
                      </w:pPr>
                    </w:p>
                    <w:p w14:paraId="1599775C">
                      <w:pPr>
                        <w:pStyle w:val="4"/>
                        <w:rPr>
                          <w:rFonts w:hint="eastAsia"/>
                          <w:lang w:val="en-US" w:eastAsia="zh-CN"/>
                        </w:rPr>
                      </w:pPr>
                    </w:p>
                    <w:p w14:paraId="3D50489C">
                      <w:pPr>
                        <w:pStyle w:val="4"/>
                        <w:rPr>
                          <w:rFonts w:hint="default"/>
                          <w:lang w:val="en-US" w:eastAsia="zh-CN"/>
                        </w:rPr>
                      </w:pPr>
                    </w:p>
                  </w:txbxContent>
                </v:textbox>
              </v:shape>
            </w:pict>
          </mc:Fallback>
        </mc:AlternateContent>
      </w:r>
      <w:r>
        <w:rPr>
          <w:rFonts w:hint="default" w:ascii="Times New Roman" w:hAnsi="Times New Roman" w:cs="Times New Roman"/>
        </w:rPr>
        <w:drawing>
          <wp:inline distT="0" distB="0" distL="114300" distR="114300">
            <wp:extent cx="8514715" cy="5104765"/>
            <wp:effectExtent l="0" t="0" r="635" b="635"/>
            <wp:docPr id="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8"/>
                    <pic:cNvPicPr>
                      <a:picLocks noChangeAspect="1"/>
                    </pic:cNvPicPr>
                  </pic:nvPicPr>
                  <pic:blipFill>
                    <a:blip r:embed="rId35"/>
                    <a:stretch>
                      <a:fillRect/>
                    </a:stretch>
                  </pic:blipFill>
                  <pic:spPr>
                    <a:xfrm>
                      <a:off x="0" y="0"/>
                      <a:ext cx="8514715" cy="5104765"/>
                    </a:xfrm>
                    <a:prstGeom prst="rect">
                      <a:avLst/>
                    </a:prstGeom>
                    <a:noFill/>
                    <a:ln>
                      <a:noFill/>
                    </a:ln>
                  </pic:spPr>
                </pic:pic>
              </a:graphicData>
            </a:graphic>
          </wp:inline>
        </w:drawing>
      </w:r>
    </w:p>
    <w:p w14:paraId="137FA7C7">
      <w:pPr>
        <w:spacing w:after="120" w:afterLines="50"/>
        <w:jc w:val="center"/>
        <w:outlineLvl w:val="0"/>
        <w:rPr>
          <w:rFonts w:hint="default" w:ascii="Times New Roman" w:hAnsi="Times New Roman" w:eastAsia="黑体" w:cs="Times New Roman"/>
          <w:b w:val="0"/>
          <w:bCs/>
          <w:color w:val="auto"/>
          <w:sz w:val="28"/>
          <w:szCs w:val="28"/>
          <w:lang w:val="en-US" w:eastAsia="zh-CN"/>
        </w:rPr>
      </w:pPr>
      <w:bookmarkStart w:id="75" w:name="_Toc3235"/>
      <w:bookmarkStart w:id="76" w:name="_Toc22957"/>
      <w:bookmarkStart w:id="77" w:name="_Toc13433"/>
      <w:r>
        <w:rPr>
          <w:rFonts w:hint="eastAsia" w:ascii="宋体" w:hAnsi="宋体" w:eastAsia="宋体" w:cs="宋体"/>
          <w:b w:val="0"/>
          <w:bCs/>
          <w:color w:val="auto"/>
          <w:sz w:val="28"/>
          <w:szCs w:val="28"/>
          <w:lang w:val="en-US" w:eastAsia="zh-CN"/>
        </w:rPr>
        <w:t>附图</w:t>
      </w:r>
      <w:r>
        <w:rPr>
          <w:rFonts w:hint="default" w:ascii="Times New Roman" w:hAnsi="Times New Roman" w:eastAsia="黑体" w:cs="Times New Roman"/>
          <w:b w:val="0"/>
          <w:bCs/>
          <w:color w:val="auto"/>
          <w:sz w:val="28"/>
          <w:szCs w:val="28"/>
          <w:lang w:val="en-US" w:eastAsia="zh-CN"/>
        </w:rPr>
        <w:t xml:space="preserve">5 </w:t>
      </w:r>
      <w:r>
        <w:rPr>
          <w:rFonts w:hint="eastAsia" w:ascii="宋体" w:hAnsi="宋体" w:eastAsia="宋体" w:cs="宋体"/>
          <w:b w:val="0"/>
          <w:bCs/>
          <w:color w:val="auto"/>
          <w:sz w:val="28"/>
          <w:szCs w:val="28"/>
          <w:lang w:val="en-US" w:eastAsia="zh-CN"/>
        </w:rPr>
        <w:t>环境保护目标图</w:t>
      </w:r>
      <w:bookmarkEnd w:id="74"/>
      <w:bookmarkEnd w:id="75"/>
      <w:bookmarkEnd w:id="76"/>
      <w:bookmarkEnd w:id="77"/>
    </w:p>
    <w:p w14:paraId="1F8D2F6F">
      <w:pPr>
        <w:pStyle w:val="3"/>
        <w:jc w:val="both"/>
        <w:rPr>
          <w:rFonts w:hint="default" w:ascii="Times New Roman" w:hAnsi="Times New Roman" w:cs="Times New Roman"/>
        </w:rPr>
      </w:pPr>
      <w:r>
        <w:rPr>
          <w:rFonts w:hint="default" w:ascii="Times New Roman" w:hAnsi="Times New Roman" w:cs="Times New Roman"/>
          <w:sz w:val="24"/>
        </w:rPr>
        <mc:AlternateContent>
          <mc:Choice Requires="wps">
            <w:drawing>
              <wp:anchor distT="0" distB="0" distL="114300" distR="114300" simplePos="0" relativeHeight="251719680" behindDoc="0" locked="0" layoutInCell="1" allowOverlap="1">
                <wp:simplePos x="0" y="0"/>
                <wp:positionH relativeFrom="column">
                  <wp:posOffset>6329045</wp:posOffset>
                </wp:positionH>
                <wp:positionV relativeFrom="paragraph">
                  <wp:posOffset>4205605</wp:posOffset>
                </wp:positionV>
                <wp:extent cx="152400" cy="133350"/>
                <wp:effectExtent l="19050" t="19050" r="19050" b="19050"/>
                <wp:wrapNone/>
                <wp:docPr id="119" name="椭圆 119"/>
                <wp:cNvGraphicFramePr/>
                <a:graphic xmlns:a="http://schemas.openxmlformats.org/drawingml/2006/main">
                  <a:graphicData uri="http://schemas.microsoft.com/office/word/2010/wordprocessingShape">
                    <wps:wsp>
                      <wps:cNvSpPr/>
                      <wps:spPr>
                        <a:xfrm>
                          <a:off x="0" y="0"/>
                          <a:ext cx="152400" cy="133350"/>
                        </a:xfrm>
                        <a:prstGeom prst="ellipse">
                          <a:avLst/>
                        </a:prstGeom>
                        <a:noFill/>
                        <a:ln w="38100">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98.35pt;margin-top:331.15pt;height:10.5pt;width:12pt;z-index:251719680;v-text-anchor:middle;mso-width-relative:page;mso-height-relative:page;" filled="f" stroked="t" coordsize="21600,21600" o:gfxdata="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Z6kxs1wAAAAwBAAAPAAAAAAAAAAEAIAAAACIAAABkcnMvZG93bnJldi54&#10;bWxQSwECFAAUAAAACACHTuJAqeWou20CAADRBAAADgAAAAAAAAABACAAAAAmAQAAZHJzL2Uyb0Rv&#10;Yy54bWxQSwUGAAAAAAYABgBZAQAABQYAAAAA&#10;">
                <v:fill on="f" focussize="0,0"/>
                <v:stroke weight="3pt" color="#92D050 [2404]" miterlimit="8" joinstyle="miter"/>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20704" behindDoc="0" locked="0" layoutInCell="1" allowOverlap="1">
                <wp:simplePos x="0" y="0"/>
                <wp:positionH relativeFrom="column">
                  <wp:posOffset>6319520</wp:posOffset>
                </wp:positionH>
                <wp:positionV relativeFrom="paragraph">
                  <wp:posOffset>4519930</wp:posOffset>
                </wp:positionV>
                <wp:extent cx="209550" cy="133350"/>
                <wp:effectExtent l="39370" t="31115" r="55880" b="26035"/>
                <wp:wrapNone/>
                <wp:docPr id="120" name="等腰三角形 120"/>
                <wp:cNvGraphicFramePr/>
                <a:graphic xmlns:a="http://schemas.openxmlformats.org/drawingml/2006/main">
                  <a:graphicData uri="http://schemas.microsoft.com/office/word/2010/wordprocessingShape">
                    <wps:wsp>
                      <wps:cNvSpPr/>
                      <wps:spPr>
                        <a:xfrm>
                          <a:off x="0" y="0"/>
                          <a:ext cx="209550" cy="133350"/>
                        </a:xfrm>
                        <a:prstGeom prst="triangle">
                          <a:avLst/>
                        </a:prstGeom>
                        <a:noFill/>
                        <a:ln w="381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497.6pt;margin-top:355.9pt;height:10.5pt;width:16.5pt;z-index:251720704;v-text-anchor:middle;mso-width-relative:page;mso-height-relative:page;" filled="f" stroked="t" coordsize="21600,21600" o:gfxdata="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jMoY+tgAAAAMAQAADwAAAAAAAAABACAA&#10;AAAiAAAAZHJzL2Rvd25yZXYueG1sUEsBAhQAFAAAAAgAh07iQG1KsJJ/AgAA2wQAAA4AAAAAAAAA&#10;AQAgAAAAJwEAAGRycy9lMm9Eb2MueG1sUEsFBgAAAAAGAAYAWQEAABgGAAAAAA==&#10;" adj="10800">
                <v:fill on="f" focussize="0,0"/>
                <v:stroke weight="3pt" color="#FF0000 [2404]" miterlimit="8" joinstyle="miter"/>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18656" behindDoc="0" locked="0" layoutInCell="1" allowOverlap="1">
                <wp:simplePos x="0" y="0"/>
                <wp:positionH relativeFrom="column">
                  <wp:posOffset>6189980</wp:posOffset>
                </wp:positionH>
                <wp:positionV relativeFrom="paragraph">
                  <wp:posOffset>3913505</wp:posOffset>
                </wp:positionV>
                <wp:extent cx="2244090" cy="1191260"/>
                <wp:effectExtent l="4445" t="4445" r="18415" b="23495"/>
                <wp:wrapNone/>
                <wp:docPr id="118" name="文本框 118"/>
                <wp:cNvGraphicFramePr/>
                <a:graphic xmlns:a="http://schemas.openxmlformats.org/drawingml/2006/main">
                  <a:graphicData uri="http://schemas.microsoft.com/office/word/2010/wordprocessingShape">
                    <wps:wsp>
                      <wps:cNvSpPr txBox="1"/>
                      <wps:spPr>
                        <a:xfrm>
                          <a:off x="7933055" y="4819650"/>
                          <a:ext cx="2244090" cy="11912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40789A5">
                            <w:pPr>
                              <w:keepNext w:val="0"/>
                              <w:keepLines w:val="0"/>
                              <w:pageBreakBefore w:val="0"/>
                              <w:kinsoku/>
                              <w:wordWrap/>
                              <w:overflowPunct/>
                              <w:topLinePunct w:val="0"/>
                              <w:bidi w:val="0"/>
                              <w:adjustRightInd/>
                              <w:spacing w:line="240" w:lineRule="auto"/>
                              <w:ind w:right="0"/>
                              <w:jc w:val="center"/>
                              <w:textAlignment w:val="auto"/>
                              <w:rPr>
                                <w:rFonts w:hint="eastAsia"/>
                                <w:b/>
                                <w:bCs/>
                                <w:color w:val="auto"/>
                                <w:sz w:val="28"/>
                                <w:szCs w:val="28"/>
                                <w:lang w:val="en-US" w:eastAsia="zh-CN"/>
                              </w:rPr>
                            </w:pPr>
                            <w:r>
                              <w:rPr>
                                <w:rFonts w:hint="eastAsia"/>
                                <w:b/>
                                <w:bCs/>
                                <w:color w:val="auto"/>
                                <w:sz w:val="28"/>
                                <w:szCs w:val="28"/>
                                <w:lang w:val="en-US" w:eastAsia="zh-CN"/>
                              </w:rPr>
                              <w:t>图例</w:t>
                            </w:r>
                          </w:p>
                          <w:p w14:paraId="351EF2AC">
                            <w:pPr>
                              <w:pStyle w:val="2"/>
                              <w:keepNext w:val="0"/>
                              <w:keepLines w:val="0"/>
                              <w:pageBreakBefore w:val="0"/>
                              <w:widowControl/>
                              <w:kinsoku/>
                              <w:wordWrap/>
                              <w:overflowPunct/>
                              <w:topLinePunct w:val="0"/>
                              <w:bidi w:val="0"/>
                              <w:adjustRightInd/>
                              <w:spacing w:before="0" w:after="0" w:line="360" w:lineRule="auto"/>
                              <w:ind w:right="0" w:firstLine="480" w:firstLineChars="200"/>
                              <w:jc w:val="both"/>
                              <w:textAlignment w:val="auto"/>
                              <w:rPr>
                                <w:rFonts w:hint="eastAsia"/>
                                <w:sz w:val="24"/>
                                <w:szCs w:val="24"/>
                                <w:lang w:val="en-US" w:eastAsia="zh-CN"/>
                              </w:rPr>
                            </w:pPr>
                            <w:r>
                              <w:rPr>
                                <w:rFonts w:hint="eastAsia"/>
                                <w:sz w:val="24"/>
                                <w:szCs w:val="24"/>
                                <w:lang w:val="en-US" w:eastAsia="zh-CN"/>
                              </w:rPr>
                              <w:t>噪声监测点位</w:t>
                            </w:r>
                          </w:p>
                          <w:p w14:paraId="5C541C9B">
                            <w:pPr>
                              <w:pStyle w:val="3"/>
                              <w:keepNext w:val="0"/>
                              <w:keepLines w:val="0"/>
                              <w:pageBreakBefore w:val="0"/>
                              <w:widowControl/>
                              <w:kinsoku/>
                              <w:wordWrap/>
                              <w:overflowPunct/>
                              <w:topLinePunct w:val="0"/>
                              <w:bidi w:val="0"/>
                              <w:adjustRightInd/>
                              <w:spacing w:line="360" w:lineRule="auto"/>
                              <w:ind w:right="0" w:firstLine="480" w:firstLineChars="200"/>
                              <w:jc w:val="left"/>
                              <w:textAlignment w:val="auto"/>
                              <w:rPr>
                                <w:rFonts w:hint="eastAsia"/>
                                <w:sz w:val="24"/>
                                <w:szCs w:val="24"/>
                                <w:lang w:val="en-US" w:eastAsia="zh-CN"/>
                              </w:rPr>
                            </w:pPr>
                            <w:r>
                              <w:rPr>
                                <w:rFonts w:hint="eastAsia"/>
                                <w:sz w:val="24"/>
                                <w:szCs w:val="24"/>
                                <w:lang w:val="en-US" w:eastAsia="zh-CN"/>
                              </w:rPr>
                              <w:t>厂界无组织废气监测点位</w:t>
                            </w:r>
                          </w:p>
                          <w:p w14:paraId="7D202724">
                            <w:pPr>
                              <w:pStyle w:val="2"/>
                              <w:keepNext w:val="0"/>
                              <w:keepLines w:val="0"/>
                              <w:pageBreakBefore w:val="0"/>
                              <w:widowControl/>
                              <w:kinsoku/>
                              <w:wordWrap/>
                              <w:overflowPunct/>
                              <w:topLinePunct w:val="0"/>
                              <w:bidi w:val="0"/>
                              <w:adjustRightInd/>
                              <w:spacing w:before="0" w:after="0" w:line="360" w:lineRule="auto"/>
                              <w:ind w:right="0"/>
                              <w:jc w:val="center"/>
                              <w:textAlignment w:val="auto"/>
                              <w:rPr>
                                <w:rFonts w:hint="default"/>
                                <w:sz w:val="24"/>
                                <w:szCs w:val="24"/>
                                <w:lang w:val="en-US" w:eastAsia="zh-CN"/>
                              </w:rPr>
                            </w:pPr>
                            <w:r>
                              <w:rPr>
                                <w:rFonts w:hint="eastAsia"/>
                                <w:sz w:val="24"/>
                                <w:szCs w:val="24"/>
                                <w:lang w:val="en-US" w:eastAsia="zh-CN"/>
                              </w:rPr>
                              <w:t>比例尺：1：2256</w:t>
                            </w:r>
                          </w:p>
                          <w:p w14:paraId="64C1133A">
                            <w:pPr>
                              <w:pStyle w:val="4"/>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7.4pt;margin-top:308.15pt;height:93.8pt;width:176.7pt;z-index:251718656;mso-width-relative:page;mso-height-relative:page;" fillcolor="#FFFFFF [3201]" filled="t" stroked="t" coordsize="21600,21600" o:gfxdata="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GT74ErZAAAADAEAAA8AAAAAAAAAAQAgAAAAIgAAAGRycy9kb3ducmV2LnhtbFBL&#10;AQIUABQAAAAIAIdO4kAkJb/BZwIAAMgEAAAOAAAAAAAAAAEAIAAAACgBAABkcnMvZTJvRG9jLnht&#10;bFBLBQYAAAAABgAGAFkBAAABBgAAAAA=&#10;">
                <v:fill on="t" focussize="0,0"/>
                <v:stroke weight="0.5pt" color="#000000 [3204]" joinstyle="round"/>
                <v:imagedata o:title=""/>
                <o:lock v:ext="edit" aspectratio="f"/>
                <v:textbox>
                  <w:txbxContent>
                    <w:p w14:paraId="340789A5">
                      <w:pPr>
                        <w:keepNext w:val="0"/>
                        <w:keepLines w:val="0"/>
                        <w:pageBreakBefore w:val="0"/>
                        <w:kinsoku/>
                        <w:wordWrap/>
                        <w:overflowPunct/>
                        <w:topLinePunct w:val="0"/>
                        <w:bidi w:val="0"/>
                        <w:adjustRightInd/>
                        <w:spacing w:line="240" w:lineRule="auto"/>
                        <w:ind w:right="0"/>
                        <w:jc w:val="center"/>
                        <w:textAlignment w:val="auto"/>
                        <w:rPr>
                          <w:rFonts w:hint="eastAsia"/>
                          <w:b/>
                          <w:bCs/>
                          <w:color w:val="auto"/>
                          <w:sz w:val="28"/>
                          <w:szCs w:val="28"/>
                          <w:lang w:val="en-US" w:eastAsia="zh-CN"/>
                        </w:rPr>
                      </w:pPr>
                      <w:r>
                        <w:rPr>
                          <w:rFonts w:hint="eastAsia"/>
                          <w:b/>
                          <w:bCs/>
                          <w:color w:val="auto"/>
                          <w:sz w:val="28"/>
                          <w:szCs w:val="28"/>
                          <w:lang w:val="en-US" w:eastAsia="zh-CN"/>
                        </w:rPr>
                        <w:t>图例</w:t>
                      </w:r>
                    </w:p>
                    <w:p w14:paraId="351EF2AC">
                      <w:pPr>
                        <w:pStyle w:val="2"/>
                        <w:keepNext w:val="0"/>
                        <w:keepLines w:val="0"/>
                        <w:pageBreakBefore w:val="0"/>
                        <w:widowControl/>
                        <w:kinsoku/>
                        <w:wordWrap/>
                        <w:overflowPunct/>
                        <w:topLinePunct w:val="0"/>
                        <w:bidi w:val="0"/>
                        <w:adjustRightInd/>
                        <w:spacing w:before="0" w:after="0" w:line="360" w:lineRule="auto"/>
                        <w:ind w:right="0" w:firstLine="480" w:firstLineChars="200"/>
                        <w:jc w:val="both"/>
                        <w:textAlignment w:val="auto"/>
                        <w:rPr>
                          <w:rFonts w:hint="eastAsia"/>
                          <w:sz w:val="24"/>
                          <w:szCs w:val="24"/>
                          <w:lang w:val="en-US" w:eastAsia="zh-CN"/>
                        </w:rPr>
                      </w:pPr>
                      <w:r>
                        <w:rPr>
                          <w:rFonts w:hint="eastAsia"/>
                          <w:sz w:val="24"/>
                          <w:szCs w:val="24"/>
                          <w:lang w:val="en-US" w:eastAsia="zh-CN"/>
                        </w:rPr>
                        <w:t>噪声监测点位</w:t>
                      </w:r>
                    </w:p>
                    <w:p w14:paraId="5C541C9B">
                      <w:pPr>
                        <w:pStyle w:val="3"/>
                        <w:keepNext w:val="0"/>
                        <w:keepLines w:val="0"/>
                        <w:pageBreakBefore w:val="0"/>
                        <w:widowControl/>
                        <w:kinsoku/>
                        <w:wordWrap/>
                        <w:overflowPunct/>
                        <w:topLinePunct w:val="0"/>
                        <w:bidi w:val="0"/>
                        <w:adjustRightInd/>
                        <w:spacing w:line="360" w:lineRule="auto"/>
                        <w:ind w:right="0" w:firstLine="480" w:firstLineChars="200"/>
                        <w:jc w:val="left"/>
                        <w:textAlignment w:val="auto"/>
                        <w:rPr>
                          <w:rFonts w:hint="eastAsia"/>
                          <w:sz w:val="24"/>
                          <w:szCs w:val="24"/>
                          <w:lang w:val="en-US" w:eastAsia="zh-CN"/>
                        </w:rPr>
                      </w:pPr>
                      <w:r>
                        <w:rPr>
                          <w:rFonts w:hint="eastAsia"/>
                          <w:sz w:val="24"/>
                          <w:szCs w:val="24"/>
                          <w:lang w:val="en-US" w:eastAsia="zh-CN"/>
                        </w:rPr>
                        <w:t>厂界无组织废气监测点位</w:t>
                      </w:r>
                    </w:p>
                    <w:p w14:paraId="7D202724">
                      <w:pPr>
                        <w:pStyle w:val="2"/>
                        <w:keepNext w:val="0"/>
                        <w:keepLines w:val="0"/>
                        <w:pageBreakBefore w:val="0"/>
                        <w:widowControl/>
                        <w:kinsoku/>
                        <w:wordWrap/>
                        <w:overflowPunct/>
                        <w:topLinePunct w:val="0"/>
                        <w:bidi w:val="0"/>
                        <w:adjustRightInd/>
                        <w:spacing w:before="0" w:after="0" w:line="360" w:lineRule="auto"/>
                        <w:ind w:right="0"/>
                        <w:jc w:val="center"/>
                        <w:textAlignment w:val="auto"/>
                        <w:rPr>
                          <w:rFonts w:hint="default"/>
                          <w:sz w:val="24"/>
                          <w:szCs w:val="24"/>
                          <w:lang w:val="en-US" w:eastAsia="zh-CN"/>
                        </w:rPr>
                      </w:pPr>
                      <w:r>
                        <w:rPr>
                          <w:rFonts w:hint="eastAsia"/>
                          <w:sz w:val="24"/>
                          <w:szCs w:val="24"/>
                          <w:lang w:val="en-US" w:eastAsia="zh-CN"/>
                        </w:rPr>
                        <w:t>比例尺：1：2256</w:t>
                      </w:r>
                    </w:p>
                    <w:p w14:paraId="64C1133A">
                      <w:pPr>
                        <w:pStyle w:val="4"/>
                        <w:rPr>
                          <w:rFonts w:hint="default"/>
                          <w:lang w:val="en-US" w:eastAsia="zh-CN"/>
                        </w:rPr>
                      </w:pP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15584" behindDoc="0" locked="0" layoutInCell="1" allowOverlap="1">
                <wp:simplePos x="0" y="0"/>
                <wp:positionH relativeFrom="column">
                  <wp:posOffset>6386195</wp:posOffset>
                </wp:positionH>
                <wp:positionV relativeFrom="paragraph">
                  <wp:posOffset>633730</wp:posOffset>
                </wp:positionV>
                <wp:extent cx="209550" cy="190500"/>
                <wp:effectExtent l="32385" t="39370" r="43815" b="36830"/>
                <wp:wrapNone/>
                <wp:docPr id="114" name="等腰三角形 114"/>
                <wp:cNvGraphicFramePr/>
                <a:graphic xmlns:a="http://schemas.openxmlformats.org/drawingml/2006/main">
                  <a:graphicData uri="http://schemas.microsoft.com/office/word/2010/wordprocessingShape">
                    <wps:wsp>
                      <wps:cNvSpPr/>
                      <wps:spPr>
                        <a:xfrm>
                          <a:off x="0" y="0"/>
                          <a:ext cx="209550" cy="190500"/>
                        </a:xfrm>
                        <a:prstGeom prst="triangle">
                          <a:avLst/>
                        </a:prstGeom>
                        <a:noFill/>
                        <a:ln w="381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502.85pt;margin-top:49.9pt;height:15pt;width:16.5pt;z-index:251715584;v-text-anchor:middle;mso-width-relative:page;mso-height-relative:page;" filled="f" stroked="t" coordsize="21600,21600" o:gfxdata="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KmSTKTVAAAADAEAAA8AAAAAAAAAAQAgAAAA&#10;IgAAAGRycy9kb3ducmV2LnhtbFBLAQIUABQAAAAIAIdO4kBafdFAgAIAANsEAAAOAAAAAAAAAAEA&#10;IAAAACQBAABkcnMvZTJvRG9jLnhtbFBLBQYAAAAABgAGAFkBAAAWBgAAAAA=&#10;" adj="10800">
                <v:fill on="f" focussize="0,0"/>
                <v:stroke weight="3pt" color="#FF0000 [2404]" miterlimit="8" joinstyle="miter"/>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16608" behindDoc="0" locked="0" layoutInCell="1" allowOverlap="1">
                <wp:simplePos x="0" y="0"/>
                <wp:positionH relativeFrom="column">
                  <wp:posOffset>6605270</wp:posOffset>
                </wp:positionH>
                <wp:positionV relativeFrom="paragraph">
                  <wp:posOffset>1548130</wp:posOffset>
                </wp:positionV>
                <wp:extent cx="209550" cy="190500"/>
                <wp:effectExtent l="32385" t="39370" r="43815" b="36830"/>
                <wp:wrapNone/>
                <wp:docPr id="116" name="等腰三角形 116"/>
                <wp:cNvGraphicFramePr/>
                <a:graphic xmlns:a="http://schemas.openxmlformats.org/drawingml/2006/main">
                  <a:graphicData uri="http://schemas.microsoft.com/office/word/2010/wordprocessingShape">
                    <wps:wsp>
                      <wps:cNvSpPr/>
                      <wps:spPr>
                        <a:xfrm>
                          <a:off x="0" y="0"/>
                          <a:ext cx="209550" cy="190500"/>
                        </a:xfrm>
                        <a:prstGeom prst="triangle">
                          <a:avLst/>
                        </a:prstGeom>
                        <a:noFill/>
                        <a:ln w="381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520.1pt;margin-top:121.9pt;height:15pt;width:16.5pt;z-index:251716608;v-text-anchor:middle;mso-width-relative:page;mso-height-relative:page;" filled="f" stroked="t" coordsize="21600,21600" o:gfxdata="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eTDSptcAAAANAQAADwAAAAAAAAABACAA&#10;AAAiAAAAZHJzL2Rvd25yZXYueG1sUEsBAhQAFAAAAAgAh07iQODDw1OAAgAA2wQAAA4AAAAAAAAA&#10;AQAgAAAAJgEAAGRycy9lMm9Eb2MueG1sUEsFBgAAAAAGAAYAWQEAABgGAAAAAA==&#10;" adj="10800">
                <v:fill on="f" focussize="0,0"/>
                <v:stroke weight="3pt" color="#FF0000 [2404]" miterlimit="8" joinstyle="miter"/>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17632" behindDoc="0" locked="0" layoutInCell="1" allowOverlap="1">
                <wp:simplePos x="0" y="0"/>
                <wp:positionH relativeFrom="column">
                  <wp:posOffset>6614795</wp:posOffset>
                </wp:positionH>
                <wp:positionV relativeFrom="paragraph">
                  <wp:posOffset>2957830</wp:posOffset>
                </wp:positionV>
                <wp:extent cx="209550" cy="190500"/>
                <wp:effectExtent l="32385" t="39370" r="43815" b="36830"/>
                <wp:wrapNone/>
                <wp:docPr id="117" name="等腰三角形 117"/>
                <wp:cNvGraphicFramePr/>
                <a:graphic xmlns:a="http://schemas.openxmlformats.org/drawingml/2006/main">
                  <a:graphicData uri="http://schemas.microsoft.com/office/word/2010/wordprocessingShape">
                    <wps:wsp>
                      <wps:cNvSpPr/>
                      <wps:spPr>
                        <a:xfrm>
                          <a:off x="0" y="0"/>
                          <a:ext cx="209550" cy="190500"/>
                        </a:xfrm>
                        <a:prstGeom prst="triangle">
                          <a:avLst/>
                        </a:prstGeom>
                        <a:noFill/>
                        <a:ln w="381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520.85pt;margin-top:232.9pt;height:15pt;width:16.5pt;z-index:251717632;v-text-anchor:middle;mso-width-relative:page;mso-height-relative:page;" filled="f" stroked="t" coordsize="21600,21600" o:gfxdata="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WUPLuNcAAAANAQAADwAAAAAAAAABACAA&#10;AAAiAAAAZHJzL2Rvd25yZXYueG1sUEsBAhQAFAAAAAgAh07iQL2cSlqAAgAA2wQAAA4AAAAAAAAA&#10;AQAgAAAAJgEAAGRycy9lMm9Eb2MueG1sUEsFBgAAAAAGAAYAWQEAABgGAAAAAA==&#10;" adj="10800">
                <v:fill on="f" focussize="0,0"/>
                <v:stroke weight="3pt" color="#FF0000 [2404]" miterlimit="8" joinstyle="miter"/>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14560" behindDoc="0" locked="0" layoutInCell="1" allowOverlap="1">
                <wp:simplePos x="0" y="0"/>
                <wp:positionH relativeFrom="column">
                  <wp:posOffset>1680845</wp:posOffset>
                </wp:positionH>
                <wp:positionV relativeFrom="paragraph">
                  <wp:posOffset>1986280</wp:posOffset>
                </wp:positionV>
                <wp:extent cx="209550" cy="190500"/>
                <wp:effectExtent l="32385" t="39370" r="43815" b="36830"/>
                <wp:wrapNone/>
                <wp:docPr id="113" name="等腰三角形 113"/>
                <wp:cNvGraphicFramePr/>
                <a:graphic xmlns:a="http://schemas.openxmlformats.org/drawingml/2006/main">
                  <a:graphicData uri="http://schemas.microsoft.com/office/word/2010/wordprocessingShape">
                    <wps:wsp>
                      <wps:cNvSpPr/>
                      <wps:spPr>
                        <a:xfrm>
                          <a:off x="2789555" y="2948940"/>
                          <a:ext cx="209550" cy="190500"/>
                        </a:xfrm>
                        <a:prstGeom prst="triangle">
                          <a:avLst/>
                        </a:prstGeom>
                        <a:noFill/>
                        <a:ln w="381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132.35pt;margin-top:156.4pt;height:15pt;width:16.5pt;z-index:251714560;v-text-anchor:middle;mso-width-relative:page;mso-height-relative:page;" filled="f" stroked="t" coordsize="21600,21600" o:gfxdata="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JpXvcNcAAAALAQAA&#10;DwAAAAAAAAABACAAAAAiAAAAZHJzL2Rvd25yZXYueG1sUEsBAhQAFAAAAAgAh07iQJd3fL6MAgAA&#10;5wQAAA4AAAAAAAAAAQAgAAAAJgEAAGRycy9lMm9Eb2MueG1sUEsFBgAAAAAGAAYAWQEAACQGAAAA&#10;AA==&#10;" adj="10800">
                <v:fill on="f" focussize="0,0"/>
                <v:stroke weight="3pt" color="#FF0000 [2404]" miterlimit="8" joinstyle="miter"/>
                <v:imagedata o:title=""/>
                <o:lock v:ext="edit" aspectratio="f"/>
              </v:shape>
            </w:pict>
          </mc:Fallback>
        </mc:AlternateContent>
      </w:r>
      <w:r>
        <w:rPr>
          <w:rFonts w:hint="default" w:ascii="Times New Roman" w:hAnsi="Times New Roman" w:cs="Times New Roman"/>
        </w:rPr>
        <w:drawing>
          <wp:inline distT="0" distB="0" distL="114300" distR="114300">
            <wp:extent cx="8453120" cy="5123815"/>
            <wp:effectExtent l="0" t="0" r="5080" b="635"/>
            <wp:docPr id="107" name="图片 9"/>
            <wp:cNvGraphicFramePr/>
            <a:graphic xmlns:a="http://schemas.openxmlformats.org/drawingml/2006/main">
              <a:graphicData uri="http://schemas.openxmlformats.org/drawingml/2006/picture">
                <pic:pic xmlns:pic="http://schemas.openxmlformats.org/drawingml/2006/picture">
                  <pic:nvPicPr>
                    <pic:cNvPr id="107" name="图片 9"/>
                    <pic:cNvPicPr/>
                  </pic:nvPicPr>
                  <pic:blipFill>
                    <a:blip r:embed="rId36"/>
                    <a:stretch>
                      <a:fillRect/>
                    </a:stretch>
                  </pic:blipFill>
                  <pic:spPr>
                    <a:xfrm>
                      <a:off x="0" y="0"/>
                      <a:ext cx="8453120" cy="5123815"/>
                    </a:xfrm>
                    <a:prstGeom prst="rect">
                      <a:avLst/>
                    </a:prstGeom>
                    <a:noFill/>
                    <a:ln>
                      <a:noFill/>
                    </a:ln>
                  </pic:spPr>
                </pic:pic>
              </a:graphicData>
            </a:graphic>
          </wp:inline>
        </w:drawing>
      </w:r>
      <w:r>
        <w:rPr>
          <w:rFonts w:hint="default" w:ascii="Times New Roman" w:hAnsi="Times New Roman" w:cs="Times New Roman"/>
          <w:sz w:val="24"/>
        </w:rPr>
        <mc:AlternateContent>
          <mc:Choice Requires="wps">
            <w:drawing>
              <wp:anchor distT="0" distB="0" distL="114300" distR="114300" simplePos="0" relativeHeight="251712512" behindDoc="0" locked="0" layoutInCell="1" allowOverlap="1">
                <wp:simplePos x="0" y="0"/>
                <wp:positionH relativeFrom="column">
                  <wp:posOffset>1699895</wp:posOffset>
                </wp:positionH>
                <wp:positionV relativeFrom="paragraph">
                  <wp:posOffset>1757680</wp:posOffset>
                </wp:positionV>
                <wp:extent cx="152400" cy="133350"/>
                <wp:effectExtent l="19050" t="19050" r="19050" b="19050"/>
                <wp:wrapNone/>
                <wp:docPr id="111" name="椭圆 111"/>
                <wp:cNvGraphicFramePr/>
                <a:graphic xmlns:a="http://schemas.openxmlformats.org/drawingml/2006/main">
                  <a:graphicData uri="http://schemas.microsoft.com/office/word/2010/wordprocessingShape">
                    <wps:wsp>
                      <wps:cNvSpPr/>
                      <wps:spPr>
                        <a:xfrm>
                          <a:off x="0" y="0"/>
                          <a:ext cx="152400" cy="133350"/>
                        </a:xfrm>
                        <a:prstGeom prst="ellipse">
                          <a:avLst/>
                        </a:prstGeom>
                        <a:noFill/>
                        <a:ln w="38100">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33.85pt;margin-top:138.4pt;height:10.5pt;width:12pt;z-index:251712512;v-text-anchor:middle;mso-width-relative:page;mso-height-relative:page;" filled="f" stroked="t" coordsize="21600,21600" o:gfxdata="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EAAAijWAAAACwEAAA8AAAAAAAAAAQAgAAAAIgAAAGRycy9kb3ducmV2Lnht&#10;bFBLAQIUABQAAAAIAIdO4kAKyA+cbQIAANEEAAAOAAAAAAAAAAEAIAAAACUBAABkcnMvZTJvRG9j&#10;LnhtbFBLBQYAAAAABgAGAFkBAAAEBgAAAAA=&#10;">
                <v:fill on="f" focussize="0,0"/>
                <v:stroke weight="3pt" color="#92D050 [2404]" miterlimit="8" joinstyle="miter"/>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13536" behindDoc="0" locked="0" layoutInCell="1" allowOverlap="1">
                <wp:simplePos x="0" y="0"/>
                <wp:positionH relativeFrom="column">
                  <wp:posOffset>6376670</wp:posOffset>
                </wp:positionH>
                <wp:positionV relativeFrom="paragraph">
                  <wp:posOffset>1843405</wp:posOffset>
                </wp:positionV>
                <wp:extent cx="152400" cy="133350"/>
                <wp:effectExtent l="19050" t="19050" r="19050" b="19050"/>
                <wp:wrapNone/>
                <wp:docPr id="112" name="椭圆 112"/>
                <wp:cNvGraphicFramePr/>
                <a:graphic xmlns:a="http://schemas.openxmlformats.org/drawingml/2006/main">
                  <a:graphicData uri="http://schemas.microsoft.com/office/word/2010/wordprocessingShape">
                    <wps:wsp>
                      <wps:cNvSpPr/>
                      <wps:spPr>
                        <a:xfrm>
                          <a:off x="0" y="0"/>
                          <a:ext cx="152400" cy="133350"/>
                        </a:xfrm>
                        <a:prstGeom prst="ellipse">
                          <a:avLst/>
                        </a:prstGeom>
                        <a:noFill/>
                        <a:ln w="38100">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02.1pt;margin-top:145.15pt;height:10.5pt;width:12pt;z-index:251713536;v-text-anchor:middle;mso-width-relative:page;mso-height-relative:page;" filled="f" stroked="t" coordsize="21600,21600" o:gfxdata="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jAwyidgAAAANAQAADwAAAAAAAAABACAAAAAiAAAAZHJzL2Rvd25yZXYu&#10;eG1sUEsBAhQAFAAAAAgAh07iQD5FxEdtAgAA0QQAAA4AAAAAAAAAAQAgAAAAJwEAAGRycy9lMm9E&#10;b2MueG1sUEsFBgAAAAAGAAYAWQEAAAYGAAAAAA==&#10;">
                <v:fill on="f" focussize="0,0"/>
                <v:stroke weight="3pt" color="#92D050 [2404]" miterlimit="8" joinstyle="miter"/>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11488" behindDoc="0" locked="0" layoutInCell="1" allowOverlap="1">
                <wp:simplePos x="0" y="0"/>
                <wp:positionH relativeFrom="column">
                  <wp:posOffset>3862070</wp:posOffset>
                </wp:positionH>
                <wp:positionV relativeFrom="paragraph">
                  <wp:posOffset>2853055</wp:posOffset>
                </wp:positionV>
                <wp:extent cx="152400" cy="133350"/>
                <wp:effectExtent l="19050" t="19050" r="19050" b="19050"/>
                <wp:wrapNone/>
                <wp:docPr id="110" name="椭圆 110"/>
                <wp:cNvGraphicFramePr/>
                <a:graphic xmlns:a="http://schemas.openxmlformats.org/drawingml/2006/main">
                  <a:graphicData uri="http://schemas.microsoft.com/office/word/2010/wordprocessingShape">
                    <wps:wsp>
                      <wps:cNvSpPr/>
                      <wps:spPr>
                        <a:xfrm>
                          <a:off x="0" y="0"/>
                          <a:ext cx="152400" cy="133350"/>
                        </a:xfrm>
                        <a:prstGeom prst="ellipse">
                          <a:avLst/>
                        </a:prstGeom>
                        <a:noFill/>
                        <a:ln w="38100">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4.1pt;margin-top:224.65pt;height:10.5pt;width:12pt;z-index:251711488;v-text-anchor:middle;mso-width-relative:page;mso-height-relative:page;" filled="f" stroked="t" coordsize="21600,21600" o:gfxdata="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NnULATXAAAACwEAAA8AAAAAAAAAAQAgAAAAIgAAAGRycy9kb3ducmV2Lnht&#10;bFBLAQIUABQAAAAIAIdO4kDmTEnVbAIAANEEAAAOAAAAAAAAAAEAIAAAACYBAABkcnMvZTJvRG9j&#10;LnhtbFBLBQYAAAAABgAGAFkBAAAEBgAAAAA=&#10;">
                <v:fill on="f" focussize="0,0"/>
                <v:stroke weight="3pt" color="#92D050 [2404]" miterlimit="8" joinstyle="miter"/>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10464" behindDoc="0" locked="0" layoutInCell="1" allowOverlap="1">
                <wp:simplePos x="0" y="0"/>
                <wp:positionH relativeFrom="column">
                  <wp:posOffset>3823970</wp:posOffset>
                </wp:positionH>
                <wp:positionV relativeFrom="paragraph">
                  <wp:posOffset>824230</wp:posOffset>
                </wp:positionV>
                <wp:extent cx="152400" cy="133350"/>
                <wp:effectExtent l="19050" t="19050" r="19050" b="19050"/>
                <wp:wrapNone/>
                <wp:docPr id="109" name="椭圆 109"/>
                <wp:cNvGraphicFramePr/>
                <a:graphic xmlns:a="http://schemas.openxmlformats.org/drawingml/2006/main">
                  <a:graphicData uri="http://schemas.microsoft.com/office/word/2010/wordprocessingShape">
                    <wps:wsp>
                      <wps:cNvSpPr/>
                      <wps:spPr>
                        <a:xfrm>
                          <a:off x="4904105" y="1796415"/>
                          <a:ext cx="152400" cy="133350"/>
                        </a:xfrm>
                        <a:prstGeom prst="ellipse">
                          <a:avLst/>
                        </a:prstGeom>
                        <a:noFill/>
                        <a:ln w="38100">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1.1pt;margin-top:64.9pt;height:10.5pt;width:12pt;z-index:251710464;v-text-anchor:middle;mso-width-relative:page;mso-height-relative:page;" filled="f" stroked="t" coordsize="21600,21600" o:gfxdata="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&#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ABQXA1QAAAAsBAAAPAAAAAAAAAAEAIAAAACIAAABk&#10;cnMvZG93bnJldi54bWxQSwECFAAUAAAACACHTuJAGY3ZTHsCAADdBAAADgAAAAAAAAABACAAAAAk&#10;AQAAZHJzL2Uyb0RvYy54bWxQSwUGAAAAAAYABgBZAQAAEQYAAAAA&#10;">
                <v:fill on="f" focussize="0,0"/>
                <v:stroke weight="3pt" color="#92D050 [2404]" miterlimit="8" joinstyle="miter"/>
                <v:imagedata o:title=""/>
                <o:lock v:ext="edit" aspectratio="f"/>
              </v:shape>
            </w:pict>
          </mc:Fallback>
        </mc:AlternateContent>
      </w:r>
      <w:r>
        <w:rPr>
          <w:rFonts w:hint="default" w:ascii="Times New Roman" w:hAnsi="Times New Roman" w:cs="Times New Roman"/>
          <w:color w:val="auto"/>
          <w:highlight w:val="none"/>
        </w:rPr>
        <w:drawing>
          <wp:anchor distT="0" distB="0" distL="114300" distR="114300" simplePos="0" relativeHeight="251709440" behindDoc="0" locked="0" layoutInCell="1" allowOverlap="1">
            <wp:simplePos x="0" y="0"/>
            <wp:positionH relativeFrom="column">
              <wp:posOffset>7722235</wp:posOffset>
            </wp:positionH>
            <wp:positionV relativeFrom="paragraph">
              <wp:posOffset>8255</wp:posOffset>
            </wp:positionV>
            <wp:extent cx="721360" cy="711835"/>
            <wp:effectExtent l="0" t="0" r="2540" b="12065"/>
            <wp:wrapNone/>
            <wp:docPr id="10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6"/>
                    <pic:cNvPicPr>
                      <a:picLocks noChangeAspect="1"/>
                    </pic:cNvPicPr>
                  </pic:nvPicPr>
                  <pic:blipFill>
                    <a:blip r:embed="rId29"/>
                    <a:stretch>
                      <a:fillRect/>
                    </a:stretch>
                  </pic:blipFill>
                  <pic:spPr>
                    <a:xfrm>
                      <a:off x="0" y="0"/>
                      <a:ext cx="721360" cy="711835"/>
                    </a:xfrm>
                    <a:prstGeom prst="rect">
                      <a:avLst/>
                    </a:prstGeom>
                    <a:noFill/>
                    <a:ln>
                      <a:noFill/>
                    </a:ln>
                  </pic:spPr>
                </pic:pic>
              </a:graphicData>
            </a:graphic>
          </wp:anchor>
        </w:drawing>
      </w:r>
    </w:p>
    <w:p w14:paraId="56508699">
      <w:pPr>
        <w:pStyle w:val="4"/>
        <w:rPr>
          <w:rFonts w:hint="default" w:ascii="Times New Roman" w:hAnsi="Times New Roman" w:cs="Times New Roman"/>
        </w:rPr>
      </w:pPr>
    </w:p>
    <w:p w14:paraId="1885AB9B">
      <w:pPr>
        <w:pStyle w:val="5"/>
        <w:bidi w:val="0"/>
        <w:ind w:left="432" w:leftChars="0" w:hanging="432" w:firstLineChars="0"/>
        <w:jc w:val="center"/>
        <w:outlineLvl w:val="0"/>
        <w:rPr>
          <w:rFonts w:hint="default" w:ascii="Times New Roman" w:hAnsi="Times New Roman" w:cs="Times New Roman"/>
          <w:b w:val="0"/>
          <w:bCs w:val="0"/>
          <w:sz w:val="28"/>
          <w:szCs w:val="28"/>
          <w:lang w:val="en-US" w:eastAsia="zh-CN"/>
        </w:rPr>
      </w:pPr>
      <w:bookmarkStart w:id="78" w:name="_Toc17144"/>
      <w:r>
        <w:rPr>
          <w:rFonts w:hint="eastAsia" w:ascii="宋体" w:hAnsi="宋体" w:eastAsia="宋体" w:cs="宋体"/>
          <w:b w:val="0"/>
          <w:bCs w:val="0"/>
          <w:sz w:val="28"/>
          <w:szCs w:val="28"/>
          <w:lang w:val="en-US" w:eastAsia="zh-CN"/>
        </w:rPr>
        <w:t>附图</w:t>
      </w:r>
      <w:r>
        <w:rPr>
          <w:rFonts w:hint="default" w:ascii="Times New Roman" w:hAnsi="Times New Roman" w:cs="Times New Roman"/>
          <w:b w:val="0"/>
          <w:bCs w:val="0"/>
          <w:sz w:val="28"/>
          <w:szCs w:val="28"/>
          <w:lang w:val="en-US" w:eastAsia="zh-CN"/>
        </w:rPr>
        <w:t xml:space="preserve">6 </w:t>
      </w:r>
      <w:r>
        <w:rPr>
          <w:rFonts w:hint="eastAsia" w:ascii="宋体" w:hAnsi="宋体" w:eastAsia="宋体" w:cs="宋体"/>
          <w:b w:val="0"/>
          <w:bCs w:val="0"/>
          <w:sz w:val="28"/>
          <w:szCs w:val="28"/>
          <w:lang w:val="en-US" w:eastAsia="zh-CN"/>
        </w:rPr>
        <w:t>监测点位示意图</w:t>
      </w:r>
      <w:bookmarkEnd w:id="78"/>
    </w:p>
    <w:p w14:paraId="369CA0A3">
      <w:pPr>
        <w:rPr>
          <w:rFonts w:hint="default" w:ascii="Times New Roman" w:hAnsi="Times New Roman" w:cs="Times New Roman"/>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5B4391E8">
      <w:pPr>
        <w:jc w:val="center"/>
        <w:rPr>
          <w:rFonts w:hint="default" w:ascii="Times New Roman" w:hAnsi="Times New Roman" w:cs="Times New Roman"/>
          <w:color w:val="auto"/>
        </w:rPr>
      </w:pPr>
    </w:p>
    <w:tbl>
      <w:tblPr>
        <w:tblStyle w:val="21"/>
        <w:tblW w:w="46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2"/>
        <w:gridCol w:w="4244"/>
      </w:tblGrid>
      <w:tr w14:paraId="4BDDF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1" w:hRule="atLeast"/>
          <w:jc w:val="center"/>
        </w:trPr>
        <w:tc>
          <w:tcPr>
            <w:tcW w:w="2505" w:type="pct"/>
            <w:noWrap w:val="0"/>
            <w:vAlign w:val="center"/>
          </w:tcPr>
          <w:p w14:paraId="0C4D5C8B">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both"/>
              <w:textAlignment w:val="auto"/>
              <w:rPr>
                <w:rFonts w:hint="default" w:ascii="Times New Roman" w:hAnsi="Times New Roman" w:eastAsia="宋体" w:cs="Times New Roman"/>
                <w:color w:val="auto"/>
                <w:spacing w:val="0"/>
                <w:kern w:val="2"/>
                <w:sz w:val="21"/>
                <w:szCs w:val="24"/>
                <w:vertAlign w:val="baseline"/>
                <w:lang w:val="en-US" w:eastAsia="zh-CN" w:bidi="ar-SA"/>
              </w:rPr>
            </w:pPr>
            <w:r>
              <w:rPr>
                <w:rFonts w:hint="default" w:ascii="Times New Roman" w:hAnsi="Times New Roman" w:cs="Times New Roman"/>
              </w:rPr>
              <w:drawing>
                <wp:inline distT="0" distB="0" distL="114300" distR="114300">
                  <wp:extent cx="2626360" cy="2088515"/>
                  <wp:effectExtent l="0" t="0" r="2540" b="6985"/>
                  <wp:docPr id="61" name="图片 12"/>
                  <wp:cNvGraphicFramePr/>
                  <a:graphic xmlns:a="http://schemas.openxmlformats.org/drawingml/2006/main">
                    <a:graphicData uri="http://schemas.openxmlformats.org/drawingml/2006/picture">
                      <pic:pic xmlns:pic="http://schemas.openxmlformats.org/drawingml/2006/picture">
                        <pic:nvPicPr>
                          <pic:cNvPr id="61" name="图片 12"/>
                          <pic:cNvPicPr/>
                        </pic:nvPicPr>
                        <pic:blipFill>
                          <a:blip r:embed="rId37"/>
                          <a:stretch>
                            <a:fillRect/>
                          </a:stretch>
                        </pic:blipFill>
                        <pic:spPr>
                          <a:xfrm>
                            <a:off x="0" y="0"/>
                            <a:ext cx="2626360" cy="2088515"/>
                          </a:xfrm>
                          <a:prstGeom prst="rect">
                            <a:avLst/>
                          </a:prstGeom>
                          <a:noFill/>
                          <a:ln>
                            <a:noFill/>
                          </a:ln>
                        </pic:spPr>
                      </pic:pic>
                    </a:graphicData>
                  </a:graphic>
                </wp:inline>
              </w:drawing>
            </w:r>
          </w:p>
        </w:tc>
        <w:tc>
          <w:tcPr>
            <w:tcW w:w="2494" w:type="pct"/>
            <w:noWrap w:val="0"/>
            <w:vAlign w:val="center"/>
          </w:tcPr>
          <w:p w14:paraId="363AD8D4">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auto"/>
                <w:spacing w:val="0"/>
                <w:kern w:val="2"/>
                <w:sz w:val="21"/>
                <w:szCs w:val="24"/>
                <w:vertAlign w:val="baseline"/>
                <w:lang w:val="en-US" w:eastAsia="zh-CN" w:bidi="ar-SA"/>
              </w:rPr>
            </w:pPr>
            <w:r>
              <w:rPr>
                <w:rFonts w:hint="default" w:ascii="Times New Roman" w:hAnsi="Times New Roman" w:cs="Times New Roman"/>
              </w:rPr>
              <w:drawing>
                <wp:inline distT="0" distB="0" distL="114300" distR="114300">
                  <wp:extent cx="2576195" cy="2072640"/>
                  <wp:effectExtent l="0" t="0" r="14605" b="3810"/>
                  <wp:docPr id="62" name="图片 13"/>
                  <wp:cNvGraphicFramePr/>
                  <a:graphic xmlns:a="http://schemas.openxmlformats.org/drawingml/2006/main">
                    <a:graphicData uri="http://schemas.openxmlformats.org/drawingml/2006/picture">
                      <pic:pic xmlns:pic="http://schemas.openxmlformats.org/drawingml/2006/picture">
                        <pic:nvPicPr>
                          <pic:cNvPr id="62" name="图片 13"/>
                          <pic:cNvPicPr/>
                        </pic:nvPicPr>
                        <pic:blipFill>
                          <a:blip r:embed="rId38"/>
                          <a:stretch>
                            <a:fillRect/>
                          </a:stretch>
                        </pic:blipFill>
                        <pic:spPr>
                          <a:xfrm>
                            <a:off x="0" y="0"/>
                            <a:ext cx="2576195" cy="2072640"/>
                          </a:xfrm>
                          <a:prstGeom prst="rect">
                            <a:avLst/>
                          </a:prstGeom>
                          <a:noFill/>
                          <a:ln>
                            <a:noFill/>
                          </a:ln>
                        </pic:spPr>
                      </pic:pic>
                    </a:graphicData>
                  </a:graphic>
                </wp:inline>
              </w:drawing>
            </w:r>
          </w:p>
        </w:tc>
      </w:tr>
      <w:tr w14:paraId="215BE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5" w:type="pct"/>
            <w:noWrap w:val="0"/>
            <w:vAlign w:val="center"/>
          </w:tcPr>
          <w:p w14:paraId="2FD6968C">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auto"/>
                <w:spacing w:val="0"/>
                <w:kern w:val="2"/>
                <w:sz w:val="21"/>
                <w:szCs w:val="24"/>
                <w:vertAlign w:val="baseline"/>
                <w:lang w:val="en-US" w:eastAsia="zh-CN" w:bidi="ar-SA"/>
              </w:rPr>
            </w:pPr>
            <w:r>
              <w:rPr>
                <w:rFonts w:hint="default" w:ascii="Times New Roman" w:hAnsi="Times New Roman" w:eastAsia="宋体" w:cs="Times New Roman"/>
                <w:color w:val="auto"/>
                <w:spacing w:val="0"/>
                <w:kern w:val="2"/>
                <w:sz w:val="21"/>
                <w:szCs w:val="24"/>
                <w:vertAlign w:val="baseline"/>
                <w:lang w:val="en-US" w:eastAsia="zh-CN" w:bidi="ar-SA"/>
              </w:rPr>
              <w:t>项目</w:t>
            </w:r>
            <w:r>
              <w:rPr>
                <w:rFonts w:hint="default" w:ascii="Times New Roman" w:hAnsi="Times New Roman" w:cs="Times New Roman"/>
                <w:color w:val="auto"/>
                <w:spacing w:val="0"/>
                <w:kern w:val="2"/>
                <w:sz w:val="21"/>
                <w:szCs w:val="24"/>
                <w:vertAlign w:val="baseline"/>
                <w:lang w:val="en-US" w:eastAsia="zh-CN" w:bidi="ar-SA"/>
              </w:rPr>
              <w:t>东</w:t>
            </w:r>
            <w:r>
              <w:rPr>
                <w:rFonts w:hint="default" w:ascii="Times New Roman" w:hAnsi="Times New Roman" w:eastAsia="宋体" w:cs="Times New Roman"/>
                <w:color w:val="auto"/>
                <w:spacing w:val="0"/>
                <w:kern w:val="2"/>
                <w:sz w:val="21"/>
                <w:szCs w:val="24"/>
                <w:vertAlign w:val="baseline"/>
                <w:lang w:val="en-US" w:eastAsia="zh-CN" w:bidi="ar-SA"/>
              </w:rPr>
              <w:t>侧</w:t>
            </w:r>
          </w:p>
        </w:tc>
        <w:tc>
          <w:tcPr>
            <w:tcW w:w="2494" w:type="pct"/>
            <w:noWrap w:val="0"/>
            <w:vAlign w:val="center"/>
          </w:tcPr>
          <w:p w14:paraId="0865816B">
            <w:pPr>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pacing w:val="0"/>
                <w:kern w:val="2"/>
                <w:sz w:val="21"/>
                <w:szCs w:val="24"/>
                <w:vertAlign w:val="baseline"/>
                <w:lang w:val="en-US" w:eastAsia="zh-CN" w:bidi="ar-SA"/>
              </w:rPr>
            </w:pPr>
            <w:r>
              <w:rPr>
                <w:rFonts w:hint="default" w:ascii="Times New Roman" w:hAnsi="Times New Roman" w:eastAsia="宋体" w:cs="Times New Roman"/>
                <w:color w:val="auto"/>
                <w:spacing w:val="0"/>
                <w:kern w:val="2"/>
                <w:sz w:val="21"/>
                <w:szCs w:val="24"/>
                <w:vertAlign w:val="baseline"/>
                <w:lang w:val="en-US" w:eastAsia="zh-CN" w:bidi="ar-SA"/>
              </w:rPr>
              <w:t>项目</w:t>
            </w:r>
            <w:r>
              <w:rPr>
                <w:rFonts w:hint="default" w:ascii="Times New Roman" w:hAnsi="Times New Roman" w:cs="Times New Roman"/>
                <w:color w:val="auto"/>
                <w:spacing w:val="0"/>
                <w:kern w:val="2"/>
                <w:sz w:val="21"/>
                <w:szCs w:val="24"/>
                <w:vertAlign w:val="baseline"/>
                <w:lang w:val="en-US" w:eastAsia="zh-CN" w:bidi="ar-SA"/>
              </w:rPr>
              <w:t>南</w:t>
            </w:r>
            <w:r>
              <w:rPr>
                <w:rFonts w:hint="default" w:ascii="Times New Roman" w:hAnsi="Times New Roman" w:eastAsia="宋体" w:cs="Times New Roman"/>
                <w:color w:val="auto"/>
                <w:spacing w:val="0"/>
                <w:kern w:val="2"/>
                <w:sz w:val="21"/>
                <w:szCs w:val="24"/>
                <w:vertAlign w:val="baseline"/>
                <w:lang w:val="en-US" w:eastAsia="zh-CN" w:bidi="ar-SA"/>
              </w:rPr>
              <w:t>侧</w:t>
            </w:r>
          </w:p>
        </w:tc>
      </w:tr>
      <w:tr w14:paraId="54ED8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7" w:hRule="atLeast"/>
          <w:jc w:val="center"/>
        </w:trPr>
        <w:tc>
          <w:tcPr>
            <w:tcW w:w="2505" w:type="pct"/>
            <w:noWrap w:val="0"/>
            <w:vAlign w:val="center"/>
          </w:tcPr>
          <w:p w14:paraId="5A837652">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both"/>
              <w:textAlignment w:val="auto"/>
              <w:rPr>
                <w:rFonts w:hint="default" w:ascii="Times New Roman" w:hAnsi="Times New Roman" w:eastAsia="宋体" w:cs="Times New Roman"/>
                <w:color w:val="auto"/>
                <w:spacing w:val="0"/>
                <w:kern w:val="2"/>
                <w:sz w:val="21"/>
                <w:szCs w:val="24"/>
                <w:vertAlign w:val="baseline"/>
                <w:lang w:val="en-US" w:eastAsia="zh-CN" w:bidi="ar-SA"/>
              </w:rPr>
            </w:pPr>
            <w:r>
              <w:rPr>
                <w:rFonts w:hint="default" w:ascii="Times New Roman" w:hAnsi="Times New Roman" w:cs="Times New Roman"/>
              </w:rPr>
              <w:drawing>
                <wp:inline distT="0" distB="0" distL="114300" distR="114300">
                  <wp:extent cx="2581910" cy="2040255"/>
                  <wp:effectExtent l="0" t="0" r="8890" b="17145"/>
                  <wp:docPr id="58" name="图片 10"/>
                  <wp:cNvGraphicFramePr/>
                  <a:graphic xmlns:a="http://schemas.openxmlformats.org/drawingml/2006/main">
                    <a:graphicData uri="http://schemas.openxmlformats.org/drawingml/2006/picture">
                      <pic:pic xmlns:pic="http://schemas.openxmlformats.org/drawingml/2006/picture">
                        <pic:nvPicPr>
                          <pic:cNvPr id="58" name="图片 10"/>
                          <pic:cNvPicPr/>
                        </pic:nvPicPr>
                        <pic:blipFill>
                          <a:blip r:embed="rId39"/>
                          <a:stretch>
                            <a:fillRect/>
                          </a:stretch>
                        </pic:blipFill>
                        <pic:spPr>
                          <a:xfrm>
                            <a:off x="0" y="0"/>
                            <a:ext cx="2581910" cy="2040255"/>
                          </a:xfrm>
                          <a:prstGeom prst="rect">
                            <a:avLst/>
                          </a:prstGeom>
                          <a:noFill/>
                          <a:ln>
                            <a:noFill/>
                          </a:ln>
                        </pic:spPr>
                      </pic:pic>
                    </a:graphicData>
                  </a:graphic>
                </wp:inline>
              </w:drawing>
            </w:r>
          </w:p>
        </w:tc>
        <w:tc>
          <w:tcPr>
            <w:tcW w:w="2494" w:type="pct"/>
            <w:noWrap w:val="0"/>
            <w:vAlign w:val="center"/>
          </w:tcPr>
          <w:p w14:paraId="2781E7AC">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both"/>
              <w:textAlignment w:val="auto"/>
              <w:rPr>
                <w:rFonts w:hint="default" w:ascii="Times New Roman" w:hAnsi="Times New Roman" w:eastAsia="宋体" w:cs="Times New Roman"/>
                <w:color w:val="auto"/>
                <w:spacing w:val="0"/>
                <w:kern w:val="2"/>
                <w:sz w:val="21"/>
                <w:szCs w:val="24"/>
                <w:vertAlign w:val="baseline"/>
                <w:lang w:val="en-US" w:eastAsia="zh-CN" w:bidi="ar-SA"/>
              </w:rPr>
            </w:pPr>
            <w:r>
              <w:rPr>
                <w:rFonts w:hint="default" w:ascii="Times New Roman" w:hAnsi="Times New Roman" w:cs="Times New Roman"/>
              </w:rPr>
              <w:drawing>
                <wp:inline distT="0" distB="0" distL="114300" distR="114300">
                  <wp:extent cx="2650490" cy="2014220"/>
                  <wp:effectExtent l="0" t="0" r="16510" b="5080"/>
                  <wp:docPr id="60" name="图片 11"/>
                  <wp:cNvGraphicFramePr/>
                  <a:graphic xmlns:a="http://schemas.openxmlformats.org/drawingml/2006/main">
                    <a:graphicData uri="http://schemas.openxmlformats.org/drawingml/2006/picture">
                      <pic:pic xmlns:pic="http://schemas.openxmlformats.org/drawingml/2006/picture">
                        <pic:nvPicPr>
                          <pic:cNvPr id="60" name="图片 11"/>
                          <pic:cNvPicPr/>
                        </pic:nvPicPr>
                        <pic:blipFill>
                          <a:blip r:embed="rId40"/>
                          <a:stretch>
                            <a:fillRect/>
                          </a:stretch>
                        </pic:blipFill>
                        <pic:spPr>
                          <a:xfrm>
                            <a:off x="0" y="0"/>
                            <a:ext cx="2650490" cy="2014220"/>
                          </a:xfrm>
                          <a:prstGeom prst="rect">
                            <a:avLst/>
                          </a:prstGeom>
                          <a:noFill/>
                          <a:ln>
                            <a:noFill/>
                          </a:ln>
                        </pic:spPr>
                      </pic:pic>
                    </a:graphicData>
                  </a:graphic>
                </wp:inline>
              </w:drawing>
            </w:r>
          </w:p>
        </w:tc>
      </w:tr>
      <w:tr w14:paraId="5A5CD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5" w:type="pct"/>
            <w:noWrap w:val="0"/>
            <w:vAlign w:val="center"/>
          </w:tcPr>
          <w:p w14:paraId="202B714C">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auto"/>
                <w:spacing w:val="0"/>
                <w:kern w:val="2"/>
                <w:sz w:val="21"/>
                <w:szCs w:val="24"/>
                <w:vertAlign w:val="baseline"/>
                <w:lang w:val="en-US" w:eastAsia="zh-CN" w:bidi="ar-SA"/>
              </w:rPr>
            </w:pPr>
            <w:r>
              <w:rPr>
                <w:rFonts w:hint="default" w:ascii="Times New Roman" w:hAnsi="Times New Roman" w:eastAsia="宋体" w:cs="Times New Roman"/>
                <w:color w:val="auto"/>
                <w:spacing w:val="0"/>
                <w:kern w:val="2"/>
                <w:sz w:val="21"/>
                <w:szCs w:val="24"/>
                <w:vertAlign w:val="baseline"/>
                <w:lang w:val="en-US" w:eastAsia="zh-CN" w:bidi="ar-SA"/>
              </w:rPr>
              <w:t>项目</w:t>
            </w:r>
            <w:r>
              <w:rPr>
                <w:rFonts w:hint="default" w:ascii="Times New Roman" w:hAnsi="Times New Roman" w:cs="Times New Roman"/>
                <w:color w:val="auto"/>
                <w:spacing w:val="0"/>
                <w:kern w:val="2"/>
                <w:sz w:val="21"/>
                <w:szCs w:val="24"/>
                <w:vertAlign w:val="baseline"/>
                <w:lang w:val="en-US" w:eastAsia="zh-CN" w:bidi="ar-SA"/>
              </w:rPr>
              <w:t>西</w:t>
            </w:r>
            <w:r>
              <w:rPr>
                <w:rFonts w:hint="default" w:ascii="Times New Roman" w:hAnsi="Times New Roman" w:eastAsia="宋体" w:cs="Times New Roman"/>
                <w:color w:val="auto"/>
                <w:spacing w:val="0"/>
                <w:kern w:val="2"/>
                <w:sz w:val="21"/>
                <w:szCs w:val="24"/>
                <w:vertAlign w:val="baseline"/>
                <w:lang w:val="en-US" w:eastAsia="zh-CN" w:bidi="ar-SA"/>
              </w:rPr>
              <w:t>侧</w:t>
            </w:r>
          </w:p>
        </w:tc>
        <w:tc>
          <w:tcPr>
            <w:tcW w:w="2494" w:type="pct"/>
            <w:noWrap w:val="0"/>
            <w:vAlign w:val="center"/>
          </w:tcPr>
          <w:p w14:paraId="20413622">
            <w:pPr>
              <w:keepNext w:val="0"/>
              <w:keepLines w:val="0"/>
              <w:pageBreakBefore w:val="0"/>
              <w:widowControl w:val="0"/>
              <w:kinsoku/>
              <w:wordWrap/>
              <w:overflowPunct/>
              <w:topLinePunct w:val="0"/>
              <w:autoSpaceDE/>
              <w:autoSpaceDN/>
              <w:bidi w:val="0"/>
              <w:adjustRightInd/>
              <w:snapToGrid/>
              <w:spacing w:after="0"/>
              <w:ind w:firstLine="210" w:firstLineChars="100"/>
              <w:jc w:val="center"/>
              <w:textAlignment w:val="auto"/>
              <w:rPr>
                <w:rFonts w:hint="default" w:ascii="Times New Roman" w:hAnsi="Times New Roman" w:eastAsia="宋体" w:cs="Times New Roman"/>
                <w:color w:val="auto"/>
                <w:spacing w:val="0"/>
                <w:kern w:val="2"/>
                <w:sz w:val="21"/>
                <w:szCs w:val="24"/>
                <w:vertAlign w:val="baseline"/>
                <w:lang w:val="en-US" w:eastAsia="zh-CN" w:bidi="ar-SA"/>
              </w:rPr>
            </w:pPr>
            <w:r>
              <w:rPr>
                <w:rFonts w:hint="default" w:ascii="Times New Roman" w:hAnsi="Times New Roman" w:eastAsia="宋体" w:cs="Times New Roman"/>
                <w:color w:val="auto"/>
                <w:spacing w:val="0"/>
                <w:kern w:val="2"/>
                <w:sz w:val="21"/>
                <w:szCs w:val="24"/>
                <w:vertAlign w:val="baseline"/>
                <w:lang w:val="en-US" w:eastAsia="zh-CN" w:bidi="ar-SA"/>
              </w:rPr>
              <w:t>项目</w:t>
            </w:r>
            <w:r>
              <w:rPr>
                <w:rFonts w:hint="default" w:ascii="Times New Roman" w:hAnsi="Times New Roman" w:cs="Times New Roman"/>
                <w:color w:val="auto"/>
                <w:spacing w:val="0"/>
                <w:kern w:val="2"/>
                <w:sz w:val="21"/>
                <w:szCs w:val="24"/>
                <w:vertAlign w:val="baseline"/>
                <w:lang w:val="en-US" w:eastAsia="zh-CN" w:bidi="ar-SA"/>
              </w:rPr>
              <w:t>北</w:t>
            </w:r>
            <w:r>
              <w:rPr>
                <w:rFonts w:hint="default" w:ascii="Times New Roman" w:hAnsi="Times New Roman" w:eastAsia="宋体" w:cs="Times New Roman"/>
                <w:color w:val="auto"/>
                <w:spacing w:val="0"/>
                <w:kern w:val="2"/>
                <w:sz w:val="21"/>
                <w:szCs w:val="24"/>
                <w:vertAlign w:val="baseline"/>
                <w:lang w:val="en-US" w:eastAsia="zh-CN" w:bidi="ar-SA"/>
              </w:rPr>
              <w:t>侧</w:t>
            </w:r>
          </w:p>
        </w:tc>
      </w:tr>
    </w:tbl>
    <w:p w14:paraId="2ED8E034">
      <w:pPr>
        <w:spacing w:after="120" w:afterLines="50"/>
        <w:jc w:val="center"/>
        <w:outlineLvl w:val="0"/>
        <w:rPr>
          <w:rFonts w:hint="eastAsia" w:ascii="宋体" w:hAnsi="宋体" w:eastAsia="宋体" w:cs="宋体"/>
          <w:b w:val="0"/>
          <w:bCs/>
          <w:color w:val="auto"/>
          <w:sz w:val="28"/>
          <w:szCs w:val="28"/>
          <w:lang w:val="en-US" w:eastAsia="zh-CN"/>
        </w:rPr>
      </w:pPr>
      <w:bookmarkStart w:id="79" w:name="_Toc1000"/>
      <w:bookmarkStart w:id="80" w:name="_Toc14331"/>
      <w:bookmarkStart w:id="81" w:name="_Toc463"/>
      <w:bookmarkStart w:id="82" w:name="_Toc23372"/>
      <w:bookmarkStart w:id="83" w:name="_Toc20966"/>
      <w:r>
        <w:rPr>
          <w:rFonts w:hint="eastAsia" w:ascii="宋体" w:hAnsi="宋体" w:eastAsia="宋体" w:cs="宋体"/>
          <w:b w:val="0"/>
          <w:bCs/>
          <w:color w:val="auto"/>
          <w:sz w:val="28"/>
          <w:szCs w:val="28"/>
        </w:rPr>
        <w:t>附图</w:t>
      </w:r>
      <w:r>
        <w:rPr>
          <w:rFonts w:hint="default" w:ascii="Times New Roman" w:hAnsi="Times New Roman" w:eastAsia="黑体" w:cs="Times New Roman"/>
          <w:b w:val="0"/>
          <w:bCs/>
          <w:color w:val="auto"/>
          <w:sz w:val="28"/>
          <w:szCs w:val="28"/>
          <w:lang w:val="en-US" w:eastAsia="zh-CN"/>
        </w:rPr>
        <w:t>7</w:t>
      </w:r>
      <w:r>
        <w:rPr>
          <w:rFonts w:hint="default" w:ascii="Times New Roman" w:hAnsi="Times New Roman" w:eastAsia="黑体" w:cs="Times New Roman"/>
          <w:b w:val="0"/>
          <w:bCs/>
          <w:color w:val="auto"/>
          <w:sz w:val="28"/>
          <w:szCs w:val="28"/>
        </w:rPr>
        <w:t xml:space="preserve"> </w:t>
      </w:r>
      <w:r>
        <w:rPr>
          <w:rFonts w:hint="eastAsia" w:ascii="宋体" w:hAnsi="宋体" w:eastAsia="宋体" w:cs="宋体"/>
          <w:b w:val="0"/>
          <w:bCs/>
          <w:color w:val="auto"/>
          <w:sz w:val="28"/>
          <w:szCs w:val="28"/>
          <w:lang w:val="en-US" w:eastAsia="zh-CN"/>
        </w:rPr>
        <w:t>现场照片</w:t>
      </w:r>
      <w:bookmarkEnd w:id="79"/>
      <w:bookmarkEnd w:id="80"/>
      <w:bookmarkEnd w:id="81"/>
      <w:bookmarkEnd w:id="82"/>
      <w:bookmarkEnd w:id="83"/>
    </w:p>
    <w:p w14:paraId="3C010403">
      <w:pPr>
        <w:pStyle w:val="19"/>
        <w:rPr>
          <w:rFonts w:hint="default" w:ascii="Times New Roman" w:hAnsi="Times New Roman" w:cs="Times New Roman"/>
          <w:color w:val="auto"/>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4852087B">
      <w:pPr>
        <w:outlineLvl w:val="0"/>
        <w:rPr>
          <w:rFonts w:hint="default" w:ascii="Times New Roman" w:hAnsi="Times New Roman" w:eastAsia="黑体" w:cs="Times New Roman"/>
          <w:snapToGrid w:val="0"/>
          <w:color w:val="auto"/>
          <w:sz w:val="32"/>
          <w:szCs w:val="32"/>
          <w:highlight w:val="none"/>
        </w:rPr>
      </w:pPr>
      <w:bookmarkStart w:id="84" w:name="_Toc24243"/>
      <w:bookmarkStart w:id="85" w:name="_Toc9975"/>
      <w:bookmarkStart w:id="86" w:name="_Toc17621"/>
      <w:bookmarkStart w:id="87" w:name="_Toc2338"/>
      <w:r>
        <w:rPr>
          <w:rFonts w:hint="eastAsia" w:ascii="宋体" w:hAnsi="宋体" w:eastAsia="宋体" w:cs="宋体"/>
          <w:snapToGrid w:val="0"/>
          <w:color w:val="auto"/>
          <w:sz w:val="32"/>
          <w:szCs w:val="32"/>
          <w:highlight w:val="none"/>
        </w:rPr>
        <w:t>附件</w:t>
      </w:r>
      <w:r>
        <w:rPr>
          <w:rFonts w:hint="default" w:ascii="Times New Roman" w:hAnsi="Times New Roman" w:eastAsia="黑体" w:cs="Times New Roman"/>
          <w:snapToGrid w:val="0"/>
          <w:color w:val="auto"/>
          <w:sz w:val="32"/>
          <w:szCs w:val="32"/>
          <w:highlight w:val="none"/>
        </w:rPr>
        <w:t>1</w:t>
      </w:r>
      <w:r>
        <w:rPr>
          <w:rFonts w:hint="eastAsia" w:ascii="宋体" w:hAnsi="宋体" w:eastAsia="宋体" w:cs="宋体"/>
          <w:snapToGrid w:val="0"/>
          <w:color w:val="auto"/>
          <w:sz w:val="32"/>
          <w:szCs w:val="32"/>
          <w:highlight w:val="none"/>
        </w:rPr>
        <w:t>营业执照</w:t>
      </w:r>
      <w:bookmarkEnd w:id="84"/>
      <w:bookmarkEnd w:id="85"/>
      <w:bookmarkEnd w:id="86"/>
      <w:bookmarkEnd w:id="87"/>
    </w:p>
    <w:p w14:paraId="77FD89C8">
      <w:pPr>
        <w:pStyle w:val="24"/>
        <w:jc w:val="center"/>
        <w:rPr>
          <w:rFonts w:hint="default" w:ascii="Times New Roman" w:hAnsi="Times New Roman" w:cs="Times New Roman"/>
        </w:rPr>
      </w:pPr>
      <w:r>
        <w:rPr>
          <w:rFonts w:hint="default" w:ascii="Times New Roman" w:hAnsi="Times New Roman" w:cs="Times New Roman"/>
        </w:rPr>
        <w:drawing>
          <wp:inline distT="0" distB="0" distL="114300" distR="114300">
            <wp:extent cx="7181850" cy="5048250"/>
            <wp:effectExtent l="0" t="0" r="0" b="0"/>
            <wp:docPr id="6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3"/>
                    <pic:cNvPicPr>
                      <a:picLocks noChangeAspect="1"/>
                    </pic:cNvPicPr>
                  </pic:nvPicPr>
                  <pic:blipFill>
                    <a:blip r:embed="rId41"/>
                    <a:stretch>
                      <a:fillRect/>
                    </a:stretch>
                  </pic:blipFill>
                  <pic:spPr>
                    <a:xfrm>
                      <a:off x="0" y="0"/>
                      <a:ext cx="7181850" cy="5048250"/>
                    </a:xfrm>
                    <a:prstGeom prst="rect">
                      <a:avLst/>
                    </a:prstGeom>
                    <a:noFill/>
                    <a:ln>
                      <a:noFill/>
                    </a:ln>
                  </pic:spPr>
                </pic:pic>
              </a:graphicData>
            </a:graphic>
          </wp:inline>
        </w:drawing>
      </w:r>
    </w:p>
    <w:p w14:paraId="2D51FD07">
      <w:pPr>
        <w:pStyle w:val="19"/>
        <w:ind w:firstLine="0" w:firstLineChars="0"/>
        <w:jc w:val="center"/>
        <w:rPr>
          <w:rFonts w:hint="default" w:ascii="Times New Roman" w:hAnsi="Times New Roman" w:eastAsia="黑体" w:cs="Times New Roman"/>
          <w:snapToGrid w:val="0"/>
          <w:color w:val="auto"/>
          <w:sz w:val="32"/>
          <w:szCs w:val="32"/>
          <w:highlight w:val="none"/>
          <w:lang w:eastAsia="zh-CN"/>
        </w:rPr>
        <w:sectPr>
          <w:footerReference r:id="rId9" w:type="default"/>
          <w:pgSz w:w="16838" w:h="11906" w:orient="landscape"/>
          <w:pgMar w:top="1531" w:right="1701" w:bottom="1531" w:left="1701" w:header="851" w:footer="850" w:gutter="0"/>
          <w:pgBorders>
            <w:top w:val="none" w:sz="0" w:space="0"/>
            <w:left w:val="none" w:sz="0" w:space="0"/>
            <w:bottom w:val="none" w:sz="0" w:space="0"/>
            <w:right w:val="none" w:sz="0" w:space="0"/>
          </w:pgBorders>
          <w:cols w:space="720" w:num="1"/>
          <w:docGrid w:linePitch="312" w:charSpace="0"/>
        </w:sectPr>
      </w:pPr>
    </w:p>
    <w:p w14:paraId="1350C582">
      <w:pPr>
        <w:pStyle w:val="19"/>
        <w:widowControl w:val="0"/>
        <w:snapToGrid/>
        <w:ind w:right="113" w:rightChars="0" w:firstLine="0" w:firstLineChars="0"/>
        <w:jc w:val="left"/>
        <w:outlineLvl w:val="0"/>
        <w:rPr>
          <w:rFonts w:hint="default" w:ascii="Times New Roman" w:hAnsi="Times New Roman" w:eastAsia="黑体" w:cs="Times New Roman"/>
          <w:snapToGrid w:val="0"/>
          <w:color w:val="auto"/>
          <w:kern w:val="2"/>
          <w:sz w:val="32"/>
          <w:szCs w:val="32"/>
          <w:highlight w:val="none"/>
          <w:lang w:val="en-US" w:eastAsia="zh-CN"/>
        </w:rPr>
      </w:pPr>
      <w:bookmarkStart w:id="88" w:name="_Toc612"/>
      <w:bookmarkStart w:id="89" w:name="_Toc32464"/>
      <w:bookmarkStart w:id="90" w:name="_Toc2448"/>
      <w:bookmarkStart w:id="91" w:name="_Toc25313"/>
      <w:bookmarkStart w:id="92" w:name="_Toc3798"/>
      <w:bookmarkStart w:id="93" w:name="_Toc23695"/>
      <w:bookmarkStart w:id="94" w:name="_Toc29514"/>
      <w:r>
        <w:rPr>
          <w:rFonts w:hint="eastAsia" w:ascii="宋体" w:hAnsi="宋体" w:eastAsia="宋体" w:cs="宋体"/>
          <w:snapToGrid w:val="0"/>
          <w:color w:val="auto"/>
          <w:kern w:val="2"/>
          <w:sz w:val="32"/>
          <w:szCs w:val="32"/>
          <w:highlight w:val="none"/>
          <w:lang w:val="en-US" w:eastAsia="zh-CN"/>
        </w:rPr>
        <w:t>附件</w:t>
      </w:r>
      <w:r>
        <w:rPr>
          <w:rFonts w:hint="default" w:ascii="Times New Roman" w:hAnsi="Times New Roman" w:eastAsia="黑体" w:cs="Times New Roman"/>
          <w:snapToGrid w:val="0"/>
          <w:color w:val="auto"/>
          <w:kern w:val="2"/>
          <w:sz w:val="32"/>
          <w:szCs w:val="32"/>
          <w:highlight w:val="none"/>
          <w:lang w:val="en-US" w:eastAsia="zh-CN"/>
        </w:rPr>
        <w:t>2</w:t>
      </w:r>
      <w:bookmarkEnd w:id="88"/>
      <w:bookmarkEnd w:id="89"/>
      <w:bookmarkEnd w:id="90"/>
      <w:bookmarkEnd w:id="91"/>
      <w:r>
        <w:rPr>
          <w:rFonts w:hint="eastAsia" w:ascii="宋体" w:hAnsi="宋体" w:eastAsia="宋体" w:cs="宋体"/>
          <w:snapToGrid w:val="0"/>
          <w:color w:val="auto"/>
          <w:kern w:val="2"/>
          <w:sz w:val="32"/>
          <w:szCs w:val="32"/>
          <w:highlight w:val="none"/>
          <w:lang w:val="en-US" w:eastAsia="zh-CN"/>
        </w:rPr>
        <w:t>土地证</w:t>
      </w:r>
      <w:bookmarkEnd w:id="92"/>
      <w:bookmarkEnd w:id="93"/>
      <w:bookmarkEnd w:id="94"/>
    </w:p>
    <w:p w14:paraId="7B3D481C">
      <w:pPr>
        <w:pStyle w:val="4"/>
        <w:ind w:left="0" w:leftChars="0" w:firstLine="0" w:firstLineChars="0"/>
        <w:rPr>
          <w:rFonts w:hint="default" w:ascii="Times New Roman" w:hAnsi="Times New Roman" w:cs="Times New Roman"/>
          <w:lang w:val="en-US" w:eastAsia="zh-CN"/>
        </w:rPr>
      </w:pPr>
      <w:bookmarkStart w:id="95" w:name="_Toc13289"/>
    </w:p>
    <w:p w14:paraId="4593D673">
      <w:pPr>
        <w:jc w:val="center"/>
        <w:rPr>
          <w:rFonts w:hint="default" w:ascii="Times New Roman" w:hAnsi="Times New Roman" w:cs="Times New Roman"/>
        </w:rPr>
      </w:pPr>
      <w:r>
        <w:rPr>
          <w:rFonts w:hint="default" w:ascii="Times New Roman" w:hAnsi="Times New Roman" w:cs="Times New Roman"/>
        </w:rPr>
        <w:drawing>
          <wp:inline distT="0" distB="0" distL="114300" distR="114300">
            <wp:extent cx="6751320" cy="4823460"/>
            <wp:effectExtent l="0" t="0" r="11430" b="15240"/>
            <wp:docPr id="7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5"/>
                    <pic:cNvPicPr>
                      <a:picLocks noChangeAspect="1"/>
                    </pic:cNvPicPr>
                  </pic:nvPicPr>
                  <pic:blipFill>
                    <a:blip r:embed="rId42"/>
                    <a:stretch>
                      <a:fillRect/>
                    </a:stretch>
                  </pic:blipFill>
                  <pic:spPr>
                    <a:xfrm>
                      <a:off x="0" y="0"/>
                      <a:ext cx="6751320" cy="482346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7681595" cy="5420360"/>
            <wp:effectExtent l="0" t="0" r="14605" b="8890"/>
            <wp:docPr id="7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6"/>
                    <pic:cNvPicPr>
                      <a:picLocks noChangeAspect="1"/>
                    </pic:cNvPicPr>
                  </pic:nvPicPr>
                  <pic:blipFill>
                    <a:blip r:embed="rId43"/>
                    <a:stretch>
                      <a:fillRect/>
                    </a:stretch>
                  </pic:blipFill>
                  <pic:spPr>
                    <a:xfrm>
                      <a:off x="0" y="0"/>
                      <a:ext cx="7681595" cy="5420360"/>
                    </a:xfrm>
                    <a:prstGeom prst="rect">
                      <a:avLst/>
                    </a:prstGeom>
                    <a:noFill/>
                    <a:ln>
                      <a:noFill/>
                    </a:ln>
                  </pic:spPr>
                </pic:pic>
              </a:graphicData>
            </a:graphic>
          </wp:inline>
        </w:drawing>
      </w:r>
    </w:p>
    <w:p w14:paraId="6682239A">
      <w:pPr>
        <w:pStyle w:val="2"/>
        <w:rPr>
          <w:rFonts w:hint="default" w:ascii="Times New Roman" w:hAnsi="Times New Roman" w:cs="Times New Roman"/>
          <w:lang w:val="en-US" w:eastAsia="zh-CN"/>
        </w:rPr>
        <w:sectPr>
          <w:footerReference r:id="rId10" w:type="default"/>
          <w:pgSz w:w="16838" w:h="11906" w:orient="landscape"/>
          <w:pgMar w:top="1531" w:right="1701" w:bottom="1531" w:left="1701" w:header="851" w:footer="850" w:gutter="0"/>
          <w:pgBorders>
            <w:top w:val="none" w:sz="0" w:space="0"/>
            <w:left w:val="none" w:sz="0" w:space="0"/>
            <w:bottom w:val="none" w:sz="0" w:space="0"/>
            <w:right w:val="none" w:sz="0" w:space="0"/>
          </w:pgBorders>
          <w:cols w:space="720" w:num="1"/>
          <w:docGrid w:linePitch="312" w:charSpace="0"/>
        </w:sectPr>
      </w:pPr>
    </w:p>
    <w:p w14:paraId="5F5E33E2">
      <w:pPr>
        <w:pStyle w:val="4"/>
        <w:ind w:left="0" w:leftChars="0" w:firstLine="0" w:firstLineChars="0"/>
        <w:rPr>
          <w:rFonts w:hint="default" w:ascii="Times New Roman" w:hAnsi="Times New Roman" w:cs="Times New Roman"/>
          <w:lang w:val="en-US" w:eastAsia="zh-CN"/>
        </w:rPr>
        <w:sectPr>
          <w:pgSz w:w="11906" w:h="16838"/>
          <w:pgMar w:top="1701" w:right="1531" w:bottom="1701" w:left="1531" w:header="851" w:footer="850"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cs="Times New Roman"/>
        </w:rPr>
        <w:drawing>
          <wp:inline distT="0" distB="0" distL="114300" distR="114300">
            <wp:extent cx="5803265" cy="7952740"/>
            <wp:effectExtent l="0" t="0" r="6985" b="10160"/>
            <wp:docPr id="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pic:cNvPicPr>
                      <a:picLocks noChangeAspect="1"/>
                    </pic:cNvPicPr>
                  </pic:nvPicPr>
                  <pic:blipFill>
                    <a:blip r:embed="rId44"/>
                    <a:stretch>
                      <a:fillRect/>
                    </a:stretch>
                  </pic:blipFill>
                  <pic:spPr>
                    <a:xfrm>
                      <a:off x="0" y="0"/>
                      <a:ext cx="5803265" cy="7952740"/>
                    </a:xfrm>
                    <a:prstGeom prst="rect">
                      <a:avLst/>
                    </a:prstGeom>
                    <a:noFill/>
                    <a:ln>
                      <a:noFill/>
                    </a:ln>
                  </pic:spPr>
                </pic:pic>
              </a:graphicData>
            </a:graphic>
          </wp:inline>
        </w:drawing>
      </w:r>
    </w:p>
    <w:p w14:paraId="2C6B096B">
      <w:pPr>
        <w:pStyle w:val="19"/>
        <w:widowControl w:val="0"/>
        <w:snapToGrid/>
        <w:ind w:right="113" w:rightChars="0" w:firstLine="0" w:firstLineChars="0"/>
        <w:jc w:val="left"/>
        <w:outlineLvl w:val="0"/>
        <w:rPr>
          <w:rFonts w:hint="default" w:ascii="Times New Roman" w:hAnsi="Times New Roman" w:cs="Times New Roman"/>
          <w:lang w:val="en-US" w:eastAsia="zh-CN"/>
        </w:rPr>
        <w:sectPr>
          <w:pgSz w:w="11906" w:h="16838"/>
          <w:pgMar w:top="1701" w:right="1531" w:bottom="1701" w:left="1531" w:header="851" w:footer="850" w:gutter="0"/>
          <w:pgBorders>
            <w:top w:val="none" w:sz="0" w:space="0"/>
            <w:left w:val="none" w:sz="0" w:space="0"/>
            <w:bottom w:val="none" w:sz="0" w:space="0"/>
            <w:right w:val="none" w:sz="0" w:space="0"/>
          </w:pgBorders>
          <w:cols w:space="720" w:num="1"/>
          <w:docGrid w:linePitch="312" w:charSpace="0"/>
        </w:sectPr>
      </w:pPr>
      <w:bookmarkStart w:id="96" w:name="_Toc29263"/>
      <w:bookmarkStart w:id="97" w:name="_Toc18255"/>
      <w:bookmarkStart w:id="98" w:name="_Toc31516"/>
      <w:r>
        <w:rPr>
          <w:rFonts w:hint="eastAsia" w:ascii="宋体" w:hAnsi="宋体" w:eastAsia="宋体" w:cs="宋体"/>
          <w:snapToGrid w:val="0"/>
          <w:color w:val="auto"/>
          <w:kern w:val="2"/>
          <w:sz w:val="32"/>
          <w:szCs w:val="32"/>
          <w:highlight w:val="none"/>
          <w:lang w:val="en-US" w:eastAsia="zh-CN"/>
        </w:rPr>
        <w:t>附件</w:t>
      </w:r>
      <w:r>
        <w:rPr>
          <w:rFonts w:hint="default" w:ascii="Times New Roman" w:hAnsi="Times New Roman" w:eastAsia="黑体" w:cs="Times New Roman"/>
          <w:snapToGrid w:val="0"/>
          <w:color w:val="auto"/>
          <w:kern w:val="2"/>
          <w:sz w:val="32"/>
          <w:szCs w:val="32"/>
          <w:highlight w:val="none"/>
          <w:lang w:val="en-US" w:eastAsia="zh-CN"/>
        </w:rPr>
        <w:t>3</w:t>
      </w:r>
      <w:bookmarkEnd w:id="95"/>
      <w:r>
        <w:rPr>
          <w:rFonts w:hint="eastAsia" w:ascii="宋体" w:hAnsi="宋体" w:eastAsia="宋体" w:cs="宋体"/>
          <w:snapToGrid w:val="0"/>
          <w:color w:val="auto"/>
          <w:kern w:val="2"/>
          <w:sz w:val="32"/>
          <w:szCs w:val="32"/>
          <w:highlight w:val="none"/>
          <w:lang w:val="en-US" w:eastAsia="zh-CN"/>
        </w:rPr>
        <w:t>租赁协议</w:t>
      </w:r>
      <w:r>
        <w:rPr>
          <w:rFonts w:hint="default" w:ascii="Times New Roman" w:hAnsi="Times New Roman" w:cs="Times New Roman"/>
        </w:rPr>
        <w:drawing>
          <wp:inline distT="0" distB="0" distL="114300" distR="114300">
            <wp:extent cx="5347335" cy="7691755"/>
            <wp:effectExtent l="0" t="0" r="5715" b="4445"/>
            <wp:docPr id="6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4"/>
                    <pic:cNvPicPr>
                      <a:picLocks noChangeAspect="1"/>
                    </pic:cNvPicPr>
                  </pic:nvPicPr>
                  <pic:blipFill>
                    <a:blip r:embed="rId45"/>
                    <a:stretch>
                      <a:fillRect/>
                    </a:stretch>
                  </pic:blipFill>
                  <pic:spPr>
                    <a:xfrm>
                      <a:off x="0" y="0"/>
                      <a:ext cx="5347335" cy="7691755"/>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666740" cy="7824470"/>
            <wp:effectExtent l="0" t="0" r="10160" b="5080"/>
            <wp:docPr id="6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5"/>
                    <pic:cNvPicPr>
                      <a:picLocks noChangeAspect="1"/>
                    </pic:cNvPicPr>
                  </pic:nvPicPr>
                  <pic:blipFill>
                    <a:blip r:embed="rId46"/>
                    <a:stretch>
                      <a:fillRect/>
                    </a:stretch>
                  </pic:blipFill>
                  <pic:spPr>
                    <a:xfrm>
                      <a:off x="0" y="0"/>
                      <a:ext cx="5666740" cy="782447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506085" cy="7210425"/>
            <wp:effectExtent l="0" t="0" r="18415" b="9525"/>
            <wp:docPr id="6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6"/>
                    <pic:cNvPicPr>
                      <a:picLocks noChangeAspect="1"/>
                    </pic:cNvPicPr>
                  </pic:nvPicPr>
                  <pic:blipFill>
                    <a:blip r:embed="rId47"/>
                    <a:stretch>
                      <a:fillRect/>
                    </a:stretch>
                  </pic:blipFill>
                  <pic:spPr>
                    <a:xfrm>
                      <a:off x="0" y="0"/>
                      <a:ext cx="5506085" cy="7210425"/>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553075" cy="7424420"/>
            <wp:effectExtent l="0" t="0" r="9525" b="5080"/>
            <wp:docPr id="7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7"/>
                    <pic:cNvPicPr>
                      <a:picLocks noChangeAspect="1"/>
                    </pic:cNvPicPr>
                  </pic:nvPicPr>
                  <pic:blipFill>
                    <a:blip r:embed="rId48"/>
                    <a:stretch>
                      <a:fillRect/>
                    </a:stretch>
                  </pic:blipFill>
                  <pic:spPr>
                    <a:xfrm>
                      <a:off x="0" y="0"/>
                      <a:ext cx="5553075" cy="742442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676265" cy="8147050"/>
            <wp:effectExtent l="0" t="0" r="635" b="6350"/>
            <wp:docPr id="8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8"/>
                    <pic:cNvPicPr>
                      <a:picLocks noChangeAspect="1"/>
                    </pic:cNvPicPr>
                  </pic:nvPicPr>
                  <pic:blipFill>
                    <a:blip r:embed="rId49"/>
                    <a:stretch>
                      <a:fillRect/>
                    </a:stretch>
                  </pic:blipFill>
                  <pic:spPr>
                    <a:xfrm>
                      <a:off x="0" y="0"/>
                      <a:ext cx="5676265" cy="8147050"/>
                    </a:xfrm>
                    <a:prstGeom prst="rect">
                      <a:avLst/>
                    </a:prstGeom>
                    <a:noFill/>
                    <a:ln>
                      <a:noFill/>
                    </a:ln>
                  </pic:spPr>
                </pic:pic>
              </a:graphicData>
            </a:graphic>
          </wp:inline>
        </w:drawing>
      </w:r>
      <w:bookmarkEnd w:id="96"/>
      <w:bookmarkEnd w:id="97"/>
      <w:bookmarkEnd w:id="98"/>
    </w:p>
    <w:p w14:paraId="4BB4C143">
      <w:pPr>
        <w:pStyle w:val="19"/>
        <w:widowControl w:val="0"/>
        <w:snapToGrid/>
        <w:ind w:right="113" w:rightChars="0" w:firstLine="0" w:firstLineChars="0"/>
        <w:outlineLvl w:val="0"/>
        <w:rPr>
          <w:rFonts w:hint="default" w:ascii="Times New Roman" w:hAnsi="Times New Roman" w:cs="Times New Roman"/>
          <w:color w:val="auto"/>
        </w:rPr>
      </w:pPr>
      <w:bookmarkStart w:id="99" w:name="_Toc31698"/>
      <w:bookmarkStart w:id="100" w:name="_Toc32607"/>
      <w:bookmarkStart w:id="101" w:name="_Toc31891"/>
      <w:bookmarkStart w:id="102" w:name="_Toc27367"/>
      <w:r>
        <w:rPr>
          <w:rFonts w:hint="eastAsia" w:ascii="宋体" w:hAnsi="宋体" w:eastAsia="宋体" w:cs="宋体"/>
          <w:snapToGrid w:val="0"/>
          <w:color w:val="auto"/>
          <w:kern w:val="2"/>
          <w:sz w:val="32"/>
          <w:szCs w:val="32"/>
          <w:highlight w:val="none"/>
          <w:lang w:val="en-US" w:eastAsia="zh-CN"/>
        </w:rPr>
        <w:t>附件</w:t>
      </w:r>
      <w:r>
        <w:rPr>
          <w:rFonts w:hint="default" w:ascii="Times New Roman" w:hAnsi="Times New Roman" w:eastAsia="黑体" w:cs="Times New Roman"/>
          <w:snapToGrid w:val="0"/>
          <w:color w:val="auto"/>
          <w:kern w:val="2"/>
          <w:sz w:val="32"/>
          <w:szCs w:val="32"/>
          <w:highlight w:val="none"/>
          <w:lang w:val="en-US" w:eastAsia="zh-CN"/>
        </w:rPr>
        <w:t>4</w:t>
      </w:r>
      <w:r>
        <w:rPr>
          <w:rFonts w:hint="eastAsia" w:ascii="宋体" w:hAnsi="宋体" w:eastAsia="宋体" w:cs="宋体"/>
          <w:snapToGrid w:val="0"/>
          <w:color w:val="auto"/>
          <w:kern w:val="2"/>
          <w:sz w:val="32"/>
          <w:szCs w:val="32"/>
          <w:highlight w:val="none"/>
          <w:lang w:val="en-US" w:eastAsia="zh-CN"/>
        </w:rPr>
        <w:t>检测报告</w:t>
      </w:r>
      <w:bookmarkEnd w:id="99"/>
      <w:bookmarkEnd w:id="100"/>
      <w:bookmarkEnd w:id="101"/>
      <w:bookmarkEnd w:id="102"/>
    </w:p>
    <w:p w14:paraId="0362AABA">
      <w:pPr>
        <w:rPr>
          <w:rFonts w:hint="default" w:ascii="Times New Roman" w:hAnsi="Times New Roman" w:eastAsia="宋体" w:cs="Times New Roman"/>
          <w:lang w:val="en-US" w:eastAsia="zh-CN"/>
        </w:rPr>
        <w:sectPr>
          <w:pgSz w:w="11906" w:h="16838"/>
          <w:pgMar w:top="1701" w:right="1531" w:bottom="1701" w:left="1531" w:header="851" w:footer="850"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cs="Times New Roman"/>
        </w:rPr>
        <w:drawing>
          <wp:inline distT="0" distB="0" distL="114300" distR="114300">
            <wp:extent cx="5612765" cy="7332980"/>
            <wp:effectExtent l="0" t="0" r="6985" b="1270"/>
            <wp:docPr id="8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9"/>
                    <pic:cNvPicPr>
                      <a:picLocks noChangeAspect="1"/>
                    </pic:cNvPicPr>
                  </pic:nvPicPr>
                  <pic:blipFill>
                    <a:blip r:embed="rId50"/>
                    <a:stretch>
                      <a:fillRect/>
                    </a:stretch>
                  </pic:blipFill>
                  <pic:spPr>
                    <a:xfrm>
                      <a:off x="0" y="0"/>
                      <a:ext cx="5612765" cy="733298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610225" cy="7381875"/>
            <wp:effectExtent l="0" t="0" r="9525" b="9525"/>
            <wp:docPr id="8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0"/>
                    <pic:cNvPicPr>
                      <a:picLocks noChangeAspect="1"/>
                    </pic:cNvPicPr>
                  </pic:nvPicPr>
                  <pic:blipFill>
                    <a:blip r:embed="rId51"/>
                    <a:stretch>
                      <a:fillRect/>
                    </a:stretch>
                  </pic:blipFill>
                  <pic:spPr>
                    <a:xfrm>
                      <a:off x="0" y="0"/>
                      <a:ext cx="5610225" cy="7381875"/>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457825" cy="7477125"/>
            <wp:effectExtent l="0" t="0" r="9525" b="9525"/>
            <wp:docPr id="8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2"/>
                    <pic:cNvPicPr>
                      <a:picLocks noChangeAspect="1"/>
                    </pic:cNvPicPr>
                  </pic:nvPicPr>
                  <pic:blipFill>
                    <a:blip r:embed="rId52"/>
                    <a:stretch>
                      <a:fillRect/>
                    </a:stretch>
                  </pic:blipFill>
                  <pic:spPr>
                    <a:xfrm>
                      <a:off x="0" y="0"/>
                      <a:ext cx="5457825" cy="7477125"/>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429250" cy="7496175"/>
            <wp:effectExtent l="0" t="0" r="0" b="9525"/>
            <wp:docPr id="9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3"/>
                    <pic:cNvPicPr>
                      <a:picLocks noChangeAspect="1"/>
                    </pic:cNvPicPr>
                  </pic:nvPicPr>
                  <pic:blipFill>
                    <a:blip r:embed="rId53"/>
                    <a:stretch>
                      <a:fillRect/>
                    </a:stretch>
                  </pic:blipFill>
                  <pic:spPr>
                    <a:xfrm>
                      <a:off x="0" y="0"/>
                      <a:ext cx="5429250" cy="7496175"/>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600700" cy="7715250"/>
            <wp:effectExtent l="0" t="0" r="0" b="0"/>
            <wp:docPr id="9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4"/>
                    <pic:cNvPicPr>
                      <a:picLocks noChangeAspect="1"/>
                    </pic:cNvPicPr>
                  </pic:nvPicPr>
                  <pic:blipFill>
                    <a:blip r:embed="rId54"/>
                    <a:stretch>
                      <a:fillRect/>
                    </a:stretch>
                  </pic:blipFill>
                  <pic:spPr>
                    <a:xfrm>
                      <a:off x="0" y="0"/>
                      <a:ext cx="5600700" cy="7715250"/>
                    </a:xfrm>
                    <a:prstGeom prst="rect">
                      <a:avLst/>
                    </a:prstGeom>
                    <a:noFill/>
                    <a:ln>
                      <a:noFill/>
                    </a:ln>
                  </pic:spPr>
                </pic:pic>
              </a:graphicData>
            </a:graphic>
          </wp:inline>
        </w:drawing>
      </w:r>
    </w:p>
    <w:p w14:paraId="695CD821">
      <w:pPr>
        <w:pStyle w:val="19"/>
        <w:widowControl w:val="0"/>
        <w:snapToGrid/>
        <w:ind w:right="113" w:rightChars="0" w:firstLine="0" w:firstLineChars="0"/>
        <w:outlineLvl w:val="0"/>
        <w:rPr>
          <w:rFonts w:hint="default" w:ascii="Times New Roman" w:hAnsi="Times New Roman" w:eastAsia="黑体" w:cs="Times New Roman"/>
          <w:snapToGrid w:val="0"/>
          <w:color w:val="auto"/>
          <w:kern w:val="2"/>
          <w:sz w:val="32"/>
          <w:szCs w:val="32"/>
          <w:highlight w:val="none"/>
          <w:lang w:val="en-US" w:eastAsia="zh-CN"/>
        </w:rPr>
      </w:pPr>
      <w:bookmarkStart w:id="103" w:name="_Toc23496"/>
      <w:bookmarkStart w:id="104" w:name="_Toc24457"/>
      <w:bookmarkStart w:id="105" w:name="_Toc21703"/>
      <w:bookmarkStart w:id="106" w:name="_Toc8307"/>
      <w:r>
        <w:rPr>
          <w:rFonts w:hint="eastAsia" w:ascii="宋体" w:hAnsi="宋体" w:eastAsia="宋体" w:cs="宋体"/>
          <w:snapToGrid w:val="0"/>
          <w:color w:val="auto"/>
          <w:kern w:val="2"/>
          <w:sz w:val="32"/>
          <w:szCs w:val="32"/>
          <w:highlight w:val="none"/>
          <w:lang w:val="en-US" w:eastAsia="zh-CN"/>
        </w:rPr>
        <w:t>附件</w:t>
      </w:r>
      <w:r>
        <w:rPr>
          <w:rFonts w:hint="default" w:ascii="Times New Roman" w:hAnsi="Times New Roman" w:eastAsia="黑体" w:cs="Times New Roman"/>
          <w:snapToGrid w:val="0"/>
          <w:color w:val="auto"/>
          <w:kern w:val="2"/>
          <w:sz w:val="32"/>
          <w:szCs w:val="32"/>
          <w:highlight w:val="none"/>
          <w:lang w:val="en-US" w:eastAsia="zh-CN"/>
        </w:rPr>
        <w:t>5</w:t>
      </w:r>
      <w:r>
        <w:rPr>
          <w:rFonts w:hint="eastAsia" w:ascii="宋体" w:hAnsi="宋体" w:eastAsia="宋体" w:cs="宋体"/>
          <w:snapToGrid w:val="0"/>
          <w:color w:val="auto"/>
          <w:kern w:val="2"/>
          <w:sz w:val="32"/>
          <w:szCs w:val="32"/>
          <w:highlight w:val="none"/>
          <w:lang w:val="en-US" w:eastAsia="zh-CN"/>
        </w:rPr>
        <w:t>鸡西市启鹏煤炭销售有限公司建设项目生态环境分区管控分析报告</w:t>
      </w:r>
      <w:bookmarkEnd w:id="103"/>
      <w:bookmarkEnd w:id="104"/>
      <w:bookmarkEnd w:id="105"/>
      <w:bookmarkEnd w:id="106"/>
    </w:p>
    <w:p w14:paraId="0F426754">
      <w:pPr>
        <w:jc w:val="center"/>
        <w:rPr>
          <w:rFonts w:hint="default" w:ascii="Times New Roman" w:hAnsi="Times New Roman" w:cs="Times New Roman"/>
          <w:color w:val="auto"/>
          <w:lang w:val="en-US" w:eastAsia="zh-CN"/>
        </w:rPr>
      </w:pPr>
      <w:r>
        <w:rPr>
          <w:rFonts w:hint="default" w:ascii="Times New Roman" w:hAnsi="Times New Roman" w:cs="Times New Roman"/>
        </w:rPr>
        <w:drawing>
          <wp:inline distT="0" distB="0" distL="114300" distR="114300">
            <wp:extent cx="7556500" cy="5141595"/>
            <wp:effectExtent l="0" t="0" r="6350" b="190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55"/>
                    <a:stretch>
                      <a:fillRect/>
                    </a:stretch>
                  </pic:blipFill>
                  <pic:spPr>
                    <a:xfrm>
                      <a:off x="0" y="0"/>
                      <a:ext cx="7556500" cy="5141595"/>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8529955" cy="5527675"/>
            <wp:effectExtent l="0" t="0" r="4445" b="15875"/>
            <wp:docPr id="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pic:cNvPicPr>
                      <a:picLocks noChangeAspect="1"/>
                    </pic:cNvPicPr>
                  </pic:nvPicPr>
                  <pic:blipFill>
                    <a:blip r:embed="rId56"/>
                    <a:stretch>
                      <a:fillRect/>
                    </a:stretch>
                  </pic:blipFill>
                  <pic:spPr>
                    <a:xfrm>
                      <a:off x="0" y="0"/>
                      <a:ext cx="8529955" cy="5527675"/>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8529955" cy="5003800"/>
            <wp:effectExtent l="0" t="0" r="4445" b="6350"/>
            <wp:docPr id="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
                    <pic:cNvPicPr>
                      <a:picLocks noChangeAspect="1"/>
                    </pic:cNvPicPr>
                  </pic:nvPicPr>
                  <pic:blipFill>
                    <a:blip r:embed="rId57"/>
                    <a:stretch>
                      <a:fillRect/>
                    </a:stretch>
                  </pic:blipFill>
                  <pic:spPr>
                    <a:xfrm>
                      <a:off x="0" y="0"/>
                      <a:ext cx="8529955" cy="500380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8184515" cy="5464175"/>
            <wp:effectExtent l="0" t="0" r="6985" b="3175"/>
            <wp:docPr id="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
                    <pic:cNvPicPr>
                      <a:picLocks noChangeAspect="1"/>
                    </pic:cNvPicPr>
                  </pic:nvPicPr>
                  <pic:blipFill>
                    <a:blip r:embed="rId58"/>
                    <a:stretch>
                      <a:fillRect/>
                    </a:stretch>
                  </pic:blipFill>
                  <pic:spPr>
                    <a:xfrm>
                      <a:off x="0" y="0"/>
                      <a:ext cx="8184515" cy="5464175"/>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8369300" cy="5555615"/>
            <wp:effectExtent l="0" t="0" r="12700" b="6985"/>
            <wp:docPr id="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7"/>
                    <pic:cNvPicPr>
                      <a:picLocks noChangeAspect="1"/>
                    </pic:cNvPicPr>
                  </pic:nvPicPr>
                  <pic:blipFill>
                    <a:blip r:embed="rId59"/>
                    <a:stretch>
                      <a:fillRect/>
                    </a:stretch>
                  </pic:blipFill>
                  <pic:spPr>
                    <a:xfrm>
                      <a:off x="0" y="0"/>
                      <a:ext cx="8369300" cy="5555615"/>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8527415" cy="5635625"/>
            <wp:effectExtent l="0" t="0" r="6985" b="3175"/>
            <wp:docPr id="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8"/>
                    <pic:cNvPicPr>
                      <a:picLocks noChangeAspect="1"/>
                    </pic:cNvPicPr>
                  </pic:nvPicPr>
                  <pic:blipFill>
                    <a:blip r:embed="rId60"/>
                    <a:stretch>
                      <a:fillRect/>
                    </a:stretch>
                  </pic:blipFill>
                  <pic:spPr>
                    <a:xfrm>
                      <a:off x="0" y="0"/>
                      <a:ext cx="8527415" cy="5635625"/>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8530590" cy="5535295"/>
            <wp:effectExtent l="0" t="0" r="3810" b="8255"/>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61"/>
                    <a:stretch>
                      <a:fillRect/>
                    </a:stretch>
                  </pic:blipFill>
                  <pic:spPr>
                    <a:xfrm>
                      <a:off x="0" y="0"/>
                      <a:ext cx="8530590" cy="5535295"/>
                    </a:xfrm>
                    <a:prstGeom prst="rect">
                      <a:avLst/>
                    </a:prstGeom>
                    <a:noFill/>
                    <a:ln>
                      <a:noFill/>
                    </a:ln>
                  </pic:spPr>
                </pic:pic>
              </a:graphicData>
            </a:graphic>
          </wp:inline>
        </w:drawing>
      </w:r>
      <w:r>
        <w:rPr>
          <w:rFonts w:hint="default" w:ascii="Times New Roman" w:hAnsi="Times New Roman" w:cs="Times New Roman"/>
          <w:lang w:val="en-US" w:eastAsia="zh-CN"/>
        </w:rPr>
        <w:t xml:space="preserve"> </w:t>
      </w:r>
      <w:r>
        <w:rPr>
          <w:rFonts w:hint="default" w:ascii="Times New Roman" w:hAnsi="Times New Roman" w:cs="Times New Roman"/>
        </w:rPr>
        <w:drawing>
          <wp:inline distT="0" distB="0" distL="114300" distR="114300">
            <wp:extent cx="8527415" cy="5322570"/>
            <wp:effectExtent l="0" t="0" r="6985" b="1143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62"/>
                    <a:stretch>
                      <a:fillRect/>
                    </a:stretch>
                  </pic:blipFill>
                  <pic:spPr>
                    <a:xfrm>
                      <a:off x="0" y="0"/>
                      <a:ext cx="8527415" cy="532257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8529320" cy="5396230"/>
            <wp:effectExtent l="0" t="0" r="5080" b="13970"/>
            <wp:docPr id="6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1"/>
                    <pic:cNvPicPr>
                      <a:picLocks noChangeAspect="1"/>
                    </pic:cNvPicPr>
                  </pic:nvPicPr>
                  <pic:blipFill>
                    <a:blip r:embed="rId63"/>
                    <a:stretch>
                      <a:fillRect/>
                    </a:stretch>
                  </pic:blipFill>
                  <pic:spPr>
                    <a:xfrm>
                      <a:off x="0" y="0"/>
                      <a:ext cx="8529320" cy="539623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8531225" cy="5503545"/>
            <wp:effectExtent l="0" t="0" r="3175" b="1905"/>
            <wp:docPr id="6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2"/>
                    <pic:cNvPicPr>
                      <a:picLocks noChangeAspect="1"/>
                    </pic:cNvPicPr>
                  </pic:nvPicPr>
                  <pic:blipFill>
                    <a:blip r:embed="rId64"/>
                    <a:stretch>
                      <a:fillRect/>
                    </a:stretch>
                  </pic:blipFill>
                  <pic:spPr>
                    <a:xfrm>
                      <a:off x="0" y="0"/>
                      <a:ext cx="8531225" cy="5503545"/>
                    </a:xfrm>
                    <a:prstGeom prst="rect">
                      <a:avLst/>
                    </a:prstGeom>
                    <a:noFill/>
                    <a:ln>
                      <a:noFill/>
                    </a:ln>
                  </pic:spPr>
                </pic:pic>
              </a:graphicData>
            </a:graphic>
          </wp:inline>
        </w:drawing>
      </w:r>
    </w:p>
    <w:sectPr>
      <w:pgSz w:w="16838" w:h="11906" w:orient="landscape"/>
      <w:pgMar w:top="1531" w:right="1701" w:bottom="1531" w:left="1701" w:header="851" w:footer="850"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楷体_GB2312">
    <w:altName w:val="楷体"/>
    <w:panose1 w:val="02010609030101010101"/>
    <w:charset w:val="86"/>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DD941E">
    <w:pPr>
      <w:pStyle w:val="13"/>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FE1CB7">
    <w:pPr>
      <w:pStyle w:val="13"/>
      <w:framePr w:wrap="around" w:vAnchor="text" w:hAnchor="margin" w:xAlign="center" w:y="1"/>
      <w:rPr>
        <w:rStyle w:val="23"/>
      </w:rPr>
    </w:pPr>
    <w:r>
      <w:fldChar w:fldCharType="begin"/>
    </w:r>
    <w:r>
      <w:rPr>
        <w:rStyle w:val="23"/>
      </w:rPr>
      <w:instrText xml:space="preserve">PAGE  </w:instrText>
    </w:r>
    <w:r>
      <w:fldChar w:fldCharType="end"/>
    </w:r>
  </w:p>
  <w:p w14:paraId="47ADED9D">
    <w:pPr>
      <w:pStyle w:val="13"/>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34450C">
    <w:pPr>
      <w:pStyle w:val="1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56900"/>
    </w:sdtPr>
    <w:sdtContent>
      <w:p w14:paraId="37AC3865">
        <w:pPr>
          <w:pStyle w:val="13"/>
          <w:ind w:left="2250" w:hanging="1200"/>
          <w:jc w:val="center"/>
        </w:pPr>
        <w:r>
          <w:fldChar w:fldCharType="begin"/>
        </w:r>
        <w:r>
          <w:instrText xml:space="preserve">PAGE   \* MERGEFORMAT</w:instrText>
        </w:r>
        <w:r>
          <w:fldChar w:fldCharType="separate"/>
        </w:r>
        <w:r>
          <w:rPr>
            <w:lang w:val="zh-CN"/>
          </w:rPr>
          <w:t>37</w:t>
        </w:r>
        <w:r>
          <w:fldChar w:fldCharType="end"/>
        </w:r>
      </w:p>
    </w:sdtContent>
  </w:sdt>
  <w:p w14:paraId="4C74C679">
    <w:pPr>
      <w:pStyle w:val="13"/>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05197D">
    <w:pPr>
      <w:pStyle w:val="13"/>
      <w:ind w:right="360" w:firstLine="36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14935" cy="131445"/>
              <wp:effectExtent l="0" t="0" r="0" b="0"/>
              <wp:wrapNone/>
              <wp:docPr id="3" name="文本框 2057"/>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14:paraId="324D2FFE">
                          <w:pPr>
                            <w:pStyle w:val="13"/>
                          </w:pPr>
                          <w:r>
                            <w:rPr>
                              <w:rFonts w:hint="eastAsia"/>
                            </w:rPr>
                            <w:fldChar w:fldCharType="begin"/>
                          </w:r>
                          <w:r>
                            <w:rPr>
                              <w:rFonts w:hint="eastAsia"/>
                            </w:rPr>
                            <w:instrText xml:space="preserve"> PAGE  \* MERGEFORMAT </w:instrText>
                          </w:r>
                          <w:r>
                            <w:rPr>
                              <w:rFonts w:hint="eastAsia"/>
                            </w:rPr>
                            <w:fldChar w:fldCharType="separate"/>
                          </w:r>
                          <w:r>
                            <w:t>38</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2057" o:spid="_x0000_s1026" o:spt="202" type="#_x0000_t202" style="position:absolute;left:0pt;margin-top:0pt;height:10.35pt;width:9.05pt;mso-position-horizontal:center;mso-position-horizontal-relative:margin;mso-wrap-style:none;z-index:251662336;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&#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PlfknQAAAAAwEAAA8AAAAAAAAAAQAgAAAAIgAAAGRy&#10;cy9kb3ducmV2LnhtbFBLAQIUABQAAAAIAIdO4kC44zq7DQIAAAUEAAAOAAAAAAAAAAEAIAAAAB8B&#10;AABkcnMvZTJvRG9jLnhtbFBLBQYAAAAABgAGAFkBAACeBQAAAAA=&#10;">
              <v:fill on="f" focussize="0,0"/>
              <v:stroke on="f"/>
              <v:imagedata o:title=""/>
              <o:lock v:ext="edit" aspectratio="f"/>
              <v:textbox inset="0mm,0mm,0mm,0mm" style="mso-fit-shape-to-text:t;">
                <w:txbxContent>
                  <w:p w14:paraId="324D2FFE">
                    <w:pPr>
                      <w:pStyle w:val="13"/>
                    </w:pPr>
                    <w:r>
                      <w:rPr>
                        <w:rFonts w:hint="eastAsia"/>
                      </w:rPr>
                      <w:fldChar w:fldCharType="begin"/>
                    </w:r>
                    <w:r>
                      <w:rPr>
                        <w:rFonts w:hint="eastAsia"/>
                      </w:rPr>
                      <w:instrText xml:space="preserve"> PAGE  \* MERGEFORMAT </w:instrText>
                    </w:r>
                    <w:r>
                      <w:rPr>
                        <w:rFonts w:hint="eastAsia"/>
                      </w:rPr>
                      <w:fldChar w:fldCharType="separate"/>
                    </w:r>
                    <w:r>
                      <w:t>38</w:t>
                    </w:r>
                    <w:r>
                      <w:rPr>
                        <w:rFonts w:hint="eastAsia"/>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2C2022">
    <w:pPr>
      <w:pStyle w:val="13"/>
      <w:ind w:right="360" w:firstLine="360"/>
      <w:jc w:val="cente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14935" cy="131445"/>
              <wp:effectExtent l="0" t="0" r="0" b="0"/>
              <wp:wrapNone/>
              <wp:docPr id="2" name="文本框 2058"/>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14:paraId="769DEB36">
                          <w:pPr>
                            <w:pStyle w:val="13"/>
                          </w:pPr>
                          <w:r>
                            <w:rPr>
                              <w:rFonts w:hint="eastAsia"/>
                            </w:rPr>
                            <w:fldChar w:fldCharType="begin"/>
                          </w:r>
                          <w:r>
                            <w:rPr>
                              <w:rFonts w:hint="eastAsia"/>
                            </w:rPr>
                            <w:instrText xml:space="preserve"> PAGE  \* MERGEFORMAT </w:instrText>
                          </w:r>
                          <w:r>
                            <w:rPr>
                              <w:rFonts w:hint="eastAsia"/>
                            </w:rPr>
                            <w:fldChar w:fldCharType="separate"/>
                          </w:r>
                          <w:r>
                            <w:t>40</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2058" o:spid="_x0000_s1026" o:spt="202" type="#_x0000_t202" style="position:absolute;left:0pt;margin-top:0pt;height:10.35pt;width:9.05pt;mso-position-horizontal:center;mso-position-horizontal-relative:margin;mso-wrap-style:none;z-index:251663360;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&#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PlfknQAAAAAwEAAA8AAAAAAAAAAQAgAAAAIgAAAGRy&#10;cy9kb3ducmV2LnhtbFBLAQIUABQAAAAIAIdO4kCTA4c/DQIAAAUEAAAOAAAAAAAAAAEAIAAAAB8B&#10;AABkcnMvZTJvRG9jLnhtbFBLBQYAAAAABgAGAFkBAACeBQAAAAA=&#10;">
              <v:fill on="f" focussize="0,0"/>
              <v:stroke on="f"/>
              <v:imagedata o:title=""/>
              <o:lock v:ext="edit" aspectratio="f"/>
              <v:textbox inset="0mm,0mm,0mm,0mm" style="mso-fit-shape-to-text:t;">
                <w:txbxContent>
                  <w:p w14:paraId="769DEB36">
                    <w:pPr>
                      <w:pStyle w:val="13"/>
                    </w:pPr>
                    <w:r>
                      <w:rPr>
                        <w:rFonts w:hint="eastAsia"/>
                      </w:rPr>
                      <w:fldChar w:fldCharType="begin"/>
                    </w:r>
                    <w:r>
                      <w:rPr>
                        <w:rFonts w:hint="eastAsia"/>
                      </w:rPr>
                      <w:instrText xml:space="preserve"> PAGE  \* MERGEFORMAT </w:instrText>
                    </w:r>
                    <w:r>
                      <w:rPr>
                        <w:rFonts w:hint="eastAsia"/>
                      </w:rPr>
                      <w:fldChar w:fldCharType="separate"/>
                    </w:r>
                    <w:r>
                      <w:t>40</w:t>
                    </w:r>
                    <w:r>
                      <w:rPr>
                        <w:rFonts w:hint="eastAsia"/>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43554E">
    <w:pPr>
      <w:pStyle w:val="13"/>
      <w:jc w:val="center"/>
      <w:rPr>
        <w:rFonts w:ascii="宋体" w:hAnsi="宋体"/>
        <w:sz w:val="24"/>
        <w:szCs w:val="24"/>
      </w:rPr>
    </w:pPr>
    <w:r>
      <w:rPr>
        <w:sz w:val="24"/>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14935" cy="131445"/>
              <wp:effectExtent l="0" t="0" r="0" b="0"/>
              <wp:wrapNone/>
              <wp:docPr id="1" name="文本框 2054"/>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14:paraId="0B1DED65">
                          <w:pPr>
                            <w:pStyle w:val="13"/>
                          </w:pPr>
                          <w:r>
                            <w:rPr>
                              <w:rFonts w:hint="eastAsia"/>
                            </w:rPr>
                            <w:fldChar w:fldCharType="begin"/>
                          </w:r>
                          <w:r>
                            <w:rPr>
                              <w:rFonts w:hint="eastAsia"/>
                            </w:rPr>
                            <w:instrText xml:space="preserve"> PAGE  \* MERGEFORMAT </w:instrText>
                          </w:r>
                          <w:r>
                            <w:rPr>
                              <w:rFonts w:hint="eastAsia"/>
                            </w:rPr>
                            <w:fldChar w:fldCharType="separate"/>
                          </w:r>
                          <w:r>
                            <w:t>49</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2054" o:spid="_x0000_s1026" o:spt="202" type="#_x0000_t202" style="position:absolute;left:0pt;margin-top:0pt;height:10.35pt;width:9.05pt;mso-position-horizontal:center;mso-position-horizontal-relative:margin;mso-wrap-style:none;z-index:251661312;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Q+V+SdAAAAADAQAADwAAAAAAAAABACAAAAAiAAAAZHJz&#10;L2Rvd25yZXYueG1sUEsBAhQAFAAAAAgAh07iQLqVVFoMAgAABQQAAA4AAAAAAAAAAQAgAAAAHwEA&#10;AGRycy9lMm9Eb2MueG1sUEsFBgAAAAAGAAYAWQEAAJ0FAAAAAA==&#10;">
              <v:fill on="f" focussize="0,0"/>
              <v:stroke on="f"/>
              <v:imagedata o:title=""/>
              <o:lock v:ext="edit" aspectratio="f"/>
              <v:textbox inset="0mm,0mm,0mm,0mm" style="mso-fit-shape-to-text:t;">
                <w:txbxContent>
                  <w:p w14:paraId="0B1DED65">
                    <w:pPr>
                      <w:pStyle w:val="13"/>
                    </w:pPr>
                    <w:r>
                      <w:rPr>
                        <w:rFonts w:hint="eastAsia"/>
                      </w:rPr>
                      <w:fldChar w:fldCharType="begin"/>
                    </w:r>
                    <w:r>
                      <w:rPr>
                        <w:rFonts w:hint="eastAsia"/>
                      </w:rPr>
                      <w:instrText xml:space="preserve"> PAGE  \* MERGEFORMAT </w:instrText>
                    </w:r>
                    <w:r>
                      <w:rPr>
                        <w:rFonts w:hint="eastAsia"/>
                      </w:rPr>
                      <w:fldChar w:fldCharType="separate"/>
                    </w:r>
                    <w:r>
                      <w:t>49</w:t>
                    </w:r>
                    <w:r>
                      <w:rPr>
                        <w:rFonts w:hint="eastAsia"/>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124E0D">
    <w:pPr>
      <w:pStyle w:val="13"/>
      <w:jc w:val="cente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16E41A4">
                          <w:pPr>
                            <w:pStyle w:val="13"/>
                          </w:pPr>
                          <w:r>
                            <w:fldChar w:fldCharType="begin"/>
                          </w:r>
                          <w:r>
                            <w:instrText xml:space="preserve"> PAGE  \* MERGEFORMAT </w:instrText>
                          </w:r>
                          <w:r>
                            <w:fldChar w:fldCharType="separate"/>
                          </w:r>
                          <w:r>
                            <w:t>25</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Ca5apNwwEAAI8DAAAOAAAAAAAAAAEAIAAAAB4BAABkcnMvZTJvRG9jLnhtbFBL&#10;BQYAAAAABgAGAFkBAABTBQAAAAA=&#10;">
              <v:fill on="f" focussize="0,0"/>
              <v:stroke on="f"/>
              <v:imagedata o:title=""/>
              <o:lock v:ext="edit" aspectratio="f"/>
              <v:textbox inset="0mm,0mm,0mm,0mm" style="mso-fit-shape-to-text:t;">
                <w:txbxContent>
                  <w:p w14:paraId="116E41A4">
                    <w:pPr>
                      <w:pStyle w:val="13"/>
                    </w:pPr>
                    <w:r>
                      <w:fldChar w:fldCharType="begin"/>
                    </w:r>
                    <w:r>
                      <w:instrText xml:space="preserve"> PAGE  \* MERGEFORMAT </w:instrText>
                    </w:r>
                    <w:r>
                      <w:fldChar w:fldCharType="separate"/>
                    </w:r>
                    <w:r>
                      <w:t>25</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3D0DE14"/>
    <w:multiLevelType w:val="singleLevel"/>
    <w:tmpl w:val="F3D0DE14"/>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RhNGY3YzRjNDgxMjI3YTk3YTcyN2Y1NGJkYWFkZWMifQ=="/>
  </w:docVars>
  <w:rsids>
    <w:rsidRoot w:val="00CD52C7"/>
    <w:rsid w:val="00CD52C7"/>
    <w:rsid w:val="01097CE8"/>
    <w:rsid w:val="01117B09"/>
    <w:rsid w:val="027D3E9D"/>
    <w:rsid w:val="02861AEE"/>
    <w:rsid w:val="030B73A9"/>
    <w:rsid w:val="03101E00"/>
    <w:rsid w:val="03933F23"/>
    <w:rsid w:val="04543B68"/>
    <w:rsid w:val="06905732"/>
    <w:rsid w:val="06CA4FF0"/>
    <w:rsid w:val="06E41FEB"/>
    <w:rsid w:val="070E0675"/>
    <w:rsid w:val="073E3EF6"/>
    <w:rsid w:val="0936544F"/>
    <w:rsid w:val="0A4F2F7E"/>
    <w:rsid w:val="0A9B6453"/>
    <w:rsid w:val="0B903FA1"/>
    <w:rsid w:val="0B976317"/>
    <w:rsid w:val="0CAA5C57"/>
    <w:rsid w:val="0F5F5CA1"/>
    <w:rsid w:val="110F1949"/>
    <w:rsid w:val="111873EF"/>
    <w:rsid w:val="11987B90"/>
    <w:rsid w:val="12C163E8"/>
    <w:rsid w:val="14005579"/>
    <w:rsid w:val="141352AC"/>
    <w:rsid w:val="14996DC2"/>
    <w:rsid w:val="14C03300"/>
    <w:rsid w:val="154107F7"/>
    <w:rsid w:val="154850ED"/>
    <w:rsid w:val="15745C65"/>
    <w:rsid w:val="16090717"/>
    <w:rsid w:val="166030CC"/>
    <w:rsid w:val="16AE479B"/>
    <w:rsid w:val="16B74615"/>
    <w:rsid w:val="18EF1E30"/>
    <w:rsid w:val="19A520EB"/>
    <w:rsid w:val="19A862A5"/>
    <w:rsid w:val="19DE6FEA"/>
    <w:rsid w:val="19EB1402"/>
    <w:rsid w:val="1A3B248E"/>
    <w:rsid w:val="1AE259D8"/>
    <w:rsid w:val="1B08398B"/>
    <w:rsid w:val="1B2913A0"/>
    <w:rsid w:val="1CFB37D3"/>
    <w:rsid w:val="1EC72F1D"/>
    <w:rsid w:val="1EE73F05"/>
    <w:rsid w:val="1F4758FC"/>
    <w:rsid w:val="1F4853F4"/>
    <w:rsid w:val="1FF42436"/>
    <w:rsid w:val="20064163"/>
    <w:rsid w:val="20A91311"/>
    <w:rsid w:val="21E23923"/>
    <w:rsid w:val="223C62A1"/>
    <w:rsid w:val="223E208E"/>
    <w:rsid w:val="224B24D3"/>
    <w:rsid w:val="224F429B"/>
    <w:rsid w:val="229914F9"/>
    <w:rsid w:val="23986063"/>
    <w:rsid w:val="240E769E"/>
    <w:rsid w:val="243B19E5"/>
    <w:rsid w:val="248F7DBD"/>
    <w:rsid w:val="24B52569"/>
    <w:rsid w:val="253024AD"/>
    <w:rsid w:val="25465A38"/>
    <w:rsid w:val="25950217"/>
    <w:rsid w:val="25A71CF8"/>
    <w:rsid w:val="260D5FFF"/>
    <w:rsid w:val="268D740A"/>
    <w:rsid w:val="269B33CF"/>
    <w:rsid w:val="269B53B7"/>
    <w:rsid w:val="26F471BF"/>
    <w:rsid w:val="27807BC8"/>
    <w:rsid w:val="280E42B1"/>
    <w:rsid w:val="28795BCE"/>
    <w:rsid w:val="2A1268FC"/>
    <w:rsid w:val="2ADB5543"/>
    <w:rsid w:val="2B1E09DB"/>
    <w:rsid w:val="2BAB31DB"/>
    <w:rsid w:val="2CB95D87"/>
    <w:rsid w:val="2D312F83"/>
    <w:rsid w:val="2D9502B1"/>
    <w:rsid w:val="2DD37125"/>
    <w:rsid w:val="2E0028ED"/>
    <w:rsid w:val="2E835AA4"/>
    <w:rsid w:val="2EB177D4"/>
    <w:rsid w:val="2F064015"/>
    <w:rsid w:val="2F1E302B"/>
    <w:rsid w:val="2F923078"/>
    <w:rsid w:val="30766A4C"/>
    <w:rsid w:val="318209DA"/>
    <w:rsid w:val="31952718"/>
    <w:rsid w:val="31BE5023"/>
    <w:rsid w:val="31C83722"/>
    <w:rsid w:val="31EE27EE"/>
    <w:rsid w:val="331B3B35"/>
    <w:rsid w:val="33340477"/>
    <w:rsid w:val="33845E82"/>
    <w:rsid w:val="338D1240"/>
    <w:rsid w:val="34A044E2"/>
    <w:rsid w:val="34AC593B"/>
    <w:rsid w:val="34C07A23"/>
    <w:rsid w:val="34F57DE4"/>
    <w:rsid w:val="354F3B59"/>
    <w:rsid w:val="355226E3"/>
    <w:rsid w:val="35944047"/>
    <w:rsid w:val="361B20DC"/>
    <w:rsid w:val="36223193"/>
    <w:rsid w:val="38351A5E"/>
    <w:rsid w:val="387754B2"/>
    <w:rsid w:val="38983E4E"/>
    <w:rsid w:val="3A905C8A"/>
    <w:rsid w:val="3C34763D"/>
    <w:rsid w:val="3C3F2833"/>
    <w:rsid w:val="3CCF1E09"/>
    <w:rsid w:val="3D855520"/>
    <w:rsid w:val="3E333D55"/>
    <w:rsid w:val="3EC7548D"/>
    <w:rsid w:val="3F174129"/>
    <w:rsid w:val="40703334"/>
    <w:rsid w:val="40D514AA"/>
    <w:rsid w:val="40DE0BEA"/>
    <w:rsid w:val="4231222C"/>
    <w:rsid w:val="42D40C91"/>
    <w:rsid w:val="43C13C6A"/>
    <w:rsid w:val="44215F27"/>
    <w:rsid w:val="449D67EB"/>
    <w:rsid w:val="45D81DA4"/>
    <w:rsid w:val="45FE68F5"/>
    <w:rsid w:val="474F7946"/>
    <w:rsid w:val="4796216E"/>
    <w:rsid w:val="47BF6F51"/>
    <w:rsid w:val="4C9A531D"/>
    <w:rsid w:val="4DA97E11"/>
    <w:rsid w:val="4E441AD1"/>
    <w:rsid w:val="4EEA4880"/>
    <w:rsid w:val="4F0A4871"/>
    <w:rsid w:val="50185A4D"/>
    <w:rsid w:val="524D1D13"/>
    <w:rsid w:val="528079D5"/>
    <w:rsid w:val="528D2EAA"/>
    <w:rsid w:val="52A8522F"/>
    <w:rsid w:val="52AF1B41"/>
    <w:rsid w:val="5362726B"/>
    <w:rsid w:val="54147C88"/>
    <w:rsid w:val="54281AFA"/>
    <w:rsid w:val="557D4BCE"/>
    <w:rsid w:val="55A531BA"/>
    <w:rsid w:val="55F9260A"/>
    <w:rsid w:val="56074E9B"/>
    <w:rsid w:val="566B274A"/>
    <w:rsid w:val="56A15E8C"/>
    <w:rsid w:val="57566F57"/>
    <w:rsid w:val="5761062C"/>
    <w:rsid w:val="57DD31D4"/>
    <w:rsid w:val="57E83927"/>
    <w:rsid w:val="58FE4D8A"/>
    <w:rsid w:val="59A92FBB"/>
    <w:rsid w:val="5A221D54"/>
    <w:rsid w:val="5A9B5D9E"/>
    <w:rsid w:val="5AE73231"/>
    <w:rsid w:val="5B10545C"/>
    <w:rsid w:val="5BB0570C"/>
    <w:rsid w:val="5C451668"/>
    <w:rsid w:val="5C6C205A"/>
    <w:rsid w:val="5E257683"/>
    <w:rsid w:val="5EA553EC"/>
    <w:rsid w:val="5EC71BCD"/>
    <w:rsid w:val="5ED370DF"/>
    <w:rsid w:val="5F61742A"/>
    <w:rsid w:val="5F93241B"/>
    <w:rsid w:val="60A07495"/>
    <w:rsid w:val="611333C5"/>
    <w:rsid w:val="629435B8"/>
    <w:rsid w:val="62B2475E"/>
    <w:rsid w:val="62ED138B"/>
    <w:rsid w:val="634B193A"/>
    <w:rsid w:val="63D530FA"/>
    <w:rsid w:val="63FB09E7"/>
    <w:rsid w:val="65491356"/>
    <w:rsid w:val="659375C8"/>
    <w:rsid w:val="661004E0"/>
    <w:rsid w:val="66697233"/>
    <w:rsid w:val="67743146"/>
    <w:rsid w:val="67892A30"/>
    <w:rsid w:val="689B5C8E"/>
    <w:rsid w:val="69675B47"/>
    <w:rsid w:val="69706592"/>
    <w:rsid w:val="69A17079"/>
    <w:rsid w:val="6A4368DA"/>
    <w:rsid w:val="6A5405E4"/>
    <w:rsid w:val="6A883473"/>
    <w:rsid w:val="6AD205BF"/>
    <w:rsid w:val="6AFE0445"/>
    <w:rsid w:val="6BF6440D"/>
    <w:rsid w:val="6CB05239"/>
    <w:rsid w:val="6D232646"/>
    <w:rsid w:val="6D6F47F8"/>
    <w:rsid w:val="6E82527D"/>
    <w:rsid w:val="6EC063AA"/>
    <w:rsid w:val="70226534"/>
    <w:rsid w:val="715B6A6C"/>
    <w:rsid w:val="71EF1DE2"/>
    <w:rsid w:val="72B50B7E"/>
    <w:rsid w:val="75090455"/>
    <w:rsid w:val="7553467E"/>
    <w:rsid w:val="756A2D26"/>
    <w:rsid w:val="76041EAA"/>
    <w:rsid w:val="78436C2C"/>
    <w:rsid w:val="78966DD7"/>
    <w:rsid w:val="78BA0A49"/>
    <w:rsid w:val="78CC645D"/>
    <w:rsid w:val="79B56435"/>
    <w:rsid w:val="7B4D279B"/>
    <w:rsid w:val="7D0B2529"/>
    <w:rsid w:val="7DB3215D"/>
    <w:rsid w:val="7DEF77B2"/>
    <w:rsid w:val="7E283678"/>
    <w:rsid w:val="7E680A67"/>
    <w:rsid w:val="7EBD46AC"/>
    <w:rsid w:val="7F3D122A"/>
    <w:rsid w:val="7FE72592"/>
    <w:rsid w:val="7FF8DF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99"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link w:val="58"/>
    <w:autoRedefine/>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character" w:default="1" w:styleId="22">
    <w:name w:val="Default Paragraph Font"/>
    <w:autoRedefine/>
    <w:semiHidden/>
    <w:qFormat/>
    <w:uiPriority w:val="0"/>
  </w:style>
  <w:style w:type="table" w:default="1" w:styleId="20">
    <w:name w:val="Normal Table"/>
    <w:autoRedefine/>
    <w:semiHidden/>
    <w:qFormat/>
    <w:uiPriority w:val="0"/>
    <w:tblPr>
      <w:tblCellMar>
        <w:top w:w="0" w:type="dxa"/>
        <w:left w:w="108" w:type="dxa"/>
        <w:bottom w:w="0" w:type="dxa"/>
        <w:right w:w="108" w:type="dxa"/>
      </w:tblCellMar>
    </w:tblPr>
  </w:style>
  <w:style w:type="paragraph" w:styleId="2">
    <w:name w:val="Body Text"/>
    <w:basedOn w:val="1"/>
    <w:next w:val="3"/>
    <w:autoRedefine/>
    <w:qFormat/>
    <w:uiPriority w:val="0"/>
    <w:pPr>
      <w:widowControl/>
      <w:snapToGrid w:val="0"/>
      <w:spacing w:before="60" w:after="160" w:line="259" w:lineRule="auto"/>
      <w:ind w:right="113"/>
    </w:pPr>
    <w:rPr>
      <w:kern w:val="0"/>
      <w:sz w:val="18"/>
      <w:szCs w:val="20"/>
    </w:rPr>
  </w:style>
  <w:style w:type="paragraph" w:customStyle="1" w:styleId="3">
    <w:name w:val="Normal (Web)1"/>
    <w:basedOn w:val="1"/>
    <w:next w:val="4"/>
    <w:autoRedefine/>
    <w:qFormat/>
    <w:uiPriority w:val="0"/>
    <w:pPr>
      <w:widowControl/>
      <w:jc w:val="left"/>
    </w:pPr>
    <w:rPr>
      <w:rFonts w:ascii="宋体"/>
      <w:kern w:val="0"/>
      <w:sz w:val="24"/>
      <w:szCs w:val="21"/>
    </w:rPr>
  </w:style>
  <w:style w:type="paragraph" w:customStyle="1" w:styleId="4">
    <w:name w:val="Date1"/>
    <w:basedOn w:val="1"/>
    <w:next w:val="1"/>
    <w:autoRedefine/>
    <w:qFormat/>
    <w:uiPriority w:val="99"/>
    <w:pPr>
      <w:ind w:left="2500" w:leftChars="2500"/>
    </w:pPr>
  </w:style>
  <w:style w:type="paragraph" w:styleId="6">
    <w:name w:val="Normal Indent"/>
    <w:basedOn w:val="1"/>
    <w:next w:val="7"/>
    <w:autoRedefine/>
    <w:qFormat/>
    <w:uiPriority w:val="0"/>
    <w:pPr>
      <w:spacing w:line="460" w:lineRule="atLeast"/>
      <w:ind w:firstLine="420"/>
    </w:pPr>
    <w:rPr>
      <w:sz w:val="24"/>
      <w:szCs w:val="20"/>
    </w:rPr>
  </w:style>
  <w:style w:type="paragraph" w:styleId="7">
    <w:name w:val="Body Text First Indent 2"/>
    <w:basedOn w:val="8"/>
    <w:next w:val="1"/>
    <w:autoRedefine/>
    <w:qFormat/>
    <w:uiPriority w:val="0"/>
    <w:pPr>
      <w:ind w:firstLine="420" w:firstLineChars="200"/>
    </w:pPr>
    <w:rPr>
      <w:rFonts w:ascii="Calibri" w:hAnsi="Calibri" w:cs="Calibri"/>
      <w:kern w:val="2"/>
      <w:sz w:val="21"/>
      <w:szCs w:val="24"/>
    </w:rPr>
  </w:style>
  <w:style w:type="paragraph" w:styleId="8">
    <w:name w:val="Body Text Indent"/>
    <w:basedOn w:val="1"/>
    <w:next w:val="1"/>
    <w:autoRedefine/>
    <w:qFormat/>
    <w:uiPriority w:val="0"/>
    <w:pPr>
      <w:spacing w:after="120"/>
      <w:ind w:left="420" w:leftChars="200"/>
    </w:pPr>
    <w:rPr>
      <w:kern w:val="0"/>
      <w:sz w:val="24"/>
      <w:szCs w:val="20"/>
    </w:rPr>
  </w:style>
  <w:style w:type="paragraph" w:styleId="9">
    <w:name w:val="caption"/>
    <w:basedOn w:val="1"/>
    <w:next w:val="1"/>
    <w:autoRedefine/>
    <w:qFormat/>
    <w:uiPriority w:val="35"/>
    <w:pPr>
      <w:widowControl/>
      <w:adjustRightInd w:val="0"/>
      <w:snapToGrid w:val="0"/>
      <w:jc w:val="center"/>
    </w:pPr>
    <w:rPr>
      <w:rFonts w:eastAsia="黑体"/>
      <w:kern w:val="0"/>
      <w:sz w:val="24"/>
    </w:rPr>
  </w:style>
  <w:style w:type="paragraph" w:styleId="10">
    <w:name w:val="annotation text"/>
    <w:basedOn w:val="1"/>
    <w:autoRedefine/>
    <w:semiHidden/>
    <w:qFormat/>
    <w:uiPriority w:val="0"/>
    <w:pPr>
      <w:jc w:val="left"/>
    </w:pPr>
    <w:rPr>
      <w:kern w:val="0"/>
      <w:sz w:val="24"/>
      <w:szCs w:val="20"/>
    </w:rPr>
  </w:style>
  <w:style w:type="paragraph" w:styleId="11">
    <w:name w:val="Plain Text"/>
    <w:basedOn w:val="1"/>
    <w:autoRedefine/>
    <w:qFormat/>
    <w:uiPriority w:val="0"/>
    <w:rPr>
      <w:rFonts w:ascii="宋体" w:hAnsi="Courier New" w:eastAsia="宋体" w:cs="Times New Roman"/>
      <w:szCs w:val="20"/>
    </w:rPr>
  </w:style>
  <w:style w:type="paragraph" w:styleId="12">
    <w:name w:val="Body Text Indent 2"/>
    <w:basedOn w:val="1"/>
    <w:qFormat/>
    <w:uiPriority w:val="99"/>
    <w:pPr>
      <w:spacing w:after="120" w:line="480" w:lineRule="auto"/>
      <w:ind w:left="420" w:leftChars="200"/>
    </w:pPr>
  </w:style>
  <w:style w:type="paragraph" w:styleId="13">
    <w:name w:val="footer"/>
    <w:basedOn w:val="1"/>
    <w:autoRedefine/>
    <w:qFormat/>
    <w:uiPriority w:val="99"/>
    <w:pPr>
      <w:tabs>
        <w:tab w:val="center" w:pos="4153"/>
        <w:tab w:val="right" w:pos="8306"/>
      </w:tabs>
      <w:snapToGrid w:val="0"/>
      <w:jc w:val="left"/>
    </w:pPr>
    <w:rPr>
      <w:kern w:val="0"/>
      <w:sz w:val="18"/>
      <w:szCs w:val="20"/>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5">
    <w:name w:val="toc 1"/>
    <w:basedOn w:val="1"/>
    <w:next w:val="1"/>
    <w:autoRedefine/>
    <w:unhideWhenUsed/>
    <w:qFormat/>
    <w:uiPriority w:val="39"/>
    <w:pPr>
      <w:widowControl/>
      <w:spacing w:after="100" w:line="259" w:lineRule="auto"/>
      <w:jc w:val="left"/>
    </w:pPr>
    <w:rPr>
      <w:rFonts w:asciiTheme="minorHAnsi" w:hAnsiTheme="minorHAnsi" w:eastAsiaTheme="minorEastAsia"/>
      <w:kern w:val="0"/>
      <w:sz w:val="22"/>
      <w:szCs w:val="22"/>
    </w:rPr>
  </w:style>
  <w:style w:type="paragraph" w:styleId="16">
    <w:name w:val="toc 2"/>
    <w:basedOn w:val="1"/>
    <w:next w:val="1"/>
    <w:autoRedefine/>
    <w:qFormat/>
    <w:uiPriority w:val="39"/>
    <w:pPr>
      <w:ind w:left="210"/>
      <w:jc w:val="left"/>
    </w:pPr>
    <w:rPr>
      <w:smallCaps/>
      <w:sz w:val="20"/>
      <w:szCs w:val="20"/>
    </w:rPr>
  </w:style>
  <w:style w:type="paragraph" w:styleId="17">
    <w:name w:val="Message Header"/>
    <w:basedOn w:val="1"/>
    <w:autoRedefine/>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z w:val="24"/>
    </w:rPr>
  </w:style>
  <w:style w:type="paragraph" w:styleId="18">
    <w:name w:val="Normal (Web)"/>
    <w:basedOn w:val="1"/>
    <w:autoRedefine/>
    <w:qFormat/>
    <w:uiPriority w:val="99"/>
    <w:pPr>
      <w:widowControl/>
      <w:spacing w:before="100" w:beforeAutospacing="1" w:after="100" w:afterAutospacing="1"/>
      <w:jc w:val="left"/>
    </w:pPr>
    <w:rPr>
      <w:rFonts w:ascii="宋体" w:hAnsi="宋体"/>
      <w:kern w:val="0"/>
      <w:sz w:val="24"/>
      <w:szCs w:val="20"/>
    </w:rPr>
  </w:style>
  <w:style w:type="paragraph" w:styleId="19">
    <w:name w:val="Body Text First Indent"/>
    <w:basedOn w:val="2"/>
    <w:autoRedefine/>
    <w:qFormat/>
    <w:uiPriority w:val="0"/>
    <w:pPr>
      <w:ind w:firstLine="420" w:firstLineChars="100"/>
    </w:pPr>
  </w:style>
  <w:style w:type="table" w:styleId="21">
    <w:name w:val="Table Grid"/>
    <w:basedOn w:val="20"/>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page number"/>
    <w:basedOn w:val="22"/>
    <w:autoRedefine/>
    <w:qFormat/>
    <w:uiPriority w:val="0"/>
  </w:style>
  <w:style w:type="paragraph" w:customStyle="1" w:styleId="24">
    <w:name w:val="BodyText"/>
    <w:basedOn w:val="1"/>
    <w:autoRedefine/>
    <w:qFormat/>
    <w:uiPriority w:val="0"/>
    <w:pPr>
      <w:textAlignment w:val="baseline"/>
    </w:pPr>
    <w:rPr>
      <w:rFonts w:ascii="宋体" w:hAnsi="宋体"/>
      <w:szCs w:val="21"/>
    </w:rPr>
  </w:style>
  <w:style w:type="paragraph" w:customStyle="1" w:styleId="25">
    <w:name w:val="样式 正文首行缩进 + 首行缩进:  2 字符1"/>
    <w:basedOn w:val="1"/>
    <w:next w:val="15"/>
    <w:autoRedefine/>
    <w:qFormat/>
    <w:uiPriority w:val="0"/>
    <w:pPr>
      <w:spacing w:line="360" w:lineRule="auto"/>
      <w:ind w:firstLine="480" w:firstLineChars="200"/>
    </w:pPr>
    <w:rPr>
      <w:sz w:val="24"/>
    </w:rPr>
  </w:style>
  <w:style w:type="paragraph" w:customStyle="1" w:styleId="26">
    <w:name w:val="样式 正文缩进正文缩进2正文缩进 Char Char正文缩进 Char Char Char Char正文缩进 Char ..."/>
    <w:basedOn w:val="6"/>
    <w:autoRedefine/>
    <w:qFormat/>
    <w:uiPriority w:val="0"/>
    <w:pPr>
      <w:spacing w:line="240" w:lineRule="auto"/>
      <w:ind w:firstLine="0" w:firstLineChars="0"/>
    </w:pPr>
    <w:rPr>
      <w:rFonts w:ascii="Times New Roman" w:hAnsi="Times New Roman" w:eastAsia="宋体" w:cs="Times New Roman"/>
      <w:w w:val="80"/>
      <w:sz w:val="18"/>
      <w:szCs w:val="15"/>
    </w:rPr>
  </w:style>
  <w:style w:type="paragraph" w:customStyle="1" w:styleId="27">
    <w:name w:val="样式 正文文本缩进 + 行距: 1.5 倍行距"/>
    <w:basedOn w:val="8"/>
    <w:autoRedefine/>
    <w:qFormat/>
    <w:uiPriority w:val="0"/>
    <w:pPr>
      <w:snapToGrid/>
      <w:spacing w:before="0" w:after="120" w:line="360" w:lineRule="auto"/>
      <w:ind w:left="90" w:leftChars="32" w:firstLine="560" w:firstLineChars="200"/>
    </w:pPr>
    <w:rPr>
      <w:rFonts w:ascii="Times New Roman" w:eastAsia="宋体" w:cs="宋体"/>
    </w:rPr>
  </w:style>
  <w:style w:type="paragraph" w:customStyle="1" w:styleId="28">
    <w:name w:val="Default"/>
    <w:basedOn w:val="29"/>
    <w:next w:val="1"/>
    <w:autoRedefine/>
    <w:qFormat/>
    <w:uiPriority w:val="0"/>
    <w:pPr>
      <w:widowControl w:val="0"/>
      <w:autoSpaceDE w:val="0"/>
      <w:autoSpaceDN w:val="0"/>
    </w:pPr>
    <w:rPr>
      <w:rFonts w:hAnsi="Times New Roman" w:cs="宋体"/>
      <w:color w:val="000000"/>
      <w:szCs w:val="24"/>
    </w:rPr>
  </w:style>
  <w:style w:type="paragraph" w:customStyle="1" w:styleId="29">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30">
    <w:name w:val="【正文】"/>
    <w:basedOn w:val="1"/>
    <w:next w:val="17"/>
    <w:autoRedefine/>
    <w:qFormat/>
    <w:uiPriority w:val="0"/>
    <w:pPr>
      <w:ind w:firstLine="480"/>
    </w:pPr>
    <w:rPr>
      <w:sz w:val="24"/>
    </w:rPr>
  </w:style>
  <w:style w:type="paragraph" w:customStyle="1" w:styleId="31">
    <w:name w:val="内容"/>
    <w:basedOn w:val="1"/>
    <w:autoRedefine/>
    <w:qFormat/>
    <w:uiPriority w:val="0"/>
    <w:pPr>
      <w:spacing w:before="156" w:beforeLines="50" w:after="156" w:afterLines="50"/>
      <w:ind w:firstLine="200" w:firstLineChars="200"/>
    </w:pPr>
    <w:rPr>
      <w:color w:val="000000"/>
      <w:sz w:val="24"/>
    </w:rPr>
  </w:style>
  <w:style w:type="paragraph" w:customStyle="1" w:styleId="32">
    <w:name w:val="表中字"/>
    <w:autoRedefine/>
    <w:qFormat/>
    <w:uiPriority w:val="0"/>
    <w:pPr>
      <w:jc w:val="center"/>
    </w:pPr>
    <w:rPr>
      <w:rFonts w:ascii="Times New Roman" w:hAnsi="Times New Roman" w:eastAsia="宋体" w:cs="Times New Roman"/>
      <w:kern w:val="2"/>
      <w:sz w:val="21"/>
      <w:szCs w:val="22"/>
      <w:lang w:val="zh-CN" w:eastAsia="zh-CN" w:bidi="ar-SA"/>
    </w:rPr>
  </w:style>
  <w:style w:type="character" w:customStyle="1" w:styleId="33">
    <w:name w:val="NormalCharacter"/>
    <w:autoRedefine/>
    <w:semiHidden/>
    <w:qFormat/>
    <w:uiPriority w:val="0"/>
    <w:rPr>
      <w:rFonts w:ascii="Times New Roman" w:hAnsi="Times New Roman" w:eastAsia="宋体" w:cs="Times New Roman"/>
      <w:kern w:val="2"/>
      <w:sz w:val="21"/>
      <w:szCs w:val="24"/>
      <w:lang w:val="en-US" w:eastAsia="zh-CN" w:bidi="ar-SA"/>
    </w:rPr>
  </w:style>
  <w:style w:type="paragraph" w:customStyle="1" w:styleId="34">
    <w:name w:val="表中文字"/>
    <w:basedOn w:val="1"/>
    <w:autoRedefine/>
    <w:qFormat/>
    <w:uiPriority w:val="0"/>
    <w:pPr>
      <w:jc w:val="center"/>
    </w:pPr>
  </w:style>
  <w:style w:type="paragraph" w:customStyle="1" w:styleId="35">
    <w:name w:val="Table Paragraph"/>
    <w:basedOn w:val="1"/>
    <w:autoRedefine/>
    <w:qFormat/>
    <w:uiPriority w:val="0"/>
    <w:pPr>
      <w:autoSpaceDE w:val="0"/>
      <w:autoSpaceDN w:val="0"/>
      <w:jc w:val="center"/>
    </w:pPr>
    <w:rPr>
      <w:rFonts w:hint="eastAsia" w:ascii="仿宋" w:hAnsi="仿宋" w:eastAsia="仿宋"/>
      <w:kern w:val="0"/>
      <w:sz w:val="22"/>
      <w:szCs w:val="22"/>
    </w:rPr>
  </w:style>
  <w:style w:type="paragraph" w:customStyle="1" w:styleId="36">
    <w:name w:val="正文 New New"/>
    <w:autoRedefine/>
    <w:qFormat/>
    <w:uiPriority w:val="0"/>
    <w:pPr>
      <w:widowControl w:val="0"/>
      <w:jc w:val="both"/>
    </w:pPr>
    <w:rPr>
      <w:rFonts w:ascii="Calibri" w:hAnsi="Calibri" w:eastAsia="宋体" w:cs="Times New Roman"/>
      <w:kern w:val="2"/>
      <w:sz w:val="21"/>
      <w:szCs w:val="24"/>
      <w:lang w:val="en-US" w:eastAsia="zh-CN" w:bidi="ar-SA"/>
    </w:rPr>
  </w:style>
  <w:style w:type="paragraph" w:customStyle="1" w:styleId="37">
    <w:name w:val="表格内容"/>
    <w:autoRedefine/>
    <w:qFormat/>
    <w:uiPriority w:val="0"/>
    <w:pPr>
      <w:adjustRightInd w:val="0"/>
      <w:snapToGrid w:val="0"/>
      <w:spacing w:line="360" w:lineRule="exact"/>
      <w:jc w:val="center"/>
    </w:pPr>
    <w:rPr>
      <w:rFonts w:ascii="Times New Roman" w:hAnsi="Times New Roman" w:eastAsia="宋体" w:cs="Times New Roman"/>
      <w:color w:val="000000"/>
      <w:sz w:val="21"/>
      <w:szCs w:val="24"/>
      <w:lang w:val="en-US" w:eastAsia="zh-CN" w:bidi="ar-SA"/>
    </w:rPr>
  </w:style>
  <w:style w:type="paragraph" w:customStyle="1" w:styleId="38">
    <w:name w:val="表格"/>
    <w:basedOn w:val="1"/>
    <w:next w:val="1"/>
    <w:autoRedefine/>
    <w:qFormat/>
    <w:uiPriority w:val="0"/>
    <w:pPr>
      <w:adjustRightInd w:val="0"/>
      <w:snapToGrid w:val="0"/>
      <w:spacing w:beforeLines="10" w:afterLines="10" w:line="259" w:lineRule="auto"/>
      <w:jc w:val="center"/>
    </w:pPr>
    <w:rPr>
      <w:rFonts w:ascii="宋体"/>
      <w:kern w:val="0"/>
      <w:szCs w:val="20"/>
    </w:rPr>
  </w:style>
  <w:style w:type="paragraph" w:customStyle="1" w:styleId="39">
    <w:name w:val="首行缩进表格正文"/>
    <w:basedOn w:val="1"/>
    <w:autoRedefine/>
    <w:qFormat/>
    <w:uiPriority w:val="0"/>
    <w:pPr>
      <w:spacing w:line="360" w:lineRule="auto"/>
      <w:ind w:firstLine="720" w:firstLineChars="200"/>
      <w:jc w:val="left"/>
    </w:pPr>
    <w:rPr>
      <w:rFonts w:ascii="Times New Roman" w:hAnsi="Times New Roman" w:eastAsia="宋体"/>
    </w:rPr>
  </w:style>
  <w:style w:type="paragraph" w:customStyle="1" w:styleId="40">
    <w:name w:val="【表中文字】"/>
    <w:basedOn w:val="1"/>
    <w:autoRedefine/>
    <w:qFormat/>
    <w:uiPriority w:val="0"/>
    <w:pPr>
      <w:spacing w:line="240" w:lineRule="auto"/>
      <w:jc w:val="center"/>
    </w:pPr>
    <w:rPr>
      <w:rFonts w:ascii="Calibri" w:hAnsi="Calibri" w:eastAsia="宋体" w:cs="Times New Roman"/>
      <w:sz w:val="21"/>
      <w:szCs w:val="22"/>
    </w:rPr>
  </w:style>
  <w:style w:type="paragraph" w:customStyle="1" w:styleId="41">
    <w:name w:val="表格文字"/>
    <w:basedOn w:val="11"/>
    <w:next w:val="1"/>
    <w:autoRedefine/>
    <w:qFormat/>
    <w:uiPriority w:val="0"/>
    <w:pPr>
      <w:spacing w:before="60" w:after="60" w:line="360" w:lineRule="auto"/>
      <w:ind w:firstLine="640"/>
    </w:pPr>
    <w:rPr>
      <w:rFonts w:ascii="Calibri" w:hAnsi="Calibri" w:cs="Times New Roman"/>
    </w:rPr>
  </w:style>
  <w:style w:type="paragraph" w:customStyle="1" w:styleId="42">
    <w:name w:val="文本正文"/>
    <w:autoRedefine/>
    <w:qFormat/>
    <w:uiPriority w:val="0"/>
    <w:pPr>
      <w:spacing w:line="360" w:lineRule="auto"/>
      <w:ind w:firstLine="200" w:firstLineChars="200"/>
    </w:pPr>
    <w:rPr>
      <w:rFonts w:ascii="Times New Roman" w:hAnsi="Times New Roman" w:eastAsia="宋体" w:cs="Times New Roman"/>
      <w:sz w:val="24"/>
      <w:szCs w:val="24"/>
    </w:rPr>
  </w:style>
  <w:style w:type="character" w:customStyle="1" w:styleId="43">
    <w:name w:val="样式 文本正文 + Calibri 黑色 Char"/>
    <w:link w:val="44"/>
    <w:autoRedefine/>
    <w:qFormat/>
    <w:uiPriority w:val="0"/>
    <w:rPr>
      <w:color w:val="000000"/>
    </w:rPr>
  </w:style>
  <w:style w:type="paragraph" w:customStyle="1" w:styleId="44">
    <w:name w:val="样式 文本正文 + Calibri 黑色"/>
    <w:basedOn w:val="42"/>
    <w:link w:val="43"/>
    <w:autoRedefine/>
    <w:qFormat/>
    <w:uiPriority w:val="0"/>
    <w:rPr>
      <w:color w:val="000000"/>
    </w:rPr>
  </w:style>
  <w:style w:type="paragraph" w:customStyle="1" w:styleId="45">
    <w:name w:val="样式 黑体 居中 行距: 1.5 倍行距"/>
    <w:basedOn w:val="1"/>
    <w:autoRedefine/>
    <w:qFormat/>
    <w:uiPriority w:val="0"/>
    <w:pPr>
      <w:spacing w:line="360" w:lineRule="auto"/>
      <w:jc w:val="center"/>
    </w:pPr>
    <w:rPr>
      <w:rFonts w:hint="eastAsia" w:ascii="黑体" w:hAnsi="黑体" w:eastAsia="黑体"/>
      <w:kern w:val="0"/>
      <w:sz w:val="24"/>
      <w:szCs w:val="20"/>
    </w:rPr>
  </w:style>
  <w:style w:type="paragraph" w:customStyle="1" w:styleId="46">
    <w:name w:val="雪表头"/>
    <w:basedOn w:val="1"/>
    <w:next w:val="1"/>
    <w:autoRedefine/>
    <w:qFormat/>
    <w:uiPriority w:val="0"/>
    <w:pPr>
      <w:keepNext/>
      <w:spacing w:line="500" w:lineRule="exact"/>
      <w:jc w:val="center"/>
    </w:pPr>
    <w:rPr>
      <w:rFonts w:hint="default" w:ascii="Times New Roman" w:eastAsia="黑体"/>
      <w:kern w:val="2"/>
      <w:szCs w:val="24"/>
    </w:rPr>
  </w:style>
  <w:style w:type="paragraph" w:customStyle="1" w:styleId="47">
    <w:name w:val="表格中文字"/>
    <w:basedOn w:val="1"/>
    <w:autoRedefine/>
    <w:qFormat/>
    <w:uiPriority w:val="0"/>
    <w:pPr>
      <w:spacing w:line="360" w:lineRule="exact"/>
      <w:ind w:firstLine="0" w:firstLineChars="0"/>
      <w:jc w:val="center"/>
    </w:pPr>
    <w:rPr>
      <w:kern w:val="0"/>
      <w:sz w:val="21"/>
      <w:szCs w:val="21"/>
    </w:rPr>
  </w:style>
  <w:style w:type="paragraph" w:customStyle="1" w:styleId="48">
    <w:name w:val="表表头"/>
    <w:basedOn w:val="1"/>
    <w:autoRedefine/>
    <w:qFormat/>
    <w:uiPriority w:val="0"/>
    <w:pPr>
      <w:ind w:firstLine="0" w:firstLineChars="0"/>
      <w:jc w:val="center"/>
    </w:pPr>
    <w:rPr>
      <w:rFonts w:eastAsia="黑体"/>
    </w:rPr>
  </w:style>
  <w:style w:type="paragraph" w:customStyle="1" w:styleId="49">
    <w:name w:val="表文"/>
    <w:basedOn w:val="11"/>
    <w:next w:val="1"/>
    <w:autoRedefine/>
    <w:qFormat/>
    <w:uiPriority w:val="0"/>
    <w:pPr>
      <w:jc w:val="center"/>
    </w:pPr>
    <w:rPr>
      <w:szCs w:val="20"/>
    </w:rPr>
  </w:style>
  <w:style w:type="paragraph" w:customStyle="1" w:styleId="50">
    <w:name w:val="a正文"/>
    <w:basedOn w:val="51"/>
    <w:autoRedefine/>
    <w:qFormat/>
    <w:uiPriority w:val="0"/>
    <w:pPr>
      <w:spacing w:line="520" w:lineRule="exact"/>
      <w:ind w:firstLine="200" w:firstLineChars="200"/>
    </w:pPr>
    <w:rPr>
      <w:kern w:val="0"/>
      <w:szCs w:val="21"/>
    </w:rPr>
  </w:style>
  <w:style w:type="paragraph" w:customStyle="1" w:styleId="51">
    <w:name w:val="正文格式"/>
    <w:basedOn w:val="1"/>
    <w:next w:val="1"/>
    <w:autoRedefine/>
    <w:qFormat/>
    <w:uiPriority w:val="0"/>
    <w:pPr>
      <w:spacing w:line="360" w:lineRule="auto"/>
      <w:ind w:firstLine="482"/>
    </w:pPr>
  </w:style>
  <w:style w:type="paragraph" w:customStyle="1" w:styleId="52">
    <w:name w:val="..正文"/>
    <w:basedOn w:val="1"/>
    <w:qFormat/>
    <w:uiPriority w:val="0"/>
    <w:pPr>
      <w:spacing w:line="520" w:lineRule="exact"/>
      <w:ind w:firstLine="200" w:firstLineChars="200"/>
    </w:pPr>
    <w:rPr>
      <w:kern w:val="0"/>
      <w:sz w:val="24"/>
    </w:rPr>
  </w:style>
  <w:style w:type="paragraph" w:customStyle="1" w:styleId="53">
    <w:name w:val="- 页码 -"/>
    <w:qFormat/>
    <w:uiPriority w:val="0"/>
    <w:pPr>
      <w:widowControl w:val="0"/>
      <w:spacing w:line="360" w:lineRule="auto"/>
      <w:ind w:firstLine="200" w:firstLineChars="200"/>
      <w:jc w:val="both"/>
    </w:pPr>
    <w:rPr>
      <w:rFonts w:ascii="Times New Roman" w:hAnsi="Times New Roman" w:eastAsia="宋体" w:cs="Times New Roman"/>
      <w:kern w:val="2"/>
      <w:sz w:val="24"/>
      <w:lang w:val="en-US" w:eastAsia="zh-CN" w:bidi="ar-SA"/>
    </w:rPr>
  </w:style>
  <w:style w:type="paragraph" w:customStyle="1" w:styleId="54">
    <w:name w:val="11111"/>
    <w:basedOn w:val="1"/>
    <w:next w:val="1"/>
    <w:autoRedefine/>
    <w:qFormat/>
    <w:uiPriority w:val="0"/>
    <w:pPr>
      <w:spacing w:line="360" w:lineRule="auto"/>
      <w:ind w:firstLine="200" w:firstLineChars="200"/>
    </w:pPr>
    <w:rPr>
      <w:rFonts w:hAnsi="宋体" w:cs="宋体"/>
    </w:rPr>
  </w:style>
  <w:style w:type="paragraph" w:customStyle="1" w:styleId="55">
    <w:name w:val="WPSOffice手动目录 1"/>
    <w:qFormat/>
    <w:uiPriority w:val="0"/>
    <w:pPr>
      <w:ind w:leftChars="0"/>
    </w:pPr>
    <w:rPr>
      <w:rFonts w:ascii="Times New Roman" w:hAnsi="Times New Roman" w:eastAsia="宋体" w:cs="Times New Roman"/>
      <w:sz w:val="20"/>
      <w:szCs w:val="20"/>
    </w:rPr>
  </w:style>
  <w:style w:type="paragraph" w:customStyle="1" w:styleId="56">
    <w:name w:val="【表头】"/>
    <w:basedOn w:val="57"/>
    <w:next w:val="1"/>
    <w:autoRedefine/>
    <w:qFormat/>
    <w:uiPriority w:val="0"/>
    <w:pPr>
      <w:spacing w:line="460" w:lineRule="exact"/>
      <w:jc w:val="center"/>
    </w:pPr>
    <w:rPr>
      <w:b/>
      <w:sz w:val="24"/>
    </w:rPr>
  </w:style>
  <w:style w:type="paragraph" w:customStyle="1" w:styleId="57">
    <w:name w:val="0"/>
    <w:basedOn w:val="1"/>
    <w:autoRedefine/>
    <w:qFormat/>
    <w:uiPriority w:val="99"/>
    <w:pPr>
      <w:widowControl/>
      <w:snapToGrid w:val="0"/>
      <w:jc w:val="left"/>
    </w:pPr>
    <w:rPr>
      <w:rFonts w:ascii="宋体"/>
      <w:kern w:val="0"/>
      <w:sz w:val="20"/>
      <w:szCs w:val="20"/>
    </w:rPr>
  </w:style>
  <w:style w:type="character" w:customStyle="1" w:styleId="58">
    <w:name w:val="标题 1 Char"/>
    <w:link w:val="5"/>
    <w:qFormat/>
    <w:uiPriority w:val="99"/>
    <w:rPr>
      <w:rFonts w:eastAsia="黑体"/>
      <w:b/>
      <w:bCs/>
      <w:color w:val="000000"/>
      <w:kern w:val="44"/>
      <w:sz w:val="30"/>
      <w:szCs w:val="30"/>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7" Type="http://schemas.openxmlformats.org/officeDocument/2006/relationships/fontTable" Target="fontTable.xml"/><Relationship Id="rId66" Type="http://schemas.openxmlformats.org/officeDocument/2006/relationships/numbering" Target="numbering.xml"/><Relationship Id="rId65" Type="http://schemas.openxmlformats.org/officeDocument/2006/relationships/customXml" Target="../customXml/item1.xml"/><Relationship Id="rId64" Type="http://schemas.openxmlformats.org/officeDocument/2006/relationships/image" Target="media/image51.png"/><Relationship Id="rId63" Type="http://schemas.openxmlformats.org/officeDocument/2006/relationships/image" Target="media/image50.png"/><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footer" Target="footer4.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footer" Target="footer3.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footer" Target="footer2.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jpe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footer" Target="footer1.xml"/><Relationship Id="rId29" Type="http://schemas.openxmlformats.org/officeDocument/2006/relationships/image" Target="media/image16.png"/><Relationship Id="rId28" Type="http://schemas.openxmlformats.org/officeDocument/2006/relationships/image" Target="media/image15.wmf"/><Relationship Id="rId27" Type="http://schemas.openxmlformats.org/officeDocument/2006/relationships/oleObject" Target="embeddings/oleObject2.bin"/><Relationship Id="rId26" Type="http://schemas.openxmlformats.org/officeDocument/2006/relationships/image" Target="media/image14.wmf"/><Relationship Id="rId25" Type="http://schemas.openxmlformats.org/officeDocument/2006/relationships/oleObject" Target="embeddings/oleObject1.bin"/><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76</Pages>
  <Words>13028</Words>
  <Characters>14061</Characters>
  <Lines>0</Lines>
  <Paragraphs>0</Paragraphs>
  <TotalTime>4</TotalTime>
  <ScaleCrop>false</ScaleCrop>
  <LinksUpToDate>false</LinksUpToDate>
  <CharactersWithSpaces>14263</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2023-10-26T22:18:00Z</dcterms:created>
  <dc:creator>小哲</dc:creator>
  <cp:lastModifiedBy>进击的豆子</cp:lastModifiedBy>
  <cp:lastPrinted>2024-07-30T00:44:00Z</cp:lastPrinted>
  <dcterms:modified xsi:type="dcterms:W3CDTF">2025-04-18T07:17:14Z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86F8656E269D4465961FB42EE4DD34D2_13</vt:lpwstr>
  </property>
  <property fmtid="{D5CDD505-2E9C-101B-9397-08002B2CF9AE}" pid="4" name="KSOTemplateDocerSaveRecord">
    <vt:lpwstr>eyJoZGlkIjoiNDA3ZDEzYTcyZWRiOGYyNzJkZjRjYTAzZDg0ODNmY2UiLCJ1c2VySWQiOiIzNDIxNTk0NDEifQ==</vt:lpwstr>
  </property>
</Properties>
</file>