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CD9958">
      <w:pPr>
        <w:adjustRightInd w:val="0"/>
        <w:snapToGrid w:val="0"/>
        <w:spacing w:line="288" w:lineRule="auto"/>
        <w:jc w:val="center"/>
        <w:outlineLvl w:val="9"/>
        <w:rPr>
          <w:rFonts w:hint="eastAsia" w:ascii="Times New Roman" w:hAnsi="Times New Roman" w:eastAsia="仿宋" w:cs="Times New Roman"/>
          <w:color w:val="000000" w:themeColor="text1"/>
          <w:sz w:val="36"/>
          <w:szCs w:val="36"/>
          <w:highlight w:val="none"/>
          <w:u w:val="none"/>
          <w:lang w:eastAsia="zh-CN"/>
          <w14:textFill>
            <w14:solidFill>
              <w14:schemeClr w14:val="tx1"/>
            </w14:solidFill>
          </w14:textFill>
        </w:rPr>
      </w:pPr>
      <w:r>
        <w:rPr>
          <w:rFonts w:hint="eastAsia" w:ascii="Times New Roman" w:hAnsi="Times New Roman" w:eastAsia="仿宋" w:cs="Times New Roman"/>
          <w:color w:val="000000" w:themeColor="text1"/>
          <w:sz w:val="36"/>
          <w:szCs w:val="36"/>
          <w:highlight w:val="none"/>
          <w:u w:val="none"/>
          <w:lang w:eastAsia="zh-CN"/>
          <w14:textFill>
            <w14:solidFill>
              <w14:schemeClr w14:val="tx1"/>
            </w14:solidFill>
          </w14:textFill>
        </w:rPr>
        <w:drawing>
          <wp:inline distT="0" distB="0" distL="114300" distR="114300">
            <wp:extent cx="5534660" cy="7858125"/>
            <wp:effectExtent l="0" t="0" r="8890" b="9525"/>
            <wp:docPr id="32" name="图片 32" descr="36cc72dca2cecc188dd3ec90ca16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6cc72dca2cecc188dd3ec90ca16f14"/>
                    <pic:cNvPicPr>
                      <a:picLocks noChangeAspect="1"/>
                    </pic:cNvPicPr>
                  </pic:nvPicPr>
                  <pic:blipFill>
                    <a:blip r:embed="rId12"/>
                    <a:stretch>
                      <a:fillRect/>
                    </a:stretch>
                  </pic:blipFill>
                  <pic:spPr>
                    <a:xfrm>
                      <a:off x="0" y="0"/>
                      <a:ext cx="5534660" cy="7858125"/>
                    </a:xfrm>
                    <a:prstGeom prst="rect">
                      <a:avLst/>
                    </a:prstGeom>
                  </pic:spPr>
                </pic:pic>
              </a:graphicData>
            </a:graphic>
          </wp:inline>
        </w:drawing>
      </w:r>
    </w:p>
    <w:p w14:paraId="63CD86C3">
      <w:pPr>
        <w:adjustRightInd w:val="0"/>
        <w:snapToGrid w:val="0"/>
        <w:spacing w:line="288" w:lineRule="auto"/>
        <w:rPr>
          <w:rFonts w:hint="default" w:ascii="Times New Roman" w:hAnsi="Times New Roman" w:eastAsia="仿宋" w:cs="Times New Roman"/>
          <w:color w:val="000000" w:themeColor="text1"/>
          <w:highlight w:val="none"/>
          <w:u w:val="none"/>
          <w14:textFill>
            <w14:solidFill>
              <w14:schemeClr w14:val="tx1"/>
            </w14:solidFill>
          </w14:textFill>
        </w:rPr>
        <w:sectPr>
          <w:headerReference r:id="rId3" w:type="default"/>
          <w:footerReference r:id="rId4" w:type="default"/>
          <w:footerReference r:id="rId5" w:type="even"/>
          <w:pgSz w:w="11906" w:h="16838"/>
          <w:pgMar w:top="1417" w:right="1587" w:bottom="1417" w:left="1587" w:header="851" w:footer="1077" w:gutter="0"/>
          <w:pgBorders>
            <w:top w:val="none" w:sz="0" w:space="0"/>
            <w:left w:val="none" w:sz="0" w:space="0"/>
            <w:bottom w:val="none" w:sz="0" w:space="0"/>
            <w:right w:val="none" w:sz="0" w:space="0"/>
          </w:pgBorders>
          <w:pgNumType w:start="3"/>
          <w:cols w:space="720" w:num="1"/>
          <w:docGrid w:linePitch="312" w:charSpace="0"/>
        </w:sectPr>
      </w:pPr>
    </w:p>
    <w:p w14:paraId="6450746A">
      <w:pPr>
        <w:pStyle w:val="21"/>
        <w:jc w:val="center"/>
        <w:outlineLvl w:val="9"/>
        <w:rPr>
          <w:rFonts w:hint="eastAsia" w:ascii="Times New Roman" w:hAnsi="Times New Roman" w:eastAsia="仿宋" w:cs="Times New Roman"/>
          <w:color w:val="000000" w:themeColor="text1"/>
          <w:sz w:val="48"/>
          <w:szCs w:val="56"/>
          <w:highlight w:val="none"/>
          <w:u w:val="none"/>
          <w:lang w:eastAsia="zh-CN"/>
          <w14:textFill>
            <w14:solidFill>
              <w14:schemeClr w14:val="tx1"/>
            </w14:solidFill>
          </w14:textFill>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ascii="Times New Roman" w:hAnsi="Times New Roman" w:eastAsia="仿宋" w:cs="Times New Roman"/>
          <w:color w:val="000000" w:themeColor="text1"/>
          <w:sz w:val="48"/>
          <w:szCs w:val="56"/>
          <w:highlight w:val="none"/>
          <w:u w:val="none"/>
          <w:lang w:eastAsia="zh-CN"/>
          <w14:textFill>
            <w14:solidFill>
              <w14:schemeClr w14:val="tx1"/>
            </w14:solidFill>
          </w14:textFill>
        </w:rPr>
        <w:drawing>
          <wp:inline distT="0" distB="0" distL="114300" distR="114300">
            <wp:extent cx="5603875" cy="8031480"/>
            <wp:effectExtent l="0" t="0" r="15875" b="7620"/>
            <wp:docPr id="36" name="图片 36" descr="a8c171e5b80d5ef7f206ea70785b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a8c171e5b80d5ef7f206ea70785bd01"/>
                    <pic:cNvPicPr>
                      <a:picLocks noChangeAspect="1"/>
                    </pic:cNvPicPr>
                  </pic:nvPicPr>
                  <pic:blipFill>
                    <a:blip r:embed="rId13"/>
                    <a:stretch>
                      <a:fillRect/>
                    </a:stretch>
                  </pic:blipFill>
                  <pic:spPr>
                    <a:xfrm>
                      <a:off x="0" y="0"/>
                      <a:ext cx="5603875" cy="8031480"/>
                    </a:xfrm>
                    <a:prstGeom prst="rect">
                      <a:avLst/>
                    </a:prstGeom>
                  </pic:spPr>
                </pic:pic>
              </a:graphicData>
            </a:graphic>
          </wp:inline>
        </w:drawing>
      </w:r>
    </w:p>
    <w:p w14:paraId="6B354D17">
      <w:pPr>
        <w:pStyle w:val="21"/>
        <w:jc w:val="center"/>
        <w:outlineLvl w:val="9"/>
        <w:rPr>
          <w:rFonts w:hint="default" w:ascii="Times New Roman" w:hAnsi="Times New Roman" w:eastAsia="仿宋" w:cs="Times New Roman"/>
          <w:color w:val="000000" w:themeColor="text1"/>
          <w:sz w:val="40"/>
          <w:szCs w:val="48"/>
          <w:highlight w:val="none"/>
          <w:u w:val="none"/>
          <w14:textFill>
            <w14:solidFill>
              <w14:schemeClr w14:val="tx1"/>
            </w14:solidFill>
          </w14:textFill>
        </w:rPr>
      </w:pPr>
      <w:r>
        <w:rPr>
          <w:rFonts w:hint="default" w:ascii="Times New Roman" w:hAnsi="Times New Roman" w:eastAsia="仿宋" w:cs="Times New Roman"/>
          <w:color w:val="000000" w:themeColor="text1"/>
          <w:sz w:val="48"/>
          <w:szCs w:val="56"/>
          <w:highlight w:val="none"/>
          <w:u w:val="none"/>
          <w14:textFill>
            <w14:solidFill>
              <w14:schemeClr w14:val="tx1"/>
            </w14:solidFill>
          </w14:textFill>
        </w:rPr>
        <w:t>目录</w:t>
      </w:r>
    </w:p>
    <w:p w14:paraId="50B35739">
      <w:pPr>
        <w:pStyle w:val="73"/>
        <w:tabs>
          <w:tab w:val="right" w:leader="dot" w:pos="8844"/>
        </w:tabs>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fldChar w:fldCharType="begin"/>
      </w:r>
      <w:r>
        <w:rPr>
          <w:rFonts w:hint="default" w:ascii="Times New Roman" w:hAnsi="Times New Roman" w:eastAsia="仿宋" w:cs="Times New Roman"/>
          <w:color w:val="000000" w:themeColor="text1"/>
          <w:highlight w:val="none"/>
          <w:u w:val="none"/>
          <w14:textFill>
            <w14:solidFill>
              <w14:schemeClr w14:val="tx1"/>
            </w14:solidFill>
          </w14:textFill>
        </w:rPr>
        <w:instrText xml:space="preserve">TOC \o "1-1" \h \u </w:instrText>
      </w:r>
      <w:r>
        <w:rPr>
          <w:rFonts w:hint="default" w:ascii="Times New Roman" w:hAnsi="Times New Roman" w:eastAsia="仿宋" w:cs="Times New Roman"/>
          <w:color w:val="000000" w:themeColor="text1"/>
          <w:highlight w:val="none"/>
          <w:u w:val="none"/>
          <w14:textFill>
            <w14:solidFill>
              <w14:schemeClr w14:val="tx1"/>
            </w14:solidFill>
          </w14:textFill>
        </w:rPr>
        <w:fldChar w:fldCharType="separate"/>
      </w:r>
    </w:p>
    <w:p w14:paraId="0940E2D4">
      <w:pPr>
        <w:pStyle w:val="73"/>
        <w:tabs>
          <w:tab w:val="right" w:leader="dot" w:pos="8844"/>
        </w:tabs>
        <w:spacing w:line="360" w:lineRule="auto"/>
        <w:rPr>
          <w:rFonts w:hint="default" w:ascii="Times New Roman" w:hAnsi="Times New Roman" w:eastAsia="仿宋" w:cs="Times New Roman"/>
          <w:color w:val="000000" w:themeColor="text1"/>
          <w:sz w:val="28"/>
          <w:szCs w:val="28"/>
          <w:highlight w:val="none"/>
          <w:u w:val="none"/>
          <w14:textFill>
            <w14:solidFill>
              <w14:schemeClr w14:val="tx1"/>
            </w14:solidFill>
          </w14:textFill>
        </w:rPr>
      </w:pP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begin"/>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instrText xml:space="preserve"> HYPERLINK \l _Toc31260 </w:instrTex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separate"/>
      </w:r>
      <w:r>
        <w:rPr>
          <w:rFonts w:hint="default" w:ascii="Times New Roman" w:hAnsi="Times New Roman" w:eastAsia="仿宋" w:cs="Times New Roman"/>
          <w:snapToGrid w:val="0"/>
          <w:color w:val="000000" w:themeColor="text1"/>
          <w:sz w:val="28"/>
          <w:szCs w:val="44"/>
          <w:highlight w:val="none"/>
          <w:u w:val="none"/>
          <w14:textFill>
            <w14:solidFill>
              <w14:schemeClr w14:val="tx1"/>
            </w14:solidFill>
          </w14:textFill>
        </w:rPr>
        <w:t>一、建设项目基本情况</w: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tab/>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begin"/>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instrText xml:space="preserve"> PAGEREF _Toc31260 \h </w:instrTex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separate"/>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t>1</w: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end"/>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end"/>
      </w:r>
    </w:p>
    <w:p w14:paraId="1D6A71E0">
      <w:pPr>
        <w:pStyle w:val="73"/>
        <w:tabs>
          <w:tab w:val="right" w:leader="dot" w:pos="8844"/>
        </w:tabs>
        <w:spacing w:line="360" w:lineRule="auto"/>
        <w:rPr>
          <w:rFonts w:hint="default" w:ascii="Times New Roman" w:hAnsi="Times New Roman" w:eastAsia="仿宋" w:cs="Times New Roman"/>
          <w:color w:val="000000" w:themeColor="text1"/>
          <w:sz w:val="28"/>
          <w:szCs w:val="28"/>
          <w:highlight w:val="none"/>
          <w:u w:val="none"/>
          <w14:textFill>
            <w14:solidFill>
              <w14:schemeClr w14:val="tx1"/>
            </w14:solidFill>
          </w14:textFill>
        </w:rPr>
      </w:pP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begin"/>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instrText xml:space="preserve"> HYPERLINK \l _Toc21080 </w:instrTex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separate"/>
      </w:r>
      <w:r>
        <w:rPr>
          <w:rFonts w:hint="default" w:ascii="Times New Roman" w:hAnsi="Times New Roman" w:eastAsia="仿宋" w:cs="Times New Roman"/>
          <w:snapToGrid w:val="0"/>
          <w:color w:val="000000" w:themeColor="text1"/>
          <w:sz w:val="28"/>
          <w:szCs w:val="44"/>
          <w:highlight w:val="none"/>
          <w:u w:val="none"/>
          <w14:textFill>
            <w14:solidFill>
              <w14:schemeClr w14:val="tx1"/>
            </w14:solidFill>
          </w14:textFill>
        </w:rPr>
        <w:t>二、建设项目工程分析</w: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tab/>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begin"/>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instrText xml:space="preserve"> PAGEREF _Toc21080 \h </w:instrTex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separate"/>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t>10</w: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end"/>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end"/>
      </w:r>
    </w:p>
    <w:p w14:paraId="0458C502">
      <w:pPr>
        <w:pStyle w:val="73"/>
        <w:tabs>
          <w:tab w:val="right" w:leader="dot" w:pos="8844"/>
        </w:tabs>
        <w:spacing w:line="360" w:lineRule="auto"/>
        <w:rPr>
          <w:rFonts w:hint="default" w:ascii="Times New Roman" w:hAnsi="Times New Roman" w:eastAsia="仿宋" w:cs="Times New Roman"/>
          <w:color w:val="000000" w:themeColor="text1"/>
          <w:sz w:val="28"/>
          <w:szCs w:val="28"/>
          <w:highlight w:val="none"/>
          <w:u w:val="none"/>
          <w14:textFill>
            <w14:solidFill>
              <w14:schemeClr w14:val="tx1"/>
            </w14:solidFill>
          </w14:textFill>
        </w:rPr>
      </w:pP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begin"/>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instrText xml:space="preserve"> HYPERLINK \l _Toc28952 </w:instrTex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separate"/>
      </w:r>
      <w:r>
        <w:rPr>
          <w:rFonts w:hint="default" w:ascii="Times New Roman" w:hAnsi="Times New Roman" w:eastAsia="仿宋" w:cs="Times New Roman"/>
          <w:snapToGrid w:val="0"/>
          <w:color w:val="000000" w:themeColor="text1"/>
          <w:sz w:val="28"/>
          <w:szCs w:val="44"/>
          <w:highlight w:val="none"/>
          <w:u w:val="none"/>
          <w14:textFill>
            <w14:solidFill>
              <w14:schemeClr w14:val="tx1"/>
            </w14:solidFill>
          </w14:textFill>
        </w:rPr>
        <w:t>三、区域环境质量现状、环境保护目标及评价标准</w: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tab/>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begin"/>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instrText xml:space="preserve"> PAGEREF _Toc28952 \h </w:instrTex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separate"/>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t>16</w: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end"/>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end"/>
      </w:r>
    </w:p>
    <w:p w14:paraId="7DCDFC66">
      <w:pPr>
        <w:pStyle w:val="73"/>
        <w:tabs>
          <w:tab w:val="right" w:leader="dot" w:pos="8844"/>
        </w:tabs>
        <w:spacing w:line="360" w:lineRule="auto"/>
        <w:rPr>
          <w:rFonts w:hint="default" w:ascii="Times New Roman" w:hAnsi="Times New Roman" w:eastAsia="仿宋" w:cs="Times New Roman"/>
          <w:color w:val="000000" w:themeColor="text1"/>
          <w:sz w:val="28"/>
          <w:szCs w:val="28"/>
          <w:highlight w:val="none"/>
          <w:u w:val="none"/>
          <w14:textFill>
            <w14:solidFill>
              <w14:schemeClr w14:val="tx1"/>
            </w14:solidFill>
          </w14:textFill>
        </w:rPr>
      </w:pP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begin"/>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instrText xml:space="preserve"> HYPERLINK \l _Toc23598 </w:instrTex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separate"/>
      </w:r>
      <w:r>
        <w:rPr>
          <w:rFonts w:hint="default" w:ascii="Times New Roman" w:hAnsi="Times New Roman" w:eastAsia="仿宋" w:cs="Times New Roman"/>
          <w:snapToGrid w:val="0"/>
          <w:color w:val="000000" w:themeColor="text1"/>
          <w:sz w:val="28"/>
          <w:szCs w:val="44"/>
          <w:highlight w:val="none"/>
          <w:u w:val="none"/>
          <w14:textFill>
            <w14:solidFill>
              <w14:schemeClr w14:val="tx1"/>
            </w14:solidFill>
          </w14:textFill>
        </w:rPr>
        <w:t>四、主要环境影响和保护措施</w: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tab/>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begin"/>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instrText xml:space="preserve"> PAGEREF _Toc23598 \h </w:instrTex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separate"/>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t>21</w: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end"/>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end"/>
      </w:r>
    </w:p>
    <w:p w14:paraId="019CE00E">
      <w:pPr>
        <w:pStyle w:val="73"/>
        <w:tabs>
          <w:tab w:val="right" w:leader="dot" w:pos="8844"/>
        </w:tabs>
        <w:spacing w:line="360" w:lineRule="auto"/>
        <w:rPr>
          <w:rFonts w:hint="default" w:ascii="Times New Roman" w:hAnsi="Times New Roman" w:eastAsia="仿宋" w:cs="Times New Roman"/>
          <w:color w:val="000000" w:themeColor="text1"/>
          <w:sz w:val="28"/>
          <w:szCs w:val="28"/>
          <w:highlight w:val="none"/>
          <w:u w:val="none"/>
          <w14:textFill>
            <w14:solidFill>
              <w14:schemeClr w14:val="tx1"/>
            </w14:solidFill>
          </w14:textFill>
        </w:rPr>
      </w:pP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begin"/>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instrText xml:space="preserve"> HYPERLINK \l _Toc19420 </w:instrTex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separate"/>
      </w:r>
      <w:r>
        <w:rPr>
          <w:rFonts w:hint="default" w:ascii="Times New Roman" w:hAnsi="Times New Roman" w:eastAsia="仿宋" w:cs="Times New Roman"/>
          <w:snapToGrid w:val="0"/>
          <w:color w:val="000000" w:themeColor="text1"/>
          <w:sz w:val="28"/>
          <w:szCs w:val="44"/>
          <w:highlight w:val="none"/>
          <w:u w:val="none"/>
          <w14:textFill>
            <w14:solidFill>
              <w14:schemeClr w14:val="tx1"/>
            </w14:solidFill>
          </w14:textFill>
        </w:rPr>
        <w:t>五、环境保护措施监督检查清单</w: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tab/>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begin"/>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instrText xml:space="preserve"> PAGEREF _Toc19420 \h </w:instrTex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separate"/>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t>42</w: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end"/>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end"/>
      </w:r>
    </w:p>
    <w:p w14:paraId="798DA323">
      <w:pPr>
        <w:pStyle w:val="73"/>
        <w:tabs>
          <w:tab w:val="right" w:leader="dot" w:pos="8844"/>
        </w:tabs>
        <w:spacing w:line="360" w:lineRule="auto"/>
        <w:rPr>
          <w:rFonts w:hint="default" w:ascii="Times New Roman" w:hAnsi="Times New Roman" w:eastAsia="仿宋" w:cs="Times New Roman"/>
          <w:color w:val="000000" w:themeColor="text1"/>
          <w:sz w:val="28"/>
          <w:szCs w:val="28"/>
          <w:highlight w:val="none"/>
          <w:u w:val="none"/>
          <w14:textFill>
            <w14:solidFill>
              <w14:schemeClr w14:val="tx1"/>
            </w14:solidFill>
          </w14:textFill>
        </w:rPr>
      </w:pP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begin"/>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instrText xml:space="preserve"> HYPERLINK \l _Toc5424 </w:instrTex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separate"/>
      </w:r>
      <w:r>
        <w:rPr>
          <w:rFonts w:hint="default" w:ascii="Times New Roman" w:hAnsi="Times New Roman" w:eastAsia="仿宋" w:cs="Times New Roman"/>
          <w:snapToGrid w:val="0"/>
          <w:color w:val="000000" w:themeColor="text1"/>
          <w:sz w:val="28"/>
          <w:szCs w:val="44"/>
          <w:highlight w:val="none"/>
          <w:u w:val="none"/>
          <w14:textFill>
            <w14:solidFill>
              <w14:schemeClr w14:val="tx1"/>
            </w14:solidFill>
          </w14:textFill>
        </w:rPr>
        <w:t>六、结论</w: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tab/>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begin"/>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instrText xml:space="preserve"> PAGEREF _Toc5424 \h </w:instrTex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separate"/>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t>45</w: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end"/>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end"/>
      </w:r>
    </w:p>
    <w:p w14:paraId="37FA82C8">
      <w:pPr>
        <w:pStyle w:val="73"/>
        <w:tabs>
          <w:tab w:val="right" w:leader="dot" w:pos="8844"/>
        </w:tabs>
        <w:spacing w:line="360" w:lineRule="auto"/>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begin"/>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instrText xml:space="preserve"> HYPERLINK \l _Toc11915 </w:instrTex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separate"/>
      </w:r>
      <w:r>
        <w:rPr>
          <w:rFonts w:hint="default" w:ascii="Times New Roman" w:hAnsi="Times New Roman" w:eastAsia="仿宋" w:cs="Times New Roman"/>
          <w:snapToGrid w:val="0"/>
          <w:color w:val="000000" w:themeColor="text1"/>
          <w:sz w:val="28"/>
          <w:szCs w:val="48"/>
          <w:highlight w:val="none"/>
          <w:u w:val="none"/>
          <w14:textFill>
            <w14:solidFill>
              <w14:schemeClr w14:val="tx1"/>
            </w14:solidFill>
          </w14:textFill>
        </w:rPr>
        <w:t>附表</w: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tab/>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begin"/>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instrText xml:space="preserve"> PAGEREF _Toc11915 \h </w:instrTex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separate"/>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t>46</w:t>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end"/>
      </w:r>
      <w:r>
        <w:rPr>
          <w:rFonts w:hint="default" w:ascii="Times New Roman" w:hAnsi="Times New Roman" w:eastAsia="仿宋" w:cs="Times New Roman"/>
          <w:color w:val="000000" w:themeColor="text1"/>
          <w:sz w:val="28"/>
          <w:szCs w:val="28"/>
          <w:highlight w:val="none"/>
          <w:u w:val="none"/>
          <w14:textFill>
            <w14:solidFill>
              <w14:schemeClr w14:val="tx1"/>
            </w14:solidFill>
          </w14:textFill>
        </w:rPr>
        <w:fldChar w:fldCharType="end"/>
      </w:r>
    </w:p>
    <w:p w14:paraId="2D1789FA">
      <w:pPr>
        <w:pStyle w:val="73"/>
        <w:tabs>
          <w:tab w:val="right" w:leader="dot" w:pos="8844"/>
        </w:tabs>
        <w:rPr>
          <w:rFonts w:hint="default" w:ascii="Times New Roman" w:hAnsi="Times New Roman" w:eastAsia="仿宋" w:cs="Times New Roman"/>
          <w:color w:val="000000" w:themeColor="text1"/>
          <w:highlight w:val="none"/>
          <w:u w:val="none"/>
          <w14:textFill>
            <w14:solidFill>
              <w14:schemeClr w14:val="tx1"/>
            </w14:solidFill>
          </w14:textFill>
        </w:rPr>
      </w:pPr>
    </w:p>
    <w:p w14:paraId="304CA70F">
      <w:pPr>
        <w:pStyle w:val="21"/>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jc w:val="left"/>
        <w:textAlignment w:val="auto"/>
        <w:outlineLvl w:val="9"/>
        <w:rPr>
          <w:rFonts w:hint="default" w:ascii="Times New Roman" w:hAnsi="Times New Roman" w:eastAsia="仿宋" w:cs="Times New Roman"/>
          <w:color w:val="000000" w:themeColor="text1"/>
          <w:highlight w:val="none"/>
          <w:u w:val="none"/>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eastAsia="仿宋" w:cs="Times New Roman"/>
          <w:color w:val="000000" w:themeColor="text1"/>
          <w:highlight w:val="none"/>
          <w:u w:val="none"/>
          <w14:textFill>
            <w14:solidFill>
              <w14:schemeClr w14:val="tx1"/>
            </w14:solidFill>
          </w14:textFill>
        </w:rPr>
        <w:fldChar w:fldCharType="end"/>
      </w:r>
    </w:p>
    <w:p w14:paraId="6ABF98C5">
      <w:pPr>
        <w:pStyle w:val="21"/>
        <w:jc w:val="center"/>
        <w:outlineLvl w:val="0"/>
        <w:rPr>
          <w:rFonts w:hint="default" w:ascii="Times New Roman" w:hAnsi="Times New Roman" w:eastAsia="仿宋" w:cs="Times New Roman"/>
          <w:snapToGrid w:val="0"/>
          <w:color w:val="000000" w:themeColor="text1"/>
          <w:sz w:val="30"/>
          <w:szCs w:val="30"/>
          <w:highlight w:val="none"/>
          <w:u w:val="none"/>
          <w14:textFill>
            <w14:solidFill>
              <w14:schemeClr w14:val="tx1"/>
            </w14:solidFill>
          </w14:textFill>
        </w:rPr>
      </w:pPr>
      <w:bookmarkStart w:id="0" w:name="_Toc31260"/>
      <w:r>
        <w:rPr>
          <w:rFonts w:hint="default" w:ascii="Times New Roman" w:hAnsi="Times New Roman" w:eastAsia="仿宋" w:cs="Times New Roman"/>
          <w:snapToGrid w:val="0"/>
          <w:color w:val="000000" w:themeColor="text1"/>
          <w:sz w:val="30"/>
          <w:szCs w:val="30"/>
          <w:highlight w:val="none"/>
          <w:u w:val="none"/>
          <w14:textFill>
            <w14:solidFill>
              <w14:schemeClr w14:val="tx1"/>
            </w14:solidFill>
          </w14:textFill>
        </w:rPr>
        <w:t>一、建设项目基本情况</w:t>
      </w:r>
      <w:bookmarkEnd w:id="0"/>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57"/>
        <w:gridCol w:w="2828"/>
        <w:gridCol w:w="1694"/>
        <w:gridCol w:w="2991"/>
      </w:tblGrid>
      <w:tr w14:paraId="7FA893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0" w:hRule="atLeast"/>
          <w:jc w:val="center"/>
        </w:trPr>
        <w:tc>
          <w:tcPr>
            <w:tcW w:w="1357" w:type="dxa"/>
            <w:noWrap w:val="0"/>
            <w:tcMar>
              <w:top w:w="16" w:type="dxa"/>
              <w:left w:w="16" w:type="dxa"/>
              <w:right w:w="16" w:type="dxa"/>
            </w:tcMar>
            <w:vAlign w:val="center"/>
          </w:tcPr>
          <w:p w14:paraId="325F09A9">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建设项目名称</w:t>
            </w:r>
          </w:p>
        </w:tc>
        <w:tc>
          <w:tcPr>
            <w:tcW w:w="7513" w:type="dxa"/>
            <w:gridSpan w:val="3"/>
            <w:noWrap w:val="0"/>
            <w:vAlign w:val="center"/>
          </w:tcPr>
          <w:p w14:paraId="5296C020">
            <w:pPr>
              <w:adjustRightInd w:val="0"/>
              <w:snapToGrid w:val="0"/>
              <w:jc w:val="center"/>
              <w:rPr>
                <w:rFonts w:hint="default" w:ascii="Times New Roman" w:hAnsi="Times New Roman" w:eastAsia="仿宋" w:cs="Times New Roman"/>
                <w:color w:val="000000" w:themeColor="text1"/>
                <w:sz w:val="24"/>
                <w:highlight w:val="none"/>
                <w:u w:val="none"/>
                <w:lang w:eastAsia="zh-CN"/>
                <w14:textFill>
                  <w14:solidFill>
                    <w14:schemeClr w14:val="tx1"/>
                  </w14:solidFill>
                </w14:textFill>
              </w:rPr>
            </w:pPr>
            <w:r>
              <w:rPr>
                <w:rFonts w:hint="eastAsia" w:ascii="Times New Roman" w:hAnsi="Times New Roman" w:eastAsia="仿宋" w:cs="Times New Roman"/>
                <w:color w:val="000000" w:themeColor="text1"/>
                <w:sz w:val="24"/>
                <w:highlight w:val="none"/>
                <w:u w:val="none"/>
                <w:lang w:eastAsia="zh-CN"/>
                <w14:textFill>
                  <w14:solidFill>
                    <w14:schemeClr w14:val="tx1"/>
                  </w14:solidFill>
                </w14:textFill>
              </w:rPr>
              <w:t>鸡东县利萍生物质燃料加工厂生物质颗粒加工项目</w:t>
            </w:r>
          </w:p>
        </w:tc>
      </w:tr>
      <w:tr w14:paraId="042476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1357" w:type="dxa"/>
            <w:noWrap w:val="0"/>
            <w:tcMar>
              <w:top w:w="16" w:type="dxa"/>
              <w:left w:w="16" w:type="dxa"/>
              <w:right w:w="16" w:type="dxa"/>
            </w:tcMar>
            <w:vAlign w:val="center"/>
          </w:tcPr>
          <w:p w14:paraId="77A0AACF">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项目代码</w:t>
            </w:r>
          </w:p>
        </w:tc>
        <w:tc>
          <w:tcPr>
            <w:tcW w:w="7513" w:type="dxa"/>
            <w:gridSpan w:val="3"/>
            <w:noWrap w:val="0"/>
            <w:vAlign w:val="center"/>
          </w:tcPr>
          <w:p w14:paraId="4DB3B863">
            <w:pPr>
              <w:adjustRightInd w:val="0"/>
              <w:snapToGrid w:val="0"/>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2503-230321-04-01-405117</w:t>
            </w:r>
          </w:p>
        </w:tc>
      </w:tr>
      <w:tr w14:paraId="69FC8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4" w:hRule="atLeast"/>
          <w:jc w:val="center"/>
        </w:trPr>
        <w:tc>
          <w:tcPr>
            <w:tcW w:w="1357" w:type="dxa"/>
            <w:noWrap w:val="0"/>
            <w:tcMar>
              <w:top w:w="16" w:type="dxa"/>
              <w:left w:w="16" w:type="dxa"/>
              <w:right w:w="16" w:type="dxa"/>
            </w:tcMar>
            <w:vAlign w:val="center"/>
          </w:tcPr>
          <w:p w14:paraId="4D583DC9">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建设单位联系人</w:t>
            </w:r>
          </w:p>
        </w:tc>
        <w:tc>
          <w:tcPr>
            <w:tcW w:w="2828" w:type="dxa"/>
            <w:noWrap w:val="0"/>
            <w:vAlign w:val="center"/>
          </w:tcPr>
          <w:p w14:paraId="5F0D5EBD">
            <w:pPr>
              <w:adjustRightInd w:val="0"/>
              <w:snapToGrid w:val="0"/>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王利萍</w:t>
            </w:r>
          </w:p>
        </w:tc>
        <w:tc>
          <w:tcPr>
            <w:tcW w:w="1694" w:type="dxa"/>
            <w:noWrap w:val="0"/>
            <w:vAlign w:val="center"/>
          </w:tcPr>
          <w:p w14:paraId="18C26232">
            <w:pPr>
              <w:adjustRightInd w:val="0"/>
              <w:snapToGrid w:val="0"/>
              <w:jc w:val="center"/>
              <w:rPr>
                <w:rFonts w:hint="default" w:ascii="Times New Roman" w:hAnsi="Times New Roman" w:eastAsia="仿宋" w:cs="Times New Roman"/>
                <w:color w:val="000000" w:themeColor="text1"/>
                <w:sz w:val="24"/>
                <w:highlight w:val="none"/>
                <w:u w:val="none"/>
                <w:lang w:eastAsia="zh-CN"/>
                <w14:textFill>
                  <w14:solidFill>
                    <w14:schemeClr w14:val="tx1"/>
                  </w14:solidFill>
                </w14:textFill>
              </w:rPr>
            </w:pPr>
            <w:r>
              <w:rPr>
                <w:rFonts w:hint="default" w:ascii="Times New Roman" w:hAnsi="Times New Roman" w:eastAsia="仿宋" w:cs="Times New Roman"/>
                <w:color w:val="000000" w:themeColor="text1"/>
                <w:sz w:val="24"/>
                <w:highlight w:val="none"/>
                <w:u w:val="none"/>
                <w:lang w:eastAsia="zh-CN"/>
                <w14:textFill>
                  <w14:solidFill>
                    <w14:schemeClr w14:val="tx1"/>
                  </w14:solidFill>
                </w14:textFill>
              </w:rPr>
              <w:t>联系方式</w:t>
            </w:r>
          </w:p>
        </w:tc>
        <w:tc>
          <w:tcPr>
            <w:tcW w:w="2991" w:type="dxa"/>
            <w:noWrap w:val="0"/>
            <w:vAlign w:val="center"/>
          </w:tcPr>
          <w:p w14:paraId="384F243A">
            <w:pPr>
              <w:adjustRightInd w:val="0"/>
              <w:snapToGrid w:val="0"/>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15545748777</w:t>
            </w:r>
          </w:p>
        </w:tc>
      </w:tr>
      <w:tr w14:paraId="0D186D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33" w:hRule="atLeast"/>
          <w:jc w:val="center"/>
        </w:trPr>
        <w:tc>
          <w:tcPr>
            <w:tcW w:w="1357" w:type="dxa"/>
            <w:noWrap w:val="0"/>
            <w:tcMar>
              <w:top w:w="16" w:type="dxa"/>
              <w:left w:w="16" w:type="dxa"/>
              <w:right w:w="16" w:type="dxa"/>
            </w:tcMar>
            <w:vAlign w:val="center"/>
          </w:tcPr>
          <w:p w14:paraId="0A1F1F25">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建设地点</w:t>
            </w:r>
          </w:p>
        </w:tc>
        <w:tc>
          <w:tcPr>
            <w:tcW w:w="7513" w:type="dxa"/>
            <w:gridSpan w:val="3"/>
            <w:noWrap w:val="0"/>
            <w:vAlign w:val="center"/>
          </w:tcPr>
          <w:p w14:paraId="0EEEDD48">
            <w:pPr>
              <w:adjustRightInd w:val="0"/>
              <w:snapToGrid w:val="0"/>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highlight w:val="none"/>
                <w:u w:val="none"/>
                <w:lang w:eastAsia="zh-CN"/>
                <w14:textFill>
                  <w14:solidFill>
                    <w14:schemeClr w14:val="tx1"/>
                  </w14:solidFill>
                </w14:textFill>
              </w:rPr>
              <w:t>黑龙江</w:t>
            </w:r>
            <w:r>
              <w:rPr>
                <w:rFonts w:hint="default" w:ascii="Times New Roman" w:hAnsi="Times New Roman" w:eastAsia="仿宋" w:cs="Times New Roman"/>
                <w:color w:val="000000" w:themeColor="text1"/>
                <w:sz w:val="24"/>
                <w:highlight w:val="none"/>
                <w:u w:val="none"/>
                <w:lang w:eastAsia="zh-CN"/>
                <w14:textFill>
                  <w14:solidFill>
                    <w14:schemeClr w14:val="tx1"/>
                  </w14:solidFill>
                </w14:textFill>
              </w:rPr>
              <w:t>省</w:t>
            </w:r>
            <w:r>
              <w:rPr>
                <w:rFonts w:hint="eastAsia" w:ascii="Times New Roman" w:hAnsi="Times New Roman" w:eastAsia="仿宋" w:cs="Times New Roman"/>
                <w:color w:val="000000" w:themeColor="text1"/>
                <w:sz w:val="24"/>
                <w:highlight w:val="none"/>
                <w:u w:val="none"/>
                <w:lang w:eastAsia="zh-CN"/>
                <w14:textFill>
                  <w14:solidFill>
                    <w14:schemeClr w14:val="tx1"/>
                  </w14:solidFill>
                </w14:textFill>
              </w:rPr>
              <w:t>鸡西</w:t>
            </w:r>
            <w:r>
              <w:rPr>
                <w:rFonts w:hint="default" w:ascii="Times New Roman" w:hAnsi="Times New Roman" w:eastAsia="仿宋" w:cs="Times New Roman"/>
                <w:color w:val="000000" w:themeColor="text1"/>
                <w:sz w:val="24"/>
                <w:highlight w:val="none"/>
                <w:u w:val="none"/>
                <w:lang w:eastAsia="zh-CN"/>
                <w14:textFill>
                  <w14:solidFill>
                    <w14:schemeClr w14:val="tx1"/>
                  </w14:solidFill>
                </w14:textFill>
              </w:rPr>
              <w:t>市</w:t>
            </w:r>
            <w:r>
              <w:rPr>
                <w:rFonts w:hint="eastAsia" w:ascii="Times New Roman" w:hAnsi="Times New Roman" w:eastAsia="仿宋" w:cs="Times New Roman"/>
                <w:color w:val="000000" w:themeColor="text1"/>
                <w:sz w:val="24"/>
                <w:highlight w:val="none"/>
                <w:u w:val="none"/>
                <w:lang w:eastAsia="zh-CN"/>
                <w14:textFill>
                  <w14:solidFill>
                    <w14:schemeClr w14:val="tx1"/>
                  </w14:solidFill>
                </w14:textFill>
              </w:rPr>
              <w:t>鸡东</w:t>
            </w: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县</w:t>
            </w:r>
            <w:r>
              <w:rPr>
                <w:rFonts w:hint="eastAsia" w:ascii="Times New Roman" w:hAnsi="Times New Roman" w:eastAsia="仿宋" w:cs="Times New Roman"/>
                <w:color w:val="000000" w:themeColor="text1"/>
                <w:sz w:val="24"/>
                <w:highlight w:val="none"/>
                <w:u w:val="none"/>
                <w:lang w:eastAsia="zh-CN"/>
                <w14:textFill>
                  <w14:solidFill>
                    <w14:schemeClr w14:val="tx1"/>
                  </w14:solidFill>
                </w14:textFill>
              </w:rPr>
              <w:t>明德乡明德村</w:t>
            </w:r>
          </w:p>
        </w:tc>
      </w:tr>
      <w:tr w14:paraId="632D8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3" w:hRule="atLeast"/>
          <w:jc w:val="center"/>
        </w:trPr>
        <w:tc>
          <w:tcPr>
            <w:tcW w:w="1357" w:type="dxa"/>
            <w:noWrap w:val="0"/>
            <w:tcMar>
              <w:top w:w="16" w:type="dxa"/>
              <w:left w:w="16" w:type="dxa"/>
              <w:right w:w="16" w:type="dxa"/>
            </w:tcMar>
            <w:vAlign w:val="center"/>
          </w:tcPr>
          <w:p w14:paraId="578CD5A9">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地理坐标</w:t>
            </w:r>
          </w:p>
        </w:tc>
        <w:tc>
          <w:tcPr>
            <w:tcW w:w="7513" w:type="dxa"/>
            <w:gridSpan w:val="3"/>
            <w:noWrap w:val="0"/>
            <w:vAlign w:val="center"/>
          </w:tcPr>
          <w:p w14:paraId="0489812E">
            <w:pPr>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w:t>
            </w: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131</w:t>
            </w:r>
            <w:r>
              <w:rPr>
                <w:rFonts w:hint="default" w:ascii="Times New Roman" w:hAnsi="Times New Roman" w:eastAsia="仿宋" w:cs="Times New Roman"/>
                <w:color w:val="000000" w:themeColor="text1"/>
                <w:sz w:val="24"/>
                <w:highlight w:val="none"/>
                <w:u w:val="none"/>
                <w14:textFill>
                  <w14:solidFill>
                    <w14:schemeClr w14:val="tx1"/>
                  </w14:solidFill>
                </w14:textFill>
              </w:rPr>
              <w:t>度</w:t>
            </w: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29</w:t>
            </w:r>
            <w:r>
              <w:rPr>
                <w:rFonts w:hint="default" w:ascii="Times New Roman" w:hAnsi="Times New Roman" w:eastAsia="仿宋" w:cs="Times New Roman"/>
                <w:color w:val="000000" w:themeColor="text1"/>
                <w:sz w:val="24"/>
                <w:highlight w:val="none"/>
                <w:u w:val="none"/>
                <w14:textFill>
                  <w14:solidFill>
                    <w14:schemeClr w14:val="tx1"/>
                  </w14:solidFill>
                </w14:textFill>
              </w:rPr>
              <w:t>分</w:t>
            </w: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54.33</w:t>
            </w:r>
            <w:r>
              <w:rPr>
                <w:rFonts w:hint="default" w:ascii="Times New Roman" w:hAnsi="Times New Roman" w:eastAsia="仿宋" w:cs="Times New Roman"/>
                <w:color w:val="000000" w:themeColor="text1"/>
                <w:sz w:val="24"/>
                <w:highlight w:val="none"/>
                <w:u w:val="none"/>
                <w14:textFill>
                  <w14:solidFill>
                    <w14:schemeClr w14:val="tx1"/>
                  </w14:solidFill>
                </w14:textFill>
              </w:rPr>
              <w:t>秒，</w:t>
            </w: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45</w:t>
            </w:r>
            <w:r>
              <w:rPr>
                <w:rFonts w:hint="default" w:ascii="Times New Roman" w:hAnsi="Times New Roman" w:eastAsia="仿宋" w:cs="Times New Roman"/>
                <w:color w:val="000000" w:themeColor="text1"/>
                <w:sz w:val="24"/>
                <w:highlight w:val="none"/>
                <w:u w:val="none"/>
                <w14:textFill>
                  <w14:solidFill>
                    <w14:schemeClr w14:val="tx1"/>
                  </w14:solidFill>
                </w14:textFill>
              </w:rPr>
              <w:t>度</w:t>
            </w: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16</w:t>
            </w:r>
            <w:r>
              <w:rPr>
                <w:rFonts w:hint="default" w:ascii="Times New Roman" w:hAnsi="Times New Roman" w:eastAsia="仿宋" w:cs="Times New Roman"/>
                <w:color w:val="000000" w:themeColor="text1"/>
                <w:sz w:val="24"/>
                <w:highlight w:val="none"/>
                <w:u w:val="none"/>
                <w14:textFill>
                  <w14:solidFill>
                    <w14:schemeClr w14:val="tx1"/>
                  </w14:solidFill>
                </w14:textFill>
              </w:rPr>
              <w:t>分</w:t>
            </w: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11.17</w:t>
            </w:r>
            <w:r>
              <w:rPr>
                <w:rFonts w:hint="default" w:ascii="Times New Roman" w:hAnsi="Times New Roman" w:eastAsia="仿宋" w:cs="Times New Roman"/>
                <w:color w:val="000000" w:themeColor="text1"/>
                <w:sz w:val="24"/>
                <w:highlight w:val="none"/>
                <w:u w:val="none"/>
                <w14:textFill>
                  <w14:solidFill>
                    <w14:schemeClr w14:val="tx1"/>
                  </w14:solidFill>
                </w14:textFill>
              </w:rPr>
              <w:t>秒）</w:t>
            </w:r>
          </w:p>
        </w:tc>
      </w:tr>
      <w:tr w14:paraId="4C0175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44" w:hRule="atLeast"/>
          <w:jc w:val="center"/>
        </w:trPr>
        <w:tc>
          <w:tcPr>
            <w:tcW w:w="1357" w:type="dxa"/>
            <w:noWrap w:val="0"/>
            <w:tcMar>
              <w:top w:w="16" w:type="dxa"/>
              <w:left w:w="16" w:type="dxa"/>
              <w:right w:w="16" w:type="dxa"/>
            </w:tcMar>
            <w:vAlign w:val="center"/>
          </w:tcPr>
          <w:p w14:paraId="2531BACA">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国民经济</w:t>
            </w:r>
          </w:p>
          <w:p w14:paraId="5D6D6A00">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行业类别</w:t>
            </w:r>
          </w:p>
        </w:tc>
        <w:tc>
          <w:tcPr>
            <w:tcW w:w="2828" w:type="dxa"/>
            <w:noWrap w:val="0"/>
            <w:vAlign w:val="center"/>
          </w:tcPr>
          <w:p w14:paraId="347D69F9">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C2542生物质致密成型燃料加工</w:t>
            </w:r>
          </w:p>
        </w:tc>
        <w:tc>
          <w:tcPr>
            <w:tcW w:w="1694" w:type="dxa"/>
            <w:noWrap w:val="0"/>
            <w:vAlign w:val="center"/>
          </w:tcPr>
          <w:p w14:paraId="400E26AF">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bookmarkStart w:id="1" w:name="_Hlk49843745"/>
            <w:r>
              <w:rPr>
                <w:rFonts w:hint="default" w:ascii="Times New Roman" w:hAnsi="Times New Roman" w:eastAsia="仿宋" w:cs="Times New Roman"/>
                <w:color w:val="000000" w:themeColor="text1"/>
                <w:sz w:val="24"/>
                <w:highlight w:val="none"/>
                <w:u w:val="none"/>
                <w14:textFill>
                  <w14:solidFill>
                    <w14:schemeClr w14:val="tx1"/>
                  </w14:solidFill>
                </w14:textFill>
              </w:rPr>
              <w:t>建设项目</w:t>
            </w:r>
          </w:p>
          <w:p w14:paraId="11C6E431">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行业类别</w:t>
            </w:r>
            <w:bookmarkEnd w:id="1"/>
          </w:p>
        </w:tc>
        <w:tc>
          <w:tcPr>
            <w:tcW w:w="2991" w:type="dxa"/>
            <w:noWrap w:val="0"/>
            <w:vAlign w:val="center"/>
          </w:tcPr>
          <w:p w14:paraId="30AB66DC">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二十二、石油、煤炭及其他燃料加工业25---43生物质燃料加工254</w:t>
            </w:r>
          </w:p>
        </w:tc>
      </w:tr>
      <w:tr w14:paraId="3B22BF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24" w:hRule="atLeast"/>
          <w:jc w:val="center"/>
        </w:trPr>
        <w:tc>
          <w:tcPr>
            <w:tcW w:w="1357" w:type="dxa"/>
            <w:noWrap w:val="0"/>
            <w:tcMar>
              <w:top w:w="16" w:type="dxa"/>
              <w:left w:w="16" w:type="dxa"/>
              <w:right w:w="16" w:type="dxa"/>
            </w:tcMar>
            <w:vAlign w:val="center"/>
          </w:tcPr>
          <w:p w14:paraId="49E7DFA5">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建设性质</w:t>
            </w:r>
          </w:p>
        </w:tc>
        <w:tc>
          <w:tcPr>
            <w:tcW w:w="2828" w:type="dxa"/>
            <w:noWrap w:val="0"/>
            <w:vAlign w:val="center"/>
          </w:tcPr>
          <w:p w14:paraId="2FDCD4C6">
            <w:pPr>
              <w:jc w:val="left"/>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eastAsia" w:eastAsia="仿宋" w:cs="Times New Roman"/>
                <w:color w:val="000000" w:themeColor="text1"/>
                <w:sz w:val="24"/>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sz w:val="24"/>
                <w:highlight w:val="none"/>
                <w:u w:val="none"/>
                <w14:textFill>
                  <w14:solidFill>
                    <w14:schemeClr w14:val="tx1"/>
                  </w14:solidFill>
                </w14:textFill>
              </w:rPr>
              <w:t>新建（迁建）</w:t>
            </w:r>
          </w:p>
          <w:p w14:paraId="712E5DC1">
            <w:pPr>
              <w:jc w:val="left"/>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□改建</w:t>
            </w:r>
          </w:p>
          <w:p w14:paraId="4C87A008">
            <w:pPr>
              <w:jc w:val="left"/>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□扩建</w:t>
            </w:r>
          </w:p>
          <w:p w14:paraId="31E74ED4">
            <w:pPr>
              <w:jc w:val="left"/>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□技术改造</w:t>
            </w:r>
          </w:p>
        </w:tc>
        <w:tc>
          <w:tcPr>
            <w:tcW w:w="1694" w:type="dxa"/>
            <w:noWrap w:val="0"/>
            <w:vAlign w:val="center"/>
          </w:tcPr>
          <w:p w14:paraId="4AC0DBD5">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建设项目</w:t>
            </w:r>
          </w:p>
          <w:p w14:paraId="77EF1268">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申报情形</w:t>
            </w:r>
          </w:p>
        </w:tc>
        <w:tc>
          <w:tcPr>
            <w:tcW w:w="2991" w:type="dxa"/>
            <w:noWrap w:val="0"/>
            <w:vAlign w:val="center"/>
          </w:tcPr>
          <w:p w14:paraId="771C2F9B">
            <w:pPr>
              <w:jc w:val="left"/>
              <w:rPr>
                <w:rFonts w:hint="eastAsia" w:ascii="Times New Roman" w:hAnsi="Times New Roman" w:eastAsia="仿宋" w:cs="Times New Roman"/>
                <w:color w:val="000000" w:themeColor="text1"/>
                <w:sz w:val="24"/>
                <w:highlight w:val="none"/>
                <w:u w:val="none"/>
                <w:lang w:eastAsia="zh-CN"/>
                <w14:textFill>
                  <w14:solidFill>
                    <w14:schemeClr w14:val="tx1"/>
                  </w14:solidFill>
                </w14:textFill>
              </w:rPr>
            </w:pPr>
            <w:r>
              <w:rPr>
                <w:rFonts w:hint="eastAsia" w:eastAsia="仿宋" w:cs="Times New Roman"/>
                <w:color w:val="000000" w:themeColor="text1"/>
                <w:sz w:val="24"/>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sz w:val="24"/>
                <w:highlight w:val="none"/>
                <w:u w:val="none"/>
                <w14:textFill>
                  <w14:solidFill>
                    <w14:schemeClr w14:val="tx1"/>
                  </w14:solidFill>
                </w14:textFill>
              </w:rPr>
              <w:t>首次申报项目</w:t>
            </w:r>
          </w:p>
          <w:p w14:paraId="7472530C">
            <w:pPr>
              <w:jc w:val="left"/>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□不予批准后再次申报项目</w:t>
            </w:r>
          </w:p>
          <w:p w14:paraId="387D3A50">
            <w:pPr>
              <w:jc w:val="left"/>
              <w:rPr>
                <w:rFonts w:hint="eastAsia" w:ascii="Times New Roman" w:hAnsi="Times New Roman" w:eastAsia="仿宋" w:cs="Times New Roman"/>
                <w:color w:val="000000" w:themeColor="text1"/>
                <w:sz w:val="24"/>
                <w:highlight w:val="none"/>
                <w:u w:val="none"/>
                <w:lang w:eastAsia="zh-CN"/>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□超五年重新审核项目</w:t>
            </w:r>
          </w:p>
          <w:p w14:paraId="6689BD89">
            <w:pPr>
              <w:jc w:val="left"/>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□重大变动重新报批项目</w:t>
            </w:r>
          </w:p>
        </w:tc>
      </w:tr>
      <w:tr w14:paraId="79D986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45" w:hRule="atLeast"/>
          <w:jc w:val="center"/>
        </w:trPr>
        <w:tc>
          <w:tcPr>
            <w:tcW w:w="1357" w:type="dxa"/>
            <w:noWrap w:val="0"/>
            <w:tcMar>
              <w:top w:w="16" w:type="dxa"/>
              <w:left w:w="16" w:type="dxa"/>
              <w:right w:w="16" w:type="dxa"/>
            </w:tcMar>
            <w:vAlign w:val="center"/>
          </w:tcPr>
          <w:p w14:paraId="7426C503">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项目审批（核准/备案）部门（选填）</w:t>
            </w:r>
          </w:p>
        </w:tc>
        <w:tc>
          <w:tcPr>
            <w:tcW w:w="2828" w:type="dxa"/>
            <w:noWrap w:val="0"/>
            <w:vAlign w:val="center"/>
          </w:tcPr>
          <w:p w14:paraId="7945F269">
            <w:pPr>
              <w:adjustRightInd w:val="0"/>
              <w:snapToGrid w:val="0"/>
              <w:jc w:val="center"/>
              <w:rPr>
                <w:rFonts w:hint="eastAsia" w:ascii="Times New Roman" w:hAnsi="Times New Roman" w:eastAsia="仿宋" w:cs="Times New Roman"/>
                <w:color w:val="000000" w:themeColor="text1"/>
                <w:sz w:val="24"/>
                <w:highlight w:val="none"/>
                <w:u w:val="none"/>
                <w:lang w:eastAsia="zh-CN"/>
                <w14:textFill>
                  <w14:solidFill>
                    <w14:schemeClr w14:val="tx1"/>
                  </w14:solidFill>
                </w14:textFill>
              </w:rPr>
            </w:pP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w:t>
            </w:r>
          </w:p>
        </w:tc>
        <w:tc>
          <w:tcPr>
            <w:tcW w:w="1694" w:type="dxa"/>
            <w:noWrap w:val="0"/>
            <w:vAlign w:val="center"/>
          </w:tcPr>
          <w:p w14:paraId="57465A16">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项目审批（核准/</w:t>
            </w:r>
          </w:p>
          <w:p w14:paraId="4A33E8C7">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备案）文号（选填）</w:t>
            </w:r>
          </w:p>
        </w:tc>
        <w:tc>
          <w:tcPr>
            <w:tcW w:w="2991" w:type="dxa"/>
            <w:noWrap w:val="0"/>
            <w:vAlign w:val="center"/>
          </w:tcPr>
          <w:p w14:paraId="48BB1CA8">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w:t>
            </w:r>
          </w:p>
        </w:tc>
      </w:tr>
      <w:tr w14:paraId="6D4C7F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1357" w:type="dxa"/>
            <w:noWrap w:val="0"/>
            <w:tcMar>
              <w:top w:w="16" w:type="dxa"/>
              <w:left w:w="16" w:type="dxa"/>
              <w:right w:w="16" w:type="dxa"/>
            </w:tcMar>
            <w:vAlign w:val="center"/>
          </w:tcPr>
          <w:p w14:paraId="39092976">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总投资</w:t>
            </w:r>
          </w:p>
          <w:p w14:paraId="6D322426">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（万元）</w:t>
            </w:r>
          </w:p>
        </w:tc>
        <w:tc>
          <w:tcPr>
            <w:tcW w:w="2828" w:type="dxa"/>
            <w:noWrap w:val="0"/>
            <w:vAlign w:val="center"/>
          </w:tcPr>
          <w:p w14:paraId="01F092D8">
            <w:pPr>
              <w:adjustRightInd w:val="0"/>
              <w:snapToGrid w:val="0"/>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200</w:t>
            </w:r>
          </w:p>
        </w:tc>
        <w:tc>
          <w:tcPr>
            <w:tcW w:w="1694" w:type="dxa"/>
            <w:noWrap w:val="0"/>
            <w:tcMar>
              <w:top w:w="16" w:type="dxa"/>
              <w:left w:w="16" w:type="dxa"/>
              <w:right w:w="16" w:type="dxa"/>
            </w:tcMar>
            <w:vAlign w:val="center"/>
          </w:tcPr>
          <w:p w14:paraId="06D426A0">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环保投资</w:t>
            </w:r>
          </w:p>
          <w:p w14:paraId="17CB8319">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（万元）</w:t>
            </w:r>
          </w:p>
        </w:tc>
        <w:tc>
          <w:tcPr>
            <w:tcW w:w="2991" w:type="dxa"/>
            <w:noWrap w:val="0"/>
            <w:vAlign w:val="center"/>
          </w:tcPr>
          <w:p w14:paraId="5EBFA02A">
            <w:pPr>
              <w:adjustRightInd w:val="0"/>
              <w:snapToGrid w:val="0"/>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10</w:t>
            </w:r>
          </w:p>
        </w:tc>
      </w:tr>
      <w:tr w14:paraId="50B9F6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5" w:hRule="atLeast"/>
          <w:jc w:val="center"/>
        </w:trPr>
        <w:tc>
          <w:tcPr>
            <w:tcW w:w="1357" w:type="dxa"/>
            <w:noWrap w:val="0"/>
            <w:tcMar>
              <w:top w:w="16" w:type="dxa"/>
              <w:left w:w="16" w:type="dxa"/>
              <w:right w:w="16" w:type="dxa"/>
            </w:tcMar>
            <w:vAlign w:val="center"/>
          </w:tcPr>
          <w:p w14:paraId="16485858">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环保投资占比（%）</w:t>
            </w:r>
          </w:p>
        </w:tc>
        <w:tc>
          <w:tcPr>
            <w:tcW w:w="2828" w:type="dxa"/>
            <w:noWrap w:val="0"/>
            <w:vAlign w:val="center"/>
          </w:tcPr>
          <w:p w14:paraId="7016C027">
            <w:pPr>
              <w:adjustRightInd w:val="0"/>
              <w:snapToGrid w:val="0"/>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5</w:t>
            </w:r>
          </w:p>
        </w:tc>
        <w:tc>
          <w:tcPr>
            <w:tcW w:w="1694" w:type="dxa"/>
            <w:noWrap w:val="0"/>
            <w:tcMar>
              <w:top w:w="16" w:type="dxa"/>
              <w:left w:w="16" w:type="dxa"/>
              <w:right w:w="16" w:type="dxa"/>
            </w:tcMar>
            <w:vAlign w:val="center"/>
          </w:tcPr>
          <w:p w14:paraId="1DA22467">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施工工期</w:t>
            </w:r>
          </w:p>
        </w:tc>
        <w:tc>
          <w:tcPr>
            <w:tcW w:w="2991" w:type="dxa"/>
            <w:noWrap w:val="0"/>
            <w:vAlign w:val="center"/>
          </w:tcPr>
          <w:p w14:paraId="2B2908A1">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2</w:t>
            </w:r>
            <w:r>
              <w:rPr>
                <w:rFonts w:hint="default" w:ascii="Times New Roman" w:hAnsi="Times New Roman" w:eastAsia="仿宋" w:cs="Times New Roman"/>
                <w:color w:val="000000" w:themeColor="text1"/>
                <w:sz w:val="24"/>
                <w:highlight w:val="none"/>
                <w:u w:val="none"/>
                <w14:textFill>
                  <w14:solidFill>
                    <w14:schemeClr w14:val="tx1"/>
                  </w14:solidFill>
                </w14:textFill>
              </w:rPr>
              <w:t>个月</w:t>
            </w:r>
          </w:p>
        </w:tc>
      </w:tr>
      <w:tr w14:paraId="5CA02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9" w:hRule="atLeast"/>
          <w:jc w:val="center"/>
        </w:trPr>
        <w:tc>
          <w:tcPr>
            <w:tcW w:w="1357" w:type="dxa"/>
            <w:noWrap w:val="0"/>
            <w:tcMar>
              <w:top w:w="16" w:type="dxa"/>
              <w:left w:w="16" w:type="dxa"/>
              <w:right w:w="16" w:type="dxa"/>
            </w:tcMar>
            <w:vAlign w:val="center"/>
          </w:tcPr>
          <w:p w14:paraId="71D087C3">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是否开工建设</w:t>
            </w:r>
          </w:p>
        </w:tc>
        <w:tc>
          <w:tcPr>
            <w:tcW w:w="2828" w:type="dxa"/>
            <w:noWrap w:val="0"/>
            <w:vAlign w:val="center"/>
          </w:tcPr>
          <w:p w14:paraId="163AAFA3">
            <w:pPr>
              <w:adjustRightInd w:val="0"/>
              <w:snapToGrid w:val="0"/>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eastAsia" w:eastAsia="仿宋" w:cs="Times New Roman"/>
                <w:color w:val="000000" w:themeColor="text1"/>
                <w:sz w:val="24"/>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 w:val="24"/>
                <w:highlight w:val="none"/>
                <w:u w:val="none"/>
                <w14:textFill>
                  <w14:solidFill>
                    <w14:schemeClr w14:val="tx1"/>
                  </w14:solidFill>
                </w14:textFill>
              </w:rPr>
              <w:t>否</w:t>
            </w:r>
          </w:p>
          <w:p w14:paraId="4A699EFA">
            <w:pPr>
              <w:adjustRightInd w:val="0"/>
              <w:snapToGrid w:val="0"/>
              <w:rPr>
                <w:rFonts w:hint="default" w:ascii="Times New Roman" w:hAnsi="Times New Roman" w:eastAsia="仿宋" w:cs="Times New Roman"/>
                <w:color w:val="000000" w:themeColor="text1"/>
                <w:sz w:val="24"/>
                <w:highlight w:val="none"/>
                <w:u w:val="none"/>
                <w:lang w:val="en-US"/>
                <w14:textFill>
                  <w14:solidFill>
                    <w14:schemeClr w14:val="tx1"/>
                  </w14:solidFill>
                </w14:textFill>
              </w:rPr>
            </w:pPr>
            <w:r>
              <w:rPr>
                <w:rFonts w:hint="eastAsia" w:eastAsia="仿宋" w:cs="Times New Roman"/>
                <w:color w:val="000000" w:themeColor="text1"/>
                <w:sz w:val="24"/>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 w:val="24"/>
                <w:highlight w:val="none"/>
                <w:u w:val="none"/>
                <w14:textFill>
                  <w14:solidFill>
                    <w14:schemeClr w14:val="tx1"/>
                  </w14:solidFill>
                </w14:textFill>
              </w:rPr>
              <w:t>是：</w:t>
            </w:r>
          </w:p>
        </w:tc>
        <w:tc>
          <w:tcPr>
            <w:tcW w:w="1694" w:type="dxa"/>
            <w:noWrap w:val="0"/>
            <w:tcMar>
              <w:top w:w="16" w:type="dxa"/>
              <w:left w:w="16" w:type="dxa"/>
              <w:right w:w="16" w:type="dxa"/>
            </w:tcMar>
            <w:vAlign w:val="center"/>
          </w:tcPr>
          <w:p w14:paraId="16E2F1C3">
            <w:pPr>
              <w:adjustRightInd w:val="0"/>
              <w:snapToGrid w:val="0"/>
              <w:jc w:val="center"/>
              <w:rPr>
                <w:rFonts w:hint="default" w:ascii="Times New Roman" w:hAnsi="Times New Roman" w:eastAsia="仿宋" w:cs="Times New Roman"/>
                <w:color w:val="000000" w:themeColor="text1"/>
                <w:spacing w:val="-6"/>
                <w:sz w:val="24"/>
                <w:highlight w:val="none"/>
                <w:u w:val="none"/>
                <w14:textFill>
                  <w14:solidFill>
                    <w14:schemeClr w14:val="tx1"/>
                  </w14:solidFill>
                </w14:textFill>
              </w:rPr>
            </w:pPr>
            <w:r>
              <w:rPr>
                <w:rFonts w:hint="default" w:ascii="Times New Roman" w:hAnsi="Times New Roman" w:eastAsia="仿宋" w:cs="Times New Roman"/>
                <w:color w:val="000000" w:themeColor="text1"/>
                <w:spacing w:val="-6"/>
                <w:sz w:val="24"/>
                <w:highlight w:val="none"/>
                <w:u w:val="none"/>
                <w14:textFill>
                  <w14:solidFill>
                    <w14:schemeClr w14:val="tx1"/>
                  </w14:solidFill>
                </w14:textFill>
              </w:rPr>
              <w:t>用地（用海）</w:t>
            </w:r>
          </w:p>
          <w:p w14:paraId="6B370F4E">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pacing w:val="-6"/>
                <w:sz w:val="24"/>
                <w:highlight w:val="none"/>
                <w:u w:val="none"/>
                <w14:textFill>
                  <w14:solidFill>
                    <w14:schemeClr w14:val="tx1"/>
                  </w14:solidFill>
                </w14:textFill>
              </w:rPr>
              <w:t>面积（m</w:t>
            </w:r>
            <w:r>
              <w:rPr>
                <w:rFonts w:hint="default" w:ascii="Times New Roman" w:hAnsi="Times New Roman" w:eastAsia="仿宋" w:cs="Times New Roman"/>
                <w:color w:val="000000" w:themeColor="text1"/>
                <w:spacing w:val="-6"/>
                <w:sz w:val="24"/>
                <w:highlight w:val="none"/>
                <w:u w:val="none"/>
                <w:vertAlign w:val="superscript"/>
                <w14:textFill>
                  <w14:solidFill>
                    <w14:schemeClr w14:val="tx1"/>
                  </w14:solidFill>
                </w14:textFill>
              </w:rPr>
              <w:t>2</w:t>
            </w:r>
            <w:r>
              <w:rPr>
                <w:rFonts w:hint="default" w:ascii="Times New Roman" w:hAnsi="Times New Roman" w:eastAsia="仿宋" w:cs="Times New Roman"/>
                <w:color w:val="000000" w:themeColor="text1"/>
                <w:spacing w:val="-6"/>
                <w:sz w:val="24"/>
                <w:highlight w:val="none"/>
                <w:u w:val="none"/>
                <w14:textFill>
                  <w14:solidFill>
                    <w14:schemeClr w14:val="tx1"/>
                  </w14:solidFill>
                </w14:textFill>
              </w:rPr>
              <w:t>）</w:t>
            </w:r>
          </w:p>
        </w:tc>
        <w:tc>
          <w:tcPr>
            <w:tcW w:w="2991" w:type="dxa"/>
            <w:noWrap w:val="0"/>
            <w:vAlign w:val="center"/>
          </w:tcPr>
          <w:p w14:paraId="4F17B904">
            <w:pPr>
              <w:adjustRightInd w:val="0"/>
              <w:snapToGrid w:val="0"/>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4284</w:t>
            </w:r>
          </w:p>
        </w:tc>
      </w:tr>
      <w:tr w14:paraId="6B741F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357" w:type="dxa"/>
            <w:noWrap w:val="0"/>
            <w:vAlign w:val="center"/>
          </w:tcPr>
          <w:p w14:paraId="67EBAC95">
            <w:pPr>
              <w:autoSpaceDE w:val="0"/>
              <w:autoSpaceDN w:val="0"/>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专项评价设置情况</w:t>
            </w:r>
          </w:p>
        </w:tc>
        <w:tc>
          <w:tcPr>
            <w:tcW w:w="7513" w:type="dxa"/>
            <w:gridSpan w:val="3"/>
            <w:noWrap w:val="0"/>
            <w:vAlign w:val="center"/>
          </w:tcPr>
          <w:p w14:paraId="756C797B">
            <w:pPr>
              <w:autoSpaceDE w:val="0"/>
              <w:autoSpaceDN w:val="0"/>
              <w:adjustRightInd w:val="0"/>
              <w:snapToGrid w:val="0"/>
              <w:spacing w:line="360" w:lineRule="auto"/>
              <w:ind w:firstLine="480" w:firstLineChars="200"/>
              <w:rPr>
                <w:rFonts w:hint="default" w:ascii="Times New Roman" w:hAnsi="Times New Roman" w:eastAsia="仿宋" w:cs="Times New Roman"/>
                <w:b/>
                <w:smallCaps w:val="0"/>
                <w:color w:val="000000" w:themeColor="text1"/>
                <w:kern w:val="44"/>
                <w:sz w:val="21"/>
                <w:szCs w:val="21"/>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24"/>
                <w:szCs w:val="24"/>
                <w:highlight w:val="none"/>
                <w14:textFill>
                  <w14:solidFill>
                    <w14:schemeClr w14:val="tx1"/>
                  </w14:solidFill>
                </w14:textFill>
              </w:rPr>
              <w:t>按《建设项目环境影响报告表编制技术指南（污染影响类）（试行）》要求，土壤和声环境不开展专项评价，本工程专项评价具体设置情况见表1-1。</w:t>
            </w:r>
          </w:p>
          <w:p w14:paraId="0D695562">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仿宋" w:cs="Times New Roman"/>
                <w:b/>
                <w:smallCaps w:val="0"/>
                <w:color w:val="000000" w:themeColor="text1"/>
                <w:kern w:val="44"/>
                <w:sz w:val="21"/>
                <w:szCs w:val="21"/>
                <w:highlight w:val="none"/>
                <w14:textFill>
                  <w14:solidFill>
                    <w14:schemeClr w14:val="tx1"/>
                  </w14:solidFill>
                </w14:textFill>
              </w:rPr>
            </w:pPr>
          </w:p>
          <w:p w14:paraId="5F7ED312">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仿宋" w:cs="Times New Roman"/>
                <w:b/>
                <w:smallCaps w:val="0"/>
                <w:color w:val="000000" w:themeColor="text1"/>
                <w:kern w:val="44"/>
                <w:sz w:val="21"/>
                <w:szCs w:val="21"/>
                <w:highlight w:val="none"/>
                <w14:textFill>
                  <w14:solidFill>
                    <w14:schemeClr w14:val="tx1"/>
                  </w14:solidFill>
                </w14:textFill>
              </w:rPr>
            </w:pPr>
          </w:p>
          <w:p w14:paraId="567498ED">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仿宋" w:cs="Times New Roman"/>
                <w:b/>
                <w:smallCaps w:val="0"/>
                <w:color w:val="000000" w:themeColor="text1"/>
                <w:kern w:val="44"/>
                <w:sz w:val="21"/>
                <w:szCs w:val="21"/>
                <w:highlight w:val="none"/>
                <w14:textFill>
                  <w14:solidFill>
                    <w14:schemeClr w14:val="tx1"/>
                  </w14:solidFill>
                </w14:textFill>
              </w:rPr>
            </w:pPr>
          </w:p>
          <w:p w14:paraId="64D6DAE0">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仿宋" w:cs="Times New Roman"/>
                <w:b/>
                <w:smallCaps w:val="0"/>
                <w:color w:val="000000" w:themeColor="text1"/>
                <w:kern w:val="44"/>
                <w:sz w:val="21"/>
                <w:szCs w:val="21"/>
                <w:highlight w:val="none"/>
                <w14:textFill>
                  <w14:solidFill>
                    <w14:schemeClr w14:val="tx1"/>
                  </w14:solidFill>
                </w14:textFill>
              </w:rPr>
            </w:pPr>
          </w:p>
          <w:p w14:paraId="7F7FBC6D">
            <w:pPr>
              <w:keepNext/>
              <w:keepLines w:val="0"/>
              <w:pageBreakBefore w:val="0"/>
              <w:widowControl w:val="0"/>
              <w:kinsoku/>
              <w:wordWrap/>
              <w:overflowPunct w:val="0"/>
              <w:topLinePunct w:val="0"/>
              <w:autoSpaceDE/>
              <w:autoSpaceDN/>
              <w:bidi w:val="0"/>
              <w:adjustRightInd/>
              <w:snapToGrid w:val="0"/>
              <w:spacing w:line="240" w:lineRule="auto"/>
              <w:jc w:val="center"/>
              <w:textAlignment w:val="auto"/>
              <w:rPr>
                <w:rFonts w:hint="default" w:ascii="Times New Roman" w:hAnsi="Times New Roman" w:eastAsia="仿宋" w:cs="Times New Roman"/>
                <w:smallCaps w:val="0"/>
                <w:color w:val="000000" w:themeColor="text1"/>
                <w:sz w:val="21"/>
                <w:szCs w:val="21"/>
                <w:highlight w:val="none"/>
                <w14:textFill>
                  <w14:solidFill>
                    <w14:schemeClr w14:val="tx1"/>
                  </w14:solidFill>
                </w14:textFill>
              </w:rPr>
            </w:pPr>
            <w:r>
              <w:rPr>
                <w:rFonts w:hint="default" w:ascii="Times New Roman" w:hAnsi="Times New Roman" w:eastAsia="仿宋" w:cs="Times New Roman"/>
                <w:b/>
                <w:smallCaps w:val="0"/>
                <w:color w:val="000000" w:themeColor="text1"/>
                <w:kern w:val="44"/>
                <w:sz w:val="21"/>
                <w:szCs w:val="21"/>
                <w:highlight w:val="none"/>
                <w14:textFill>
                  <w14:solidFill>
                    <w14:schemeClr w14:val="tx1"/>
                  </w14:solidFill>
                </w14:textFill>
              </w:rPr>
              <w:t>表1-1 专项评价设置情况一览表</w:t>
            </w:r>
          </w:p>
          <w:tbl>
            <w:tblPr>
              <w:tblStyle w:val="24"/>
              <w:tblW w:w="5000" w:type="pct"/>
              <w:tblInd w:w="0"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2467"/>
              <w:gridCol w:w="3751"/>
            </w:tblGrid>
            <w:tr w14:paraId="6EF87CC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9" w:type="pct"/>
                  <w:noWrap w:val="0"/>
                  <w:vAlign w:val="center"/>
                </w:tcPr>
                <w:p w14:paraId="6FC1CF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专项评价类别</w:t>
                  </w:r>
                </w:p>
              </w:tc>
              <w:tc>
                <w:tcPr>
                  <w:tcW w:w="1690" w:type="pct"/>
                  <w:noWrap w:val="0"/>
                  <w:vAlign w:val="center"/>
                </w:tcPr>
                <w:p w14:paraId="691136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设置原则</w:t>
                  </w:r>
                </w:p>
              </w:tc>
              <w:tc>
                <w:tcPr>
                  <w:tcW w:w="2569" w:type="pct"/>
                  <w:noWrap w:val="0"/>
                  <w:vAlign w:val="center"/>
                </w:tcPr>
                <w:p w14:paraId="0A22DB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本项目设置情况</w:t>
                  </w:r>
                </w:p>
              </w:tc>
            </w:tr>
            <w:tr w14:paraId="031C8FF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9" w:type="pct"/>
                  <w:noWrap w:val="0"/>
                  <w:vAlign w:val="center"/>
                </w:tcPr>
                <w:p w14:paraId="381255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大气</w:t>
                  </w:r>
                </w:p>
              </w:tc>
              <w:tc>
                <w:tcPr>
                  <w:tcW w:w="1690" w:type="pct"/>
                  <w:noWrap w:val="0"/>
                  <w:vAlign w:val="center"/>
                </w:tcPr>
                <w:p w14:paraId="43502B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排放废气含有毒有害污染物，二噁英、苯并[a]芘、氰化物、氯气且厂界外500m范围内有环境空气保护目标的建设项目</w:t>
                  </w:r>
                </w:p>
              </w:tc>
              <w:tc>
                <w:tcPr>
                  <w:tcW w:w="2569" w:type="pct"/>
                  <w:noWrap w:val="0"/>
                  <w:vAlign w:val="center"/>
                </w:tcPr>
                <w:p w14:paraId="16630B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lang w:val="en-US" w:eastAsia="zh-CN"/>
                      <w14:textFill>
                        <w14:solidFill>
                          <w14:schemeClr w14:val="tx1"/>
                        </w14:solidFill>
                      </w14:textFill>
                    </w:rPr>
                    <w:t>本项目</w:t>
                  </w: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不产生二噁英、苯并[a]芘、氰化物、氯气等废气</w:t>
                  </w:r>
                  <w:r>
                    <w:rPr>
                      <w:rFonts w:hint="default" w:ascii="Times New Roman" w:hAnsi="Times New Roman" w:eastAsia="仿宋" w:cs="Times New Roman"/>
                      <w:smallCaps w:val="0"/>
                      <w:snapToGrid w:val="0"/>
                      <w:color w:val="000000" w:themeColor="text1"/>
                      <w:kern w:val="0"/>
                      <w:sz w:val="18"/>
                      <w:szCs w:val="18"/>
                      <w:highlight w:val="none"/>
                      <w:lang w:val="en-US" w:eastAsia="zh-CN"/>
                      <w14:textFill>
                        <w14:solidFill>
                          <w14:schemeClr w14:val="tx1"/>
                        </w14:solidFill>
                      </w14:textFill>
                    </w:rPr>
                    <w:t>；</w:t>
                  </w: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不产生《有毒有害大气污染物名录》中</w:t>
                  </w:r>
                  <w:r>
                    <w:rPr>
                      <w:rFonts w:hint="default" w:ascii="Times New Roman" w:hAnsi="Times New Roman" w:eastAsia="仿宋" w:cs="Times New Roman"/>
                      <w:smallCaps w:val="0"/>
                      <w:snapToGrid w:val="0"/>
                      <w:color w:val="000000" w:themeColor="text1"/>
                      <w:kern w:val="0"/>
                      <w:sz w:val="18"/>
                      <w:szCs w:val="18"/>
                      <w:highlight w:val="none"/>
                      <w:lang w:eastAsia="zh-CN"/>
                      <w14:textFill>
                        <w14:solidFill>
                          <w14:schemeClr w14:val="tx1"/>
                        </w14:solidFill>
                      </w14:textFill>
                    </w:rPr>
                    <w:t>其他</w:t>
                  </w: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的有毒有害污染物。不需设置大气专项评价。</w:t>
                  </w:r>
                </w:p>
              </w:tc>
            </w:tr>
            <w:tr w14:paraId="08E0AAB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9" w:type="pct"/>
                  <w:noWrap w:val="0"/>
                  <w:vAlign w:val="center"/>
                </w:tcPr>
                <w:p w14:paraId="10D8AD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地表水</w:t>
                  </w:r>
                </w:p>
              </w:tc>
              <w:tc>
                <w:tcPr>
                  <w:tcW w:w="1690" w:type="pct"/>
                  <w:noWrap w:val="0"/>
                  <w:vAlign w:val="center"/>
                </w:tcPr>
                <w:p w14:paraId="343673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lang w:val="en-US" w:eastAsia="zh-CN"/>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lang w:val="en-US" w:eastAsia="zh-CN"/>
                      <w14:textFill>
                        <w14:solidFill>
                          <w14:schemeClr w14:val="tx1"/>
                        </w14:solidFill>
                      </w14:textFill>
                    </w:rPr>
                    <w:t>新增工业废水直排建设项目（槽罐车外送污水处理厂的除外）；新增废水直排的污水集中处理厂</w:t>
                  </w:r>
                </w:p>
              </w:tc>
              <w:tc>
                <w:tcPr>
                  <w:tcW w:w="2569" w:type="pct"/>
                  <w:noWrap w:val="0"/>
                  <w:vAlign w:val="center"/>
                </w:tcPr>
                <w:p w14:paraId="50F442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lang w:val="en-US" w:eastAsia="zh-CN"/>
                      <w14:textFill>
                        <w14:solidFill>
                          <w14:schemeClr w14:val="tx1"/>
                        </w14:solidFill>
                      </w14:textFill>
                    </w:rPr>
                  </w:pPr>
                  <w:r>
                    <w:rPr>
                      <w:rFonts w:hint="eastAsia" w:ascii="Times New Roman" w:hAnsi="Times New Roman" w:eastAsia="仿宋" w:cs="Times New Roman"/>
                      <w:smallCaps w:val="0"/>
                      <w:snapToGrid w:val="0"/>
                      <w:color w:val="000000" w:themeColor="text1"/>
                      <w:kern w:val="0"/>
                      <w:sz w:val="18"/>
                      <w:szCs w:val="18"/>
                      <w:highlight w:val="none"/>
                      <w:lang w:val="en-US" w:eastAsia="zh-CN"/>
                      <w14:textFill>
                        <w14:solidFill>
                          <w14:schemeClr w14:val="tx1"/>
                        </w14:solidFill>
                      </w14:textFill>
                    </w:rPr>
                    <w:t>本项目</w:t>
                  </w:r>
                  <w:r>
                    <w:rPr>
                      <w:rFonts w:hint="default" w:ascii="Times New Roman" w:hAnsi="Times New Roman" w:eastAsia="仿宋" w:cs="Times New Roman"/>
                      <w:smallCaps w:val="0"/>
                      <w:snapToGrid w:val="0"/>
                      <w:color w:val="000000" w:themeColor="text1"/>
                      <w:kern w:val="0"/>
                      <w:sz w:val="18"/>
                      <w:szCs w:val="18"/>
                      <w:highlight w:val="none"/>
                      <w:lang w:val="en-US" w:eastAsia="zh-CN"/>
                      <w14:textFill>
                        <w14:solidFill>
                          <w14:schemeClr w14:val="tx1"/>
                        </w14:solidFill>
                      </w14:textFill>
                    </w:rPr>
                    <w:t>无生产废水产生，主要是</w:t>
                  </w: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生活污水</w:t>
                  </w:r>
                  <w:r>
                    <w:rPr>
                      <w:rFonts w:hint="default" w:ascii="Times New Roman" w:hAnsi="Times New Roman" w:eastAsia="仿宋" w:cs="Times New Roman"/>
                      <w:smallCaps w:val="0"/>
                      <w:snapToGrid w:val="0"/>
                      <w:color w:val="000000" w:themeColor="text1"/>
                      <w:kern w:val="0"/>
                      <w:sz w:val="18"/>
                      <w:szCs w:val="18"/>
                      <w:highlight w:val="none"/>
                      <w:lang w:eastAsia="zh-CN"/>
                      <w14:textFill>
                        <w14:solidFill>
                          <w14:schemeClr w14:val="tx1"/>
                        </w14:solidFill>
                      </w14:textFill>
                    </w:rPr>
                    <w:t>，</w:t>
                  </w: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经</w:t>
                  </w:r>
                  <w:r>
                    <w:rPr>
                      <w:rFonts w:hint="eastAsia" w:ascii="Times New Roman" w:hAnsi="Times New Roman" w:eastAsia="仿宋" w:cs="Times New Roman"/>
                      <w:smallCaps w:val="0"/>
                      <w:snapToGrid w:val="0"/>
                      <w:color w:val="000000" w:themeColor="text1"/>
                      <w:kern w:val="0"/>
                      <w:sz w:val="18"/>
                      <w:szCs w:val="18"/>
                      <w:highlight w:val="none"/>
                      <w:lang w:val="en-US" w:eastAsia="zh-CN"/>
                      <w14:textFill>
                        <w14:solidFill>
                          <w14:schemeClr w14:val="tx1"/>
                        </w14:solidFill>
                      </w14:textFill>
                    </w:rPr>
                    <w:t>防渗旱厕，定期清掏，外运堆肥，</w:t>
                  </w:r>
                  <w:r>
                    <w:rPr>
                      <w:rFonts w:hint="default" w:ascii="Times New Roman" w:hAnsi="Times New Roman" w:eastAsia="仿宋" w:cs="Times New Roman"/>
                      <w:smallCaps w:val="0"/>
                      <w:snapToGrid w:val="0"/>
                      <w:color w:val="000000" w:themeColor="text1"/>
                      <w:kern w:val="0"/>
                      <w:sz w:val="18"/>
                      <w:szCs w:val="18"/>
                      <w:highlight w:val="none"/>
                      <w:lang w:val="en-US" w:eastAsia="zh-CN"/>
                      <w14:textFill>
                        <w14:solidFill>
                          <w14:schemeClr w14:val="tx1"/>
                        </w14:solidFill>
                      </w14:textFill>
                    </w:rPr>
                    <w:t>不需设置地表水专项评价。</w:t>
                  </w:r>
                </w:p>
              </w:tc>
            </w:tr>
            <w:tr w14:paraId="7C57C1F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9" w:type="pct"/>
                  <w:noWrap w:val="0"/>
                  <w:vAlign w:val="center"/>
                </w:tcPr>
                <w:p w14:paraId="4A4C6E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环境</w:t>
                  </w:r>
                </w:p>
                <w:p w14:paraId="3B78B8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风险</w:t>
                  </w:r>
                </w:p>
              </w:tc>
              <w:tc>
                <w:tcPr>
                  <w:tcW w:w="1690" w:type="pct"/>
                  <w:noWrap w:val="0"/>
                  <w:vAlign w:val="center"/>
                </w:tcPr>
                <w:p w14:paraId="7891FC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有毒有害和易燃易爆危险物质存储量超过临界量的建设项目</w:t>
                  </w:r>
                </w:p>
              </w:tc>
              <w:tc>
                <w:tcPr>
                  <w:tcW w:w="2569" w:type="pct"/>
                  <w:noWrap w:val="0"/>
                  <w:vAlign w:val="center"/>
                </w:tcPr>
                <w:p w14:paraId="5906B0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根据《建设项目环境影响报告表编制技术指南（污染影响类）（试行）》，本项目有毒有害和易燃易爆危险物质存储量</w:t>
                  </w:r>
                  <w:r>
                    <w:rPr>
                      <w:rFonts w:hint="default" w:ascii="Times New Roman" w:hAnsi="Times New Roman" w:eastAsia="仿宋" w:cs="Times New Roman"/>
                      <w:smallCaps w:val="0"/>
                      <w:snapToGrid w:val="0"/>
                      <w:color w:val="000000" w:themeColor="text1"/>
                      <w:kern w:val="0"/>
                      <w:sz w:val="18"/>
                      <w:szCs w:val="18"/>
                      <w:highlight w:val="none"/>
                      <w:lang w:eastAsia="zh-CN"/>
                      <w14:textFill>
                        <w14:solidFill>
                          <w14:schemeClr w14:val="tx1"/>
                        </w14:solidFill>
                      </w14:textFill>
                    </w:rPr>
                    <w:t>未</w:t>
                  </w: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超过临界量，因此不需设置环境风险专项评价。</w:t>
                  </w:r>
                </w:p>
              </w:tc>
            </w:tr>
            <w:tr w14:paraId="718B833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9" w:type="pct"/>
                  <w:noWrap w:val="0"/>
                  <w:vAlign w:val="center"/>
                </w:tcPr>
                <w:p w14:paraId="250C43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生态</w:t>
                  </w:r>
                </w:p>
              </w:tc>
              <w:tc>
                <w:tcPr>
                  <w:tcW w:w="1690" w:type="pct"/>
                  <w:noWrap w:val="0"/>
                  <w:vAlign w:val="center"/>
                </w:tcPr>
                <w:p w14:paraId="55EC31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取水口下游500m范围内有重要水生生物的自然产卵场、索饵场、越冬场和洄游通道的新增河道取水的污染类建设项目</w:t>
                  </w:r>
                </w:p>
              </w:tc>
              <w:tc>
                <w:tcPr>
                  <w:tcW w:w="2569" w:type="pct"/>
                  <w:noWrap w:val="0"/>
                  <w:vAlign w:val="center"/>
                </w:tcPr>
                <w:p w14:paraId="48FDA1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本项目不涉及河道取水，不需设置。</w:t>
                  </w:r>
                </w:p>
              </w:tc>
            </w:tr>
            <w:tr w14:paraId="4D7E7EC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9" w:type="pct"/>
                  <w:noWrap w:val="0"/>
                  <w:vAlign w:val="center"/>
                </w:tcPr>
                <w:p w14:paraId="5B54DD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海洋</w:t>
                  </w:r>
                </w:p>
              </w:tc>
              <w:tc>
                <w:tcPr>
                  <w:tcW w:w="1690" w:type="pct"/>
                  <w:noWrap w:val="0"/>
                  <w:vAlign w:val="center"/>
                </w:tcPr>
                <w:p w14:paraId="2BA2B6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直接向海洋排放污染物的海洋工程建设项目</w:t>
                  </w:r>
                </w:p>
              </w:tc>
              <w:tc>
                <w:tcPr>
                  <w:tcW w:w="2569" w:type="pct"/>
                  <w:noWrap w:val="0"/>
                  <w:vAlign w:val="center"/>
                </w:tcPr>
                <w:p w14:paraId="2B26B2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本项目不涉及海洋，不需设置。</w:t>
                  </w:r>
                </w:p>
              </w:tc>
            </w:tr>
            <w:tr w14:paraId="17FE4CF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9" w:type="pct"/>
                  <w:noWrap w:val="0"/>
                  <w:vAlign w:val="center"/>
                </w:tcPr>
                <w:p w14:paraId="1CFBAE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地下水</w:t>
                  </w:r>
                </w:p>
              </w:tc>
              <w:tc>
                <w:tcPr>
                  <w:tcW w:w="1690" w:type="pct"/>
                  <w:noWrap w:val="0"/>
                  <w:vAlign w:val="center"/>
                </w:tcPr>
                <w:p w14:paraId="34A0E7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原则上不开展专项评价，涉及集中式饮用水水源和热水、矿泉水、温泉等特殊地下水资源保护区的开展专项评价</w:t>
                  </w:r>
                </w:p>
              </w:tc>
              <w:tc>
                <w:tcPr>
                  <w:tcW w:w="2569" w:type="pct"/>
                  <w:noWrap w:val="0"/>
                  <w:vAlign w:val="center"/>
                </w:tcPr>
                <w:p w14:paraId="606399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pP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本项目场址周边</w:t>
                  </w:r>
                  <w:r>
                    <w:rPr>
                      <w:rFonts w:hint="default" w:ascii="Times New Roman" w:hAnsi="Times New Roman" w:eastAsia="仿宋" w:cs="Times New Roman"/>
                      <w:smallCaps w:val="0"/>
                      <w:snapToGrid w:val="0"/>
                      <w:color w:val="000000" w:themeColor="text1"/>
                      <w:kern w:val="0"/>
                      <w:sz w:val="18"/>
                      <w:szCs w:val="18"/>
                      <w:highlight w:val="none"/>
                      <w:lang w:val="en-US" w:eastAsia="zh-CN"/>
                      <w14:textFill>
                        <w14:solidFill>
                          <w14:schemeClr w14:val="tx1"/>
                        </w14:solidFill>
                      </w14:textFill>
                    </w:rPr>
                    <w:t>500米范围内</w:t>
                  </w:r>
                  <w:r>
                    <w:rPr>
                      <w:rFonts w:hint="default" w:ascii="Times New Roman" w:hAnsi="Times New Roman" w:eastAsia="仿宋" w:cs="Times New Roman"/>
                      <w:smallCaps w:val="0"/>
                      <w:snapToGrid w:val="0"/>
                      <w:color w:val="000000" w:themeColor="text1"/>
                      <w:kern w:val="0"/>
                      <w:sz w:val="18"/>
                      <w:szCs w:val="18"/>
                      <w:highlight w:val="none"/>
                      <w14:textFill>
                        <w14:solidFill>
                          <w14:schemeClr w14:val="tx1"/>
                        </w14:solidFill>
                      </w14:textFill>
                    </w:rPr>
                    <w:t>不涉及集中式饮用水源和热水、矿泉水、温泉等特殊地下水资源保护区，不需设置。</w:t>
                  </w:r>
                </w:p>
              </w:tc>
            </w:tr>
          </w:tbl>
          <w:p w14:paraId="7803DCD7">
            <w:pPr>
              <w:autoSpaceDE w:val="0"/>
              <w:autoSpaceDN w:val="0"/>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p>
        </w:tc>
      </w:tr>
      <w:tr w14:paraId="56388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357" w:type="dxa"/>
            <w:noWrap w:val="0"/>
            <w:vAlign w:val="center"/>
          </w:tcPr>
          <w:p w14:paraId="4477BCEE">
            <w:pPr>
              <w:autoSpaceDE w:val="0"/>
              <w:autoSpaceDN w:val="0"/>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规划情况</w:t>
            </w:r>
          </w:p>
        </w:tc>
        <w:tc>
          <w:tcPr>
            <w:tcW w:w="7513" w:type="dxa"/>
            <w:gridSpan w:val="3"/>
            <w:noWrap w:val="0"/>
            <w:vAlign w:val="center"/>
          </w:tcPr>
          <w:p w14:paraId="006175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无</w:t>
            </w:r>
          </w:p>
        </w:tc>
      </w:tr>
      <w:tr w14:paraId="6E1895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357" w:type="dxa"/>
            <w:noWrap w:val="0"/>
            <w:vAlign w:val="center"/>
          </w:tcPr>
          <w:p w14:paraId="5D96EFB5">
            <w:pPr>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规划环境影响评价情况</w:t>
            </w:r>
          </w:p>
        </w:tc>
        <w:tc>
          <w:tcPr>
            <w:tcW w:w="7513" w:type="dxa"/>
            <w:gridSpan w:val="3"/>
            <w:noWrap w:val="0"/>
            <w:vAlign w:val="center"/>
          </w:tcPr>
          <w:p w14:paraId="76E25CE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color w:val="000000" w:themeColor="text1"/>
                <w:kern w:val="0"/>
                <w:sz w:val="24"/>
                <w:highlight w:val="none"/>
                <w:u w:val="none"/>
                <w:lang w:eastAsia="zh-CN"/>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无</w:t>
            </w:r>
          </w:p>
        </w:tc>
      </w:tr>
      <w:tr w14:paraId="36437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57" w:type="dxa"/>
            <w:noWrap w:val="0"/>
            <w:vAlign w:val="center"/>
          </w:tcPr>
          <w:p w14:paraId="53DEDAA9">
            <w:pPr>
              <w:autoSpaceDE w:val="0"/>
              <w:autoSpaceDN w:val="0"/>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规划及规划环境影响评价符合性分析</w:t>
            </w:r>
          </w:p>
        </w:tc>
        <w:tc>
          <w:tcPr>
            <w:tcW w:w="7513" w:type="dxa"/>
            <w:gridSpan w:val="3"/>
            <w:noWrap w:val="0"/>
            <w:vAlign w:val="center"/>
          </w:tcPr>
          <w:p w14:paraId="70B9144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无</w:t>
            </w:r>
          </w:p>
        </w:tc>
      </w:tr>
      <w:tr w14:paraId="71DF75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7" w:type="dxa"/>
            <w:noWrap w:val="0"/>
            <w:vAlign w:val="center"/>
          </w:tcPr>
          <w:p w14:paraId="46605174">
            <w:pPr>
              <w:autoSpaceDE w:val="0"/>
              <w:autoSpaceDN w:val="0"/>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其他符合性分析</w:t>
            </w:r>
          </w:p>
        </w:tc>
        <w:tc>
          <w:tcPr>
            <w:tcW w:w="7513" w:type="dxa"/>
            <w:gridSpan w:val="3"/>
            <w:noWrap w:val="0"/>
            <w:vAlign w:val="center"/>
          </w:tcPr>
          <w:p w14:paraId="33D8AB73">
            <w:pPr>
              <w:numPr>
                <w:ilvl w:val="0"/>
                <w:numId w:val="4"/>
              </w:numPr>
              <w:autoSpaceDE w:val="0"/>
              <w:autoSpaceDN w:val="0"/>
              <w:adjustRightInd w:val="0"/>
              <w:snapToGrid w:val="0"/>
              <w:spacing w:line="360" w:lineRule="auto"/>
              <w:ind w:left="210" w:leftChars="0" w:firstLineChars="0"/>
              <w:jc w:val="left"/>
              <w:rPr>
                <w:rFonts w:hint="default" w:ascii="Times New Roman" w:hAnsi="Times New Roman" w:eastAsia="仿宋" w:cs="Times New Roman"/>
                <w:b/>
                <w:bCs/>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b/>
                <w:bCs/>
                <w:color w:val="000000" w:themeColor="text1"/>
                <w:kern w:val="0"/>
                <w:sz w:val="24"/>
                <w:highlight w:val="none"/>
                <w:u w:val="none"/>
                <w14:textFill>
                  <w14:solidFill>
                    <w14:schemeClr w14:val="tx1"/>
                  </w14:solidFill>
                </w14:textFill>
              </w:rPr>
              <w:t>产业政策符合性分析</w:t>
            </w:r>
          </w:p>
          <w:p w14:paraId="58F50D42">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本项目为生物质颗粒生产项目，根据国家发展和改革委员会发布的《产业结构调整指导目录（20</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24</w:t>
            </w: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年本）》，本项目属于</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第一类 鼓励类</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中的“</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一、农林牧渔业</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17．可再生资源综合利用：农作物秸秆综合利用</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；根据《市场准入负面清单（2022年版）》，本项目不在负面清单所列行业范围，不涉及“禁止准入类”。因此，本项目生产产品、生产设备、生产工艺等，符合国家和地方产业政策的要求。</w:t>
            </w:r>
          </w:p>
          <w:p w14:paraId="1C6EA09C">
            <w:pPr>
              <w:numPr>
                <w:ilvl w:val="0"/>
                <w:numId w:val="4"/>
              </w:numPr>
              <w:autoSpaceDE w:val="0"/>
              <w:autoSpaceDN w:val="0"/>
              <w:adjustRightInd w:val="0"/>
              <w:snapToGrid w:val="0"/>
              <w:spacing w:line="360" w:lineRule="auto"/>
              <w:ind w:left="210" w:leftChars="0" w:firstLineChars="0"/>
              <w:jc w:val="left"/>
              <w:rPr>
                <w:rFonts w:hint="default" w:ascii="Times New Roman" w:hAnsi="Times New Roman" w:eastAsia="仿宋" w:cs="Times New Roman"/>
                <w:b/>
                <w:bCs/>
                <w:color w:val="000000" w:themeColor="text1"/>
                <w:kern w:val="0"/>
                <w:sz w:val="24"/>
                <w:highlight w:val="none"/>
                <w:u w:val="none"/>
                <w14:textFill>
                  <w14:solidFill>
                    <w14:schemeClr w14:val="tx1"/>
                  </w14:solidFill>
                </w14:textFill>
              </w:rPr>
            </w:pPr>
            <w:r>
              <w:rPr>
                <w:rFonts w:hint="eastAsia" w:ascii="Times New Roman" w:hAnsi="Times New Roman" w:eastAsia="仿宋" w:cs="Times New Roman"/>
                <w:b/>
                <w:bCs/>
                <w:color w:val="000000" w:themeColor="text1"/>
                <w:kern w:val="0"/>
                <w:sz w:val="24"/>
                <w:highlight w:val="none"/>
                <w:u w:val="none"/>
                <w:lang w:val="en-US" w:eastAsia="zh-CN"/>
                <w14:textFill>
                  <w14:solidFill>
                    <w14:schemeClr w14:val="tx1"/>
                  </w14:solidFill>
                </w14:textFill>
              </w:rPr>
              <w:t>与</w:t>
            </w:r>
            <w:r>
              <w:rPr>
                <w:rFonts w:hint="eastAsia" w:ascii="Times New Roman" w:hAnsi="Times New Roman" w:eastAsia="仿宋" w:cs="Times New Roman"/>
                <w:b/>
                <w:bCs/>
                <w:color w:val="000000" w:themeColor="text1"/>
                <w:kern w:val="0"/>
                <w:sz w:val="24"/>
                <w:highlight w:val="none"/>
                <w:u w:val="none"/>
                <w14:textFill>
                  <w14:solidFill>
                    <w14:schemeClr w14:val="tx1"/>
                  </w14:solidFill>
                </w14:textFill>
              </w:rPr>
              <w:t>《空气质量持续改善行动计划》的通知 国发〔2023〕24号符合性分析</w:t>
            </w:r>
          </w:p>
          <w:p w14:paraId="2ACDB669">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14:paraId="2B1AACBF">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eastAsia" w:ascii="Times New Roman" w:hAnsi="Times New Roman" w:eastAsia="仿宋" w:cs="Times New Roman"/>
                <w:color w:val="000000" w:themeColor="text1"/>
                <w:kern w:val="0"/>
                <w:sz w:val="24"/>
                <w:highlight w:val="none"/>
                <w:u w:val="none"/>
                <w14:textFill>
                  <w14:solidFill>
                    <w14:schemeClr w14:val="tx1"/>
                  </w14:solidFill>
                </w14:textFill>
              </w:rPr>
              <w:t>本项目</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为新建项目，不属于高耗能、高排放项目，本项目</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生产在封闭式车间内进行，制粒工序产生的</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粉尘采取集气罩（</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2m×1.8m的集气罩、收集效率95%</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进行收集，收集效率为95%，收集后经布袋</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除尘器</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处理后经</w:t>
            </w:r>
            <w:r>
              <w:rPr>
                <w:rFonts w:hint="eastAsia" w:eastAsia="仿宋" w:cs="Times New Roman"/>
                <w:color w:val="000000" w:themeColor="text1"/>
                <w:kern w:val="0"/>
                <w:sz w:val="24"/>
                <w:highlight w:val="none"/>
                <w:u w:val="none"/>
                <w:lang w:val="en-US" w:eastAsia="zh-CN"/>
                <w14:textFill>
                  <w14:solidFill>
                    <w14:schemeClr w14:val="tx1"/>
                  </w14:solidFill>
                </w14:textFill>
              </w:rPr>
              <w:t>16m</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高排气筒（DA001）排放</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制粒工序间物料运输采用封闭式的输送带输送转运，可控制无组织粉尘的排放量</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，废气排放满足</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《大气污染物综合排放标准》（GB16297-1996）表2标准</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，废气污染物的排放对周边环境影响较小。</w:t>
            </w: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因此本项目符合文件要求。</w:t>
            </w:r>
          </w:p>
          <w:p w14:paraId="700DC300">
            <w:pPr>
              <w:numPr>
                <w:ilvl w:val="0"/>
                <w:numId w:val="4"/>
              </w:numPr>
              <w:autoSpaceDE w:val="0"/>
              <w:autoSpaceDN w:val="0"/>
              <w:adjustRightInd w:val="0"/>
              <w:snapToGrid w:val="0"/>
              <w:spacing w:line="360" w:lineRule="auto"/>
              <w:ind w:left="210" w:leftChars="0" w:firstLineChars="0"/>
              <w:jc w:val="left"/>
              <w:rPr>
                <w:rFonts w:hint="eastAsia" w:ascii="Times New Roman" w:hAnsi="Times New Roman" w:eastAsia="仿宋" w:cs="Times New Roman"/>
                <w:b/>
                <w:bCs/>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仿宋" w:cs="Times New Roman"/>
                <w:b/>
                <w:bCs/>
                <w:color w:val="000000" w:themeColor="text1"/>
                <w:kern w:val="0"/>
                <w:sz w:val="24"/>
                <w:highlight w:val="none"/>
                <w:u w:val="none"/>
                <w:lang w:val="en-US" w:eastAsia="zh-CN"/>
                <w14:textFill>
                  <w14:solidFill>
                    <w14:schemeClr w14:val="tx1"/>
                  </w14:solidFill>
                </w14:textFill>
              </w:rPr>
              <w:t>《黑龙江省空气质量持续改善行动计划实施方案》符合性分析</w:t>
            </w:r>
          </w:p>
          <w:p w14:paraId="4AC7CF22">
            <w:pPr>
              <w:autoSpaceDE w:val="0"/>
              <w:autoSpaceDN w:val="0"/>
              <w:adjustRightInd w:val="0"/>
              <w:snapToGrid w:val="0"/>
              <w:spacing w:line="360" w:lineRule="auto"/>
              <w:ind w:firstLine="480" w:firstLineChars="200"/>
              <w:jc w:val="left"/>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深化扬尘污染综合治理。全面推行绿色施工，严格执行“六个百分之百”，将防治扬尘污染费用纳入工程造价。到2025年，装配式建筑占新建建筑面积的比例达到30%；地级及以上城市建成区道路机械化清扫率达80%左右，县城达70%左右。对城市公共裸地进行排查建档并采取防尘措施。城市大型煤炭、矿石等干散货码头物料堆场基本完成抑尘设施建设和物料输送系统封闭改造</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w:t>
            </w:r>
          </w:p>
          <w:p w14:paraId="46015FD4">
            <w:pPr>
              <w:autoSpaceDE w:val="0"/>
              <w:autoSpaceDN w:val="0"/>
              <w:adjustRightInd w:val="0"/>
              <w:snapToGrid w:val="0"/>
              <w:spacing w:line="360" w:lineRule="auto"/>
              <w:ind w:firstLine="480" w:firstLineChars="200"/>
              <w:jc w:val="left"/>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本项目为新建项目，</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生产在封闭式车间内进行，制粒工序产生的</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粉尘采取集气罩（</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2m×1.8m的集气罩、收集效率95%</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进行收集，收集效率为95%，收集后经布袋</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除尘器</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处理后经</w:t>
            </w:r>
            <w:r>
              <w:rPr>
                <w:rFonts w:hint="eastAsia" w:eastAsia="仿宋" w:cs="Times New Roman"/>
                <w:color w:val="000000" w:themeColor="text1"/>
                <w:kern w:val="0"/>
                <w:sz w:val="24"/>
                <w:highlight w:val="none"/>
                <w:u w:val="none"/>
                <w:lang w:val="en-US" w:eastAsia="zh-CN"/>
                <w14:textFill>
                  <w14:solidFill>
                    <w14:schemeClr w14:val="tx1"/>
                  </w14:solidFill>
                </w14:textFill>
              </w:rPr>
              <w:t>16m</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高排气筒（DA001）排放</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制粒工序间物料运输采用封闭式的输送带输送转运，可控制无组织粉尘的排放量</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，符合《黑龙江省空气质量持续改善行动计划实施方案》要求。</w:t>
            </w:r>
          </w:p>
          <w:p w14:paraId="4444891C">
            <w:pPr>
              <w:numPr>
                <w:ilvl w:val="0"/>
                <w:numId w:val="4"/>
              </w:numPr>
              <w:autoSpaceDE w:val="0"/>
              <w:autoSpaceDN w:val="0"/>
              <w:adjustRightInd w:val="0"/>
              <w:snapToGrid w:val="0"/>
              <w:spacing w:line="360" w:lineRule="auto"/>
              <w:ind w:left="210" w:leftChars="0" w:firstLineChars="0"/>
              <w:jc w:val="left"/>
              <w:rPr>
                <w:rFonts w:hint="eastAsia" w:ascii="Times New Roman" w:hAnsi="Times New Roman" w:eastAsia="仿宋" w:cs="Times New Roman"/>
                <w:b/>
                <w:bCs/>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仿宋" w:cs="Times New Roman"/>
                <w:b/>
                <w:bCs/>
                <w:color w:val="000000" w:themeColor="text1"/>
                <w:kern w:val="0"/>
                <w:sz w:val="24"/>
                <w:highlight w:val="none"/>
                <w:u w:val="none"/>
                <w:lang w:val="en-US" w:eastAsia="zh-CN"/>
                <w14:textFill>
                  <w14:solidFill>
                    <w14:schemeClr w14:val="tx1"/>
                  </w14:solidFill>
                </w14:textFill>
              </w:rPr>
              <w:t>与《黑龙江省大气污染防治条例》符合性分析</w:t>
            </w:r>
          </w:p>
          <w:p w14:paraId="167AD0FF">
            <w:pPr>
              <w:autoSpaceDE w:val="0"/>
              <w:autoSpaceDN w:val="0"/>
              <w:adjustRightInd w:val="0"/>
              <w:snapToGrid w:val="0"/>
              <w:spacing w:line="360" w:lineRule="auto"/>
              <w:ind w:firstLine="480" w:firstLineChars="200"/>
              <w:jc w:val="left"/>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黑龙江省大气污染防治条例》中规定：“第十条企业事业单位和其他生产经营者建设对大气环境有影响的项目，应当依法进行环境影响评价、公开环境影响评价文件；向大气排放污染物的，应当符合大气污染物排放标准，遵守重点大气污染物排放总量控制要求。第十一条，向大气排放污染物的企业事业单位和其他生产经营者，应当配套建设大气污染防治设施，配套建设的大气污染防治设施，应当与主体工程同时设计、同时施工、同时投产使用，不得擅自拆除或者闲置。”</w:t>
            </w:r>
          </w:p>
          <w:p w14:paraId="72F33056">
            <w:pPr>
              <w:autoSpaceDE w:val="0"/>
              <w:autoSpaceDN w:val="0"/>
              <w:adjustRightInd w:val="0"/>
              <w:snapToGrid w:val="0"/>
              <w:spacing w:line="360" w:lineRule="auto"/>
              <w:ind w:firstLine="480" w:firstLineChars="200"/>
              <w:jc w:val="left"/>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本项目建设地点位于黑龙江</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省</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鸡西</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市</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鸡东县明德乡明德村，本</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生产在封闭式车间内进行，制粒工序产生的</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粉尘采取集气罩（</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2m×1.8m的集气罩、收集效率95%</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进行收集，收集效率为95%，收集后经布袋</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除尘器</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处理后经</w:t>
            </w:r>
            <w:r>
              <w:rPr>
                <w:rFonts w:hint="eastAsia" w:eastAsia="仿宋" w:cs="Times New Roman"/>
                <w:color w:val="000000" w:themeColor="text1"/>
                <w:kern w:val="0"/>
                <w:sz w:val="24"/>
                <w:highlight w:val="none"/>
                <w:u w:val="none"/>
                <w:lang w:val="en-US" w:eastAsia="zh-CN"/>
                <w14:textFill>
                  <w14:solidFill>
                    <w14:schemeClr w14:val="tx1"/>
                  </w14:solidFill>
                </w14:textFill>
              </w:rPr>
              <w:t>16m</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高排气筒（DA001）排放</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制粒工序间物料运输采用封闭式的输送带输送转运，可控制无组织粉尘的排放量</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，废气排放满足</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《大气污染物综合排放标准》（GB16297-1996）表2标准</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，废气污染物的排放对周边环境影响较小。因此，本项目的建设符合《黑龙江省大气污染防治条例》要求。</w:t>
            </w:r>
          </w:p>
          <w:p w14:paraId="5519BA54">
            <w:pPr>
              <w:numPr>
                <w:ilvl w:val="0"/>
                <w:numId w:val="4"/>
              </w:numPr>
              <w:autoSpaceDE w:val="0"/>
              <w:autoSpaceDN w:val="0"/>
              <w:adjustRightInd w:val="0"/>
              <w:snapToGrid w:val="0"/>
              <w:spacing w:line="360" w:lineRule="auto"/>
              <w:ind w:left="210" w:leftChars="0" w:firstLineChars="0"/>
              <w:jc w:val="left"/>
              <w:rPr>
                <w:rFonts w:hint="eastAsia" w:ascii="Times New Roman" w:hAnsi="Times New Roman" w:eastAsia="仿宋" w:cs="Times New Roman"/>
                <w:b/>
                <w:bCs/>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仿宋" w:cs="Times New Roman"/>
                <w:b/>
                <w:bCs/>
                <w:color w:val="000000" w:themeColor="text1"/>
                <w:kern w:val="0"/>
                <w:sz w:val="24"/>
                <w:highlight w:val="none"/>
                <w:u w:val="none"/>
                <w:lang w:val="en-US" w:eastAsia="zh-CN"/>
                <w14:textFill>
                  <w14:solidFill>
                    <w14:schemeClr w14:val="tx1"/>
                  </w14:solidFill>
                </w14:textFill>
              </w:rPr>
              <w:t>与《鸡西市空气质量持续改善行动计划</w:t>
            </w:r>
            <w:r>
              <w:rPr>
                <w:rFonts w:hint="default" w:ascii="Times New Roman" w:hAnsi="Times New Roman" w:eastAsia="仿宋" w:cs="Times New Roman"/>
                <w:b/>
                <w:bCs/>
                <w:color w:val="000000" w:themeColor="text1"/>
                <w:kern w:val="0"/>
                <w:sz w:val="24"/>
                <w:highlight w:val="none"/>
                <w:u w:val="none"/>
                <w:lang w:val="en-US" w:eastAsia="zh-CN"/>
                <w14:textFill>
                  <w14:solidFill>
                    <w14:schemeClr w14:val="tx1"/>
                  </w14:solidFill>
                </w14:textFill>
              </w:rPr>
              <w:t>贯彻落实方案</w:t>
            </w:r>
            <w:r>
              <w:rPr>
                <w:rFonts w:hint="eastAsia" w:ascii="Times New Roman" w:hAnsi="Times New Roman" w:eastAsia="仿宋" w:cs="Times New Roman"/>
                <w:b/>
                <w:bCs/>
                <w:color w:val="000000" w:themeColor="text1"/>
                <w:kern w:val="0"/>
                <w:sz w:val="24"/>
                <w:highlight w:val="none"/>
                <w:u w:val="none"/>
                <w:lang w:val="en-US" w:eastAsia="zh-CN"/>
                <w14:textFill>
                  <w14:solidFill>
                    <w14:schemeClr w14:val="tx1"/>
                  </w14:solidFill>
                </w14:textFill>
              </w:rPr>
              <w:t>》符合性分析</w:t>
            </w:r>
          </w:p>
          <w:p w14:paraId="76D4CCD4">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严格合理控制煤炭消费总量。</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全市原则上不再新增自备燃煤机组，按要求支持自备燃煤机组实施清洁能源替代。合理保障支撑电力稳定供应、电网安全运行、清洁能源大规模并网消纳的煤电项目及其用煤量。鼓励锅炉生产制造企业优化锅炉设计，应用新材料、新技术、新工艺，通过优化参数和燃料结构、采用新型热力循环等方式，从源头提高锅炉绿色低碳水平。到2025年，全市煤炭消费比重在2020年基础上下降4%左右。</w:t>
            </w:r>
          </w:p>
          <w:p w14:paraId="202B73EE">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本项目不新建燃煤锅炉，冬季不生产，无需供暖，符合《鸡西市空气质量持续改善行动计划</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贯彻落实方案</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》中要求。</w:t>
            </w:r>
          </w:p>
          <w:p w14:paraId="257375EC">
            <w:pPr>
              <w:numPr>
                <w:ilvl w:val="0"/>
                <w:numId w:val="4"/>
              </w:numPr>
              <w:autoSpaceDE w:val="0"/>
              <w:autoSpaceDN w:val="0"/>
              <w:adjustRightInd w:val="0"/>
              <w:snapToGrid w:val="0"/>
              <w:spacing w:line="360" w:lineRule="auto"/>
              <w:ind w:left="210" w:leftChars="0" w:firstLineChars="0"/>
              <w:jc w:val="left"/>
              <w:rPr>
                <w:rFonts w:hint="eastAsia" w:ascii="Times New Roman" w:hAnsi="Times New Roman" w:eastAsia="仿宋" w:cs="Times New Roman"/>
                <w:b/>
                <w:bCs/>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仿宋" w:cs="Times New Roman"/>
                <w:b/>
                <w:bCs/>
                <w:color w:val="000000" w:themeColor="text1"/>
                <w:kern w:val="0"/>
                <w:sz w:val="24"/>
                <w:highlight w:val="none"/>
                <w:u w:val="none"/>
                <w:lang w:val="en-US" w:eastAsia="zh-CN"/>
                <w14:textFill>
                  <w14:solidFill>
                    <w14:schemeClr w14:val="tx1"/>
                  </w14:solidFill>
                </w14:textFill>
              </w:rPr>
              <w:t>与《鸡西市“十四五”生态环境保护规划》符合性分析</w:t>
            </w:r>
          </w:p>
          <w:p w14:paraId="7AD33279">
            <w:pPr>
              <w:autoSpaceDE w:val="0"/>
              <w:autoSpaceDN w:val="0"/>
              <w:adjustRightInd w:val="0"/>
              <w:snapToGrid w:val="0"/>
              <w:spacing w:line="360" w:lineRule="auto"/>
              <w:ind w:firstLine="480" w:firstLineChars="200"/>
              <w:jc w:val="left"/>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优化能源供给结构。建设清洁低碳、安全高效的能源体系。严格控制煤炭消费总量增速，实施煤炭消费减量替代，推动煤炭等化石能源清洁高效利用。实施能耗总量和强度双控，大幅降低能耗强度。实施可再生能源替代行动，促进非化石能源成为能源消费增量的主体。优化电力生产和输送通道布局，提高能源输配效率。优化风电、光伏发电布局。优先发展新能源产业，探索开展绿色能源利用。</w:t>
            </w:r>
          </w:p>
          <w:p w14:paraId="3010ABE3">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提升行业资源能源利用效率。加强重点领域和重点用能单位节能管理，实施能量系统优化、节能技术改造等重点工程。制定地方清洁生产审核实施方案，依法推进清洁生产，在重点行业深入推进强制性清洁生产审核。</w:t>
            </w:r>
          </w:p>
          <w:p w14:paraId="09A16B35">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实施终端用能清洁化替代。重点削减小型燃煤锅炉、民用散煤与农业用煤消费量，降低煤炭在终端分散利用比例，对以煤、石焦油、渣油、重油等为燃料的锅炉和工业炉窑，加快使用清洁低碳能源以及工厂余热、电力热力等进行替代。加快推进煤城新能源项目建设。到2025年，全市清洁取暖率提高到40%以上。</w:t>
            </w:r>
          </w:p>
          <w:p w14:paraId="052511EF">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本项目不新建燃煤锅炉，冬季不生产，无需供暖，符合《鸡西市“十四五”生态环境保护规划》中要求。</w:t>
            </w:r>
          </w:p>
          <w:p w14:paraId="6B23C7EE">
            <w:pPr>
              <w:numPr>
                <w:ilvl w:val="0"/>
                <w:numId w:val="4"/>
              </w:numPr>
              <w:autoSpaceDE w:val="0"/>
              <w:autoSpaceDN w:val="0"/>
              <w:adjustRightInd w:val="0"/>
              <w:snapToGrid w:val="0"/>
              <w:spacing w:line="360" w:lineRule="auto"/>
              <w:ind w:left="210" w:leftChars="0" w:firstLineChars="0"/>
              <w:jc w:val="left"/>
              <w:rPr>
                <w:rFonts w:hint="default" w:ascii="Times New Roman" w:hAnsi="Times New Roman" w:eastAsia="仿宋" w:cs="Times New Roman"/>
                <w:b/>
                <w:bCs/>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b/>
                <w:bCs/>
                <w:color w:val="000000" w:themeColor="text1"/>
                <w:kern w:val="0"/>
                <w:sz w:val="24"/>
                <w:highlight w:val="none"/>
                <w:u w:val="none"/>
                <w14:textFill>
                  <w14:solidFill>
                    <w14:schemeClr w14:val="tx1"/>
                  </w14:solidFill>
                </w14:textFill>
              </w:rPr>
              <w:t>与《固体废物再生利用污染防治技术导则（HJ1091-2020）》相符性分析文件要求：</w:t>
            </w:r>
          </w:p>
          <w:p w14:paraId="4C7492A9">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固体废物再生利用产物作为产品的，应符合GB 34330中要求的国家、地方制定或行业通行的产品质量标准，与国家相关污染控制标准或技术规范要求，包括该产物生产过程中排放到环境中的特征污染物含量标准和该产物中特征污染物的含量标准。本项目产品质量符合《生物质固体成型燃料技术条件》（NY/T1878-2010）标准，生产过程中不涉及特征污染物排放。本项目原料不涉及易燃易爆或易释放挥发性毒性物质的材料，</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本项目</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生产在封闭式车间内进行，制粒工序产生的</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粉尘采取集气罩（</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2m×1.8m的集气罩、收集效率95%</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进行收集，收集效率为95%，收集后经布袋</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除尘器</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处理后经</w:t>
            </w:r>
            <w:r>
              <w:rPr>
                <w:rFonts w:hint="eastAsia" w:eastAsia="仿宋" w:cs="Times New Roman"/>
                <w:color w:val="000000" w:themeColor="text1"/>
                <w:kern w:val="0"/>
                <w:sz w:val="24"/>
                <w:highlight w:val="none"/>
                <w:u w:val="none"/>
                <w:lang w:val="en-US" w:eastAsia="zh-CN"/>
                <w14:textFill>
                  <w14:solidFill>
                    <w14:schemeClr w14:val="tx1"/>
                  </w14:solidFill>
                </w14:textFill>
              </w:rPr>
              <w:t>16m</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高排气筒（DA001）排放</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制粒工序间物料运输采用封闭式的输送带输送转运，可控制无组织粉尘的排放量</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。本项目仅租赁现有闲置库房，不涉及绿化措施</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。综上，本项目工艺、设备满足《固体废物再生利用污染防治技术导则（HJ1091-2020）》相关要求。</w:t>
            </w:r>
          </w:p>
          <w:p w14:paraId="25DE94FC">
            <w:pPr>
              <w:numPr>
                <w:ilvl w:val="0"/>
                <w:numId w:val="4"/>
              </w:numPr>
              <w:autoSpaceDE w:val="0"/>
              <w:autoSpaceDN w:val="0"/>
              <w:adjustRightInd w:val="0"/>
              <w:snapToGrid w:val="0"/>
              <w:spacing w:line="360" w:lineRule="auto"/>
              <w:ind w:left="210" w:leftChars="0" w:firstLineChars="0"/>
              <w:jc w:val="left"/>
              <w:rPr>
                <w:rFonts w:hint="default" w:ascii="Times New Roman" w:hAnsi="Times New Roman" w:eastAsia="仿宋" w:cs="Times New Roman"/>
                <w:b/>
                <w:bCs/>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b/>
                <w:bCs/>
                <w:color w:val="000000" w:themeColor="text1"/>
                <w:kern w:val="0"/>
                <w:sz w:val="24"/>
                <w:highlight w:val="none"/>
                <w:u w:val="none"/>
                <w:lang w:val="en-US" w:eastAsia="zh-CN"/>
                <w14:textFill>
                  <w14:solidFill>
                    <w14:schemeClr w14:val="tx1"/>
                  </w14:solidFill>
                </w14:textFill>
              </w:rPr>
              <w:t>选址合理性分析</w:t>
            </w:r>
          </w:p>
          <w:p w14:paraId="19984BE0">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项目位于</w:t>
            </w:r>
            <w:r>
              <w:rPr>
                <w:rFonts w:hint="eastAsia" w:ascii="Times New Roman" w:hAnsi="Times New Roman" w:eastAsia="仿宋" w:cs="Times New Roman"/>
                <w:color w:val="000000" w:themeColor="text1"/>
                <w:kern w:val="0"/>
                <w:sz w:val="24"/>
                <w:highlight w:val="none"/>
                <w:u w:val="none"/>
                <w:lang w:eastAsia="zh-CN"/>
                <w14:textFill>
                  <w14:solidFill>
                    <w14:schemeClr w14:val="tx1"/>
                  </w14:solidFill>
                </w14:textFill>
              </w:rPr>
              <w:t>黑龙江</w:t>
            </w:r>
            <w:r>
              <w:rPr>
                <w:rFonts w:hint="default" w:ascii="Times New Roman" w:hAnsi="Times New Roman" w:eastAsia="仿宋" w:cs="Times New Roman"/>
                <w:color w:val="000000" w:themeColor="text1"/>
                <w:kern w:val="0"/>
                <w:sz w:val="24"/>
                <w:highlight w:val="none"/>
                <w:u w:val="none"/>
                <w:lang w:eastAsia="zh-CN"/>
                <w14:textFill>
                  <w14:solidFill>
                    <w14:schemeClr w14:val="tx1"/>
                  </w14:solidFill>
                </w14:textFill>
              </w:rPr>
              <w:t>省</w:t>
            </w:r>
            <w:r>
              <w:rPr>
                <w:rFonts w:hint="eastAsia" w:ascii="Times New Roman" w:hAnsi="Times New Roman" w:eastAsia="仿宋" w:cs="Times New Roman"/>
                <w:color w:val="000000" w:themeColor="text1"/>
                <w:kern w:val="0"/>
                <w:sz w:val="24"/>
                <w:highlight w:val="none"/>
                <w:u w:val="none"/>
                <w:lang w:eastAsia="zh-CN"/>
                <w14:textFill>
                  <w14:solidFill>
                    <w14:schemeClr w14:val="tx1"/>
                  </w14:solidFill>
                </w14:textFill>
              </w:rPr>
              <w:t>鸡西</w:t>
            </w:r>
            <w:r>
              <w:rPr>
                <w:rFonts w:hint="default" w:ascii="Times New Roman" w:hAnsi="Times New Roman" w:eastAsia="仿宋" w:cs="Times New Roman"/>
                <w:color w:val="000000" w:themeColor="text1"/>
                <w:kern w:val="0"/>
                <w:sz w:val="24"/>
                <w:highlight w:val="none"/>
                <w:u w:val="none"/>
                <w:lang w:eastAsia="zh-CN"/>
                <w14:textFill>
                  <w14:solidFill>
                    <w14:schemeClr w14:val="tx1"/>
                  </w14:solidFill>
                </w14:textFill>
              </w:rPr>
              <w:t>市</w:t>
            </w:r>
            <w:r>
              <w:rPr>
                <w:rFonts w:hint="eastAsia" w:ascii="Times New Roman" w:hAnsi="Times New Roman" w:eastAsia="仿宋" w:cs="Times New Roman"/>
                <w:color w:val="000000" w:themeColor="text1"/>
                <w:kern w:val="0"/>
                <w:sz w:val="24"/>
                <w:highlight w:val="none"/>
                <w:u w:val="none"/>
                <w:lang w:eastAsia="zh-CN"/>
                <w14:textFill>
                  <w14:solidFill>
                    <w14:schemeClr w14:val="tx1"/>
                  </w14:solidFill>
                </w14:textFill>
              </w:rPr>
              <w:t>鸡东</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县</w:t>
            </w:r>
            <w:r>
              <w:rPr>
                <w:rFonts w:hint="eastAsia" w:ascii="Times New Roman" w:hAnsi="Times New Roman" w:eastAsia="仿宋" w:cs="Times New Roman"/>
                <w:color w:val="000000" w:themeColor="text1"/>
                <w:kern w:val="0"/>
                <w:sz w:val="24"/>
                <w:highlight w:val="none"/>
                <w:u w:val="none"/>
                <w:lang w:eastAsia="zh-CN"/>
                <w14:textFill>
                  <w14:solidFill>
                    <w14:schemeClr w14:val="tx1"/>
                  </w14:solidFill>
                </w14:textFill>
              </w:rPr>
              <w:t>明德乡明德村</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，租赁</w:t>
            </w:r>
            <w:r>
              <w:rPr>
                <w:rFonts w:hint="eastAsia" w:ascii="Times New Roman" w:hAnsi="Times New Roman" w:eastAsia="仿宋" w:cs="Times New Roman"/>
                <w:color w:val="000000" w:themeColor="text1"/>
                <w:kern w:val="0"/>
                <w:sz w:val="24"/>
                <w:highlight w:val="none"/>
                <w:u w:val="none"/>
                <w:lang w:eastAsia="zh-CN"/>
                <w14:textFill>
                  <w14:solidFill>
                    <w14:schemeClr w14:val="tx1"/>
                  </w14:solidFill>
                </w14:textFill>
              </w:rPr>
              <w:t>鸡东县顺发米业有限公司</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现有</w:t>
            </w:r>
            <w:r>
              <w:rPr>
                <w:rFonts w:hint="eastAsia" w:eastAsia="仿宋" w:cs="Times New Roman"/>
                <w:color w:val="000000" w:themeColor="text1"/>
                <w:kern w:val="0"/>
                <w:sz w:val="24"/>
                <w:highlight w:val="none"/>
                <w:u w:val="none"/>
                <w:lang w:val="en-US" w:eastAsia="zh-CN"/>
                <w14:textFill>
                  <w14:solidFill>
                    <w14:schemeClr w14:val="tx1"/>
                  </w14:solidFill>
                </w14:textFill>
              </w:rPr>
              <w:t>西北侧</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闲置</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库房</w:t>
            </w:r>
            <w:r>
              <w:rPr>
                <w:rFonts w:hint="eastAsia" w:eastAsia="仿宋" w:cs="Times New Roman"/>
                <w:color w:val="000000" w:themeColor="text1"/>
                <w:kern w:val="0"/>
                <w:sz w:val="24"/>
                <w:highlight w:val="none"/>
                <w:u w:val="none"/>
                <w:lang w:val="en-US" w:eastAsia="zh-CN"/>
                <w14:textFill>
                  <w14:solidFill>
                    <w14:schemeClr w14:val="tx1"/>
                  </w14:solidFill>
                </w14:textFill>
              </w:rPr>
              <w:t>1座</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无遗留环境问题，土地性质为工业用地（具体见附件4、5），</w:t>
            </w:r>
            <w:r>
              <w:rPr>
                <w:rFonts w:hint="eastAsia" w:ascii="Times New Roman" w:hAnsi="Times New Roman" w:eastAsia="仿宋" w:cs="Times New Roman"/>
                <w:color w:val="000000" w:themeColor="text1"/>
                <w:kern w:val="0"/>
                <w:sz w:val="24"/>
                <w:highlight w:val="none"/>
                <w:u w:val="none"/>
                <w:lang w:eastAsia="zh-CN"/>
                <w14:textFill>
                  <w14:solidFill>
                    <w14:schemeClr w14:val="tx1"/>
                  </w14:solidFill>
                </w14:textFill>
              </w:rPr>
              <w:t>符合</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国土空间规划</w:t>
            </w:r>
            <w:r>
              <w:rPr>
                <w:rFonts w:hint="eastAsia" w:ascii="Times New Roman" w:hAnsi="Times New Roman" w:eastAsia="仿宋" w:cs="Times New Roman"/>
                <w:color w:val="000000" w:themeColor="text1"/>
                <w:kern w:val="0"/>
                <w:sz w:val="24"/>
                <w:highlight w:val="none"/>
                <w:u w:val="none"/>
                <w:lang w:eastAsia="zh-CN"/>
                <w14:textFill>
                  <w14:solidFill>
                    <w14:schemeClr w14:val="tx1"/>
                  </w14:solidFill>
                </w14:textFill>
              </w:rPr>
              <w:t>要求。</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厂址北侧</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w:t>
            </w:r>
            <w:r>
              <w:rPr>
                <w:rFonts w:hint="eastAsia" w:eastAsia="仿宋" w:cs="Times New Roman"/>
                <w:color w:val="000000" w:themeColor="text1"/>
                <w:kern w:val="0"/>
                <w:sz w:val="24"/>
                <w:highlight w:val="none"/>
                <w:u w:val="none"/>
                <w:lang w:val="en-US" w:eastAsia="zh-CN"/>
                <w14:textFill>
                  <w14:solidFill>
                    <w14:schemeClr w14:val="tx1"/>
                  </w14:solidFill>
                </w14:textFill>
              </w:rPr>
              <w:t>东</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侧</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为</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一般农田</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w:t>
            </w:r>
            <w:r>
              <w:rPr>
                <w:rFonts w:hint="eastAsia" w:eastAsia="仿宋" w:cs="Times New Roman"/>
                <w:color w:val="000000" w:themeColor="text1"/>
                <w:kern w:val="0"/>
                <w:sz w:val="24"/>
                <w:highlight w:val="none"/>
                <w:u w:val="none"/>
                <w:lang w:val="en-US" w:eastAsia="zh-CN"/>
                <w14:textFill>
                  <w14:solidFill>
                    <w14:schemeClr w14:val="tx1"/>
                  </w14:solidFill>
                </w14:textFill>
              </w:rPr>
              <w:t>西</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侧</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、南侧为</w:t>
            </w:r>
            <w:r>
              <w:rPr>
                <w:rFonts w:hint="eastAsia" w:ascii="Times New Roman" w:hAnsi="Times New Roman" w:eastAsia="仿宋" w:cs="Times New Roman"/>
                <w:color w:val="000000" w:themeColor="text1"/>
                <w:kern w:val="0"/>
                <w:sz w:val="24"/>
                <w:highlight w:val="none"/>
                <w:u w:val="none"/>
                <w:lang w:eastAsia="zh-CN"/>
                <w14:textFill>
                  <w14:solidFill>
                    <w14:schemeClr w14:val="tx1"/>
                  </w14:solidFill>
                </w14:textFill>
              </w:rPr>
              <w:t>鸡东县顺发米业有限公司</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厂房</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，周边200米范围内无居民。</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本项目位于</w:t>
            </w:r>
            <w:r>
              <w:rPr>
                <w:rFonts w:hint="eastAsia" w:ascii="Times New Roman" w:hAnsi="Times New Roman" w:eastAsia="仿宋" w:cs="Times New Roman"/>
                <w:color w:val="000000" w:themeColor="text1"/>
                <w:kern w:val="0"/>
                <w:sz w:val="24"/>
                <w:highlight w:val="none"/>
                <w:u w:val="none"/>
                <w:lang w:eastAsia="zh-CN"/>
                <w14:textFill>
                  <w14:solidFill>
                    <w14:schemeClr w14:val="tx1"/>
                  </w14:solidFill>
                </w14:textFill>
              </w:rPr>
              <w:t>明德村</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北侧，距离最近</w:t>
            </w:r>
            <w:r>
              <w:rPr>
                <w:rFonts w:hint="eastAsia" w:ascii="Times New Roman" w:hAnsi="Times New Roman" w:eastAsia="仿宋" w:cs="Times New Roman"/>
                <w:color w:val="000000" w:themeColor="text1"/>
                <w:kern w:val="0"/>
                <w:sz w:val="24"/>
                <w:highlight w:val="none"/>
                <w:u w:val="none"/>
                <w:lang w:eastAsia="zh-CN"/>
                <w14:textFill>
                  <w14:solidFill>
                    <w14:schemeClr w14:val="tx1"/>
                  </w14:solidFill>
                </w14:textFill>
              </w:rPr>
              <w:t>明德村</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为800m，位于</w:t>
            </w:r>
            <w:r>
              <w:rPr>
                <w:rFonts w:hint="eastAsia" w:ascii="Times New Roman" w:hAnsi="Times New Roman" w:eastAsia="仿宋" w:cs="Times New Roman"/>
                <w:color w:val="000000" w:themeColor="text1"/>
                <w:kern w:val="0"/>
                <w:sz w:val="24"/>
                <w:highlight w:val="none"/>
                <w:u w:val="none"/>
                <w:lang w:eastAsia="zh-CN"/>
                <w14:textFill>
                  <w14:solidFill>
                    <w14:schemeClr w14:val="tx1"/>
                  </w14:solidFill>
                </w14:textFill>
              </w:rPr>
              <w:t>明德村</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侧风向，产生的粉尘不会对居民产生影响，</w:t>
            </w:r>
            <w:r>
              <w:rPr>
                <w:rFonts w:hint="eastAsia" w:eastAsia="仿宋" w:cs="Times New Roman"/>
                <w:color w:val="000000" w:themeColor="text1"/>
                <w:kern w:val="0"/>
                <w:sz w:val="24"/>
                <w:highlight w:val="none"/>
                <w:u w:val="none"/>
                <w:lang w:val="en-US" w:eastAsia="zh-CN"/>
                <w14:textFill>
                  <w14:solidFill>
                    <w14:schemeClr w14:val="tx1"/>
                  </w14:solidFill>
                </w14:textFill>
              </w:rPr>
              <w:t>距离</w:t>
            </w:r>
            <w:r>
              <w:rPr>
                <w:rFonts w:hint="eastAsia" w:ascii="Times New Roman" w:hAnsi="Times New Roman" w:eastAsia="仿宋" w:cs="Times New Roman"/>
                <w:color w:val="000000" w:themeColor="text1"/>
                <w:kern w:val="0"/>
                <w:sz w:val="24"/>
                <w:highlight w:val="none"/>
                <w:u w:val="none"/>
                <w:lang w:eastAsia="zh-CN"/>
                <w14:textFill>
                  <w14:solidFill>
                    <w14:schemeClr w14:val="tx1"/>
                  </w14:solidFill>
                </w14:textFill>
              </w:rPr>
              <w:t>明德村</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饮用水井1700m，</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本项目地面均进行硬化处理，项目危废暂存间也进行硬化等防渗处理，生产过程中不会污染地下水和土壤</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w:t>
            </w:r>
          </w:p>
          <w:p w14:paraId="1010B4D5">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选址不属于自然保护区、风景名胜区、森林公园、重要湖泊周边、文物古迹所在地、地质遗迹保护区、基本农田保护区等区域。项目所在地给供电条件较好，利用周边地区</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稻壳</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为原料，靠近原料地，选址交通运输方便。本项目工艺较为简单，项目污染源强如生活污水、噪声、粉尘，均能得到合理的处置，故其对周边影响较小。</w:t>
            </w:r>
          </w:p>
          <w:p w14:paraId="0DE553CB">
            <w:pPr>
              <w:autoSpaceDE w:val="0"/>
              <w:autoSpaceDN w:val="0"/>
              <w:adjustRightInd w:val="0"/>
              <w:snapToGrid w:val="0"/>
              <w:spacing w:line="360" w:lineRule="auto"/>
              <w:ind w:firstLine="480" w:firstLineChars="200"/>
              <w:jc w:val="left"/>
              <w:rPr>
                <w:rFonts w:hint="default" w:ascii="Times New Roman" w:hAnsi="Times New Roman" w:eastAsia="仿宋" w:cs="Times New Roman"/>
                <w:color w:val="000000" w:themeColor="text1"/>
                <w:kern w:val="0"/>
                <w:sz w:val="24"/>
                <w:highlight w:val="none"/>
                <w:u w:val="none"/>
                <w:lang w:eastAsia="zh-CN"/>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综上，在做好本环评提出的环保措施的前提下，从环保角度考虑，本项目选址合理。</w:t>
            </w:r>
          </w:p>
          <w:p w14:paraId="6DF959D4">
            <w:pPr>
              <w:numPr>
                <w:ilvl w:val="0"/>
                <w:numId w:val="4"/>
              </w:numPr>
              <w:autoSpaceDE w:val="0"/>
              <w:autoSpaceDN w:val="0"/>
              <w:adjustRightInd w:val="0"/>
              <w:snapToGrid w:val="0"/>
              <w:spacing w:line="360" w:lineRule="auto"/>
              <w:ind w:left="210" w:leftChars="0" w:firstLineChars="0"/>
              <w:jc w:val="left"/>
              <w:rPr>
                <w:rFonts w:hint="default" w:ascii="Times New Roman" w:hAnsi="Times New Roman" w:eastAsia="仿宋" w:cs="Times New Roman"/>
                <w:b/>
                <w:bCs/>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b/>
                <w:bCs/>
                <w:color w:val="000000" w:themeColor="text1"/>
                <w:kern w:val="0"/>
                <w:sz w:val="24"/>
                <w:highlight w:val="none"/>
                <w:u w:val="none"/>
                <w14:textFill>
                  <w14:solidFill>
                    <w14:schemeClr w14:val="tx1"/>
                  </w14:solidFill>
                </w14:textFill>
              </w:rPr>
              <w:t>“三线一单”相符性分析</w:t>
            </w:r>
          </w:p>
          <w:p w14:paraId="5854A28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根据《</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鸡西</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市人民政府关于实施“三线一单”生态环境分区管控的意见》中要求，环境管控单元包括优先保护单元、重点管控单元和一般管控单元三类。本项目位于重点管控单元。</w:t>
            </w:r>
          </w:p>
          <w:p w14:paraId="793383C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文件中要求重点管控单元突出污染物排放控制和环境风险防控，按照差别化的生态环境准入要求，优化空间和产业布局，不断提升资源利用效率，强化环境质量改善目标约束，解决局部生态环境质量不达标、生态环境风险高的问题。</w:t>
            </w:r>
          </w:p>
          <w:p w14:paraId="718E9E0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生态保护红线：生态空间包括生态保护红线和一般生态空间，生态保护红线及一般生态空间均属于优先保护单元。本项目位于</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黑龙江省鸡西市鸡东县明德乡明德村</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，与环境管控单元图对照，本项目所在区域位于重点管控区，不属于优先保护单元。</w:t>
            </w:r>
          </w:p>
          <w:p w14:paraId="6F3235D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选址位置处无自然保护区、风景旅游区、文物保护区及珍稀动物保护区等敏感因素。</w:t>
            </w:r>
          </w:p>
          <w:p w14:paraId="57FF9A8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三区三线”中，三区是指农业空间、生态空间、城镇空间三种类型的国士空间；三线分别对应在农业空间、生态空间、城镇空间划定的永久基本农田保护红线、生态保护红线和城镇开发边界三条控制线。黑龙江省“三区三线”划定成果通过自然资源部质检，并于11月1日经自然资源部正式批准启用。根据《</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鸡西</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市人民政府关于实施“三线一单”生态环境分区控制的意见》和《自然资源部办公厅关于依据“三区三线”划定成果报批建设项目用地用海有关事宜的函》（自然资办函（2022）2072号）文件及附图，本项目所在地不在生态红线内。综上所述，本项目满足生态保护红线要求。</w:t>
            </w:r>
          </w:p>
          <w:p w14:paraId="7A99050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环境质量底线：</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本项目生活污水排入防渗旱厕，定期清掏外运堆肥。无生产废水产生</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w:t>
            </w:r>
          </w:p>
          <w:p w14:paraId="1069F96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本项目制粒过程产生的粉尘，通过</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布袋</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除尘器</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处理后</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由</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一根</w:t>
            </w:r>
            <w:r>
              <w:rPr>
                <w:rFonts w:hint="eastAsia" w:eastAsia="仿宋" w:cs="Times New Roman"/>
                <w:color w:val="000000" w:themeColor="text1"/>
                <w:kern w:val="0"/>
                <w:sz w:val="24"/>
                <w:highlight w:val="none"/>
                <w:u w:val="none"/>
                <w:lang w:val="en-US" w:eastAsia="zh-CN"/>
                <w14:textFill>
                  <w14:solidFill>
                    <w14:schemeClr w14:val="tx1"/>
                  </w14:solidFill>
                </w14:textFill>
              </w:rPr>
              <w:t>16m</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高排气筒（DA001）排放</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，满足</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《大气污染物综合排放标准》（GB16297-1996）表2标准</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，废气污染物的排放对周边环境影响较小。</w:t>
            </w:r>
          </w:p>
          <w:p w14:paraId="371B96D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本项目采取选用低噪声设备，通过厂房隔声、基础减振等措施，限制噪声向外传播。生产中产生的噪声通过厂房、厂区距离衰减后对外环境影响较小。固体废处置率100%，不会对项目区周边环境造成影响。本项目运营期各类污染物经环境保护措施治理后均可达标排放，对区域环境造成的不利影响</w:t>
            </w:r>
            <w:r>
              <w:rPr>
                <w:rFonts w:hint="eastAsia" w:eastAsia="仿宋" w:cs="Times New Roman"/>
                <w:color w:val="000000" w:themeColor="text1"/>
                <w:kern w:val="0"/>
                <w:sz w:val="24"/>
                <w:highlight w:val="none"/>
                <w:u w:val="none"/>
                <w:lang w:val="en-US" w:eastAsia="zh-CN"/>
                <w14:textFill>
                  <w14:solidFill>
                    <w14:schemeClr w14:val="tx1"/>
                  </w14:solidFill>
                </w14:textFill>
              </w:rPr>
              <w:t>可接受</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，不会改变区域环境质量现状，因此，符合环境质量底线要求。</w:t>
            </w:r>
          </w:p>
          <w:p w14:paraId="332CC224">
            <w:pPr>
              <w:autoSpaceDE w:val="0"/>
              <w:autoSpaceDN w:val="0"/>
              <w:adjustRightInd w:val="0"/>
              <w:snapToGrid w:val="0"/>
              <w:spacing w:line="360" w:lineRule="auto"/>
              <w:ind w:firstLine="480" w:firstLineChars="200"/>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资源利用上线：本项目供水水源由</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鸡东县顺发米业有限公司</w:t>
            </w:r>
            <w:r>
              <w:rPr>
                <w:rFonts w:hint="eastAsia" w:eastAsia="仿宋" w:cs="Times New Roman"/>
                <w:color w:val="000000" w:themeColor="text1"/>
                <w:kern w:val="0"/>
                <w:sz w:val="24"/>
                <w:highlight w:val="none"/>
                <w:u w:val="none"/>
                <w:lang w:val="en-US" w:eastAsia="zh-CN"/>
                <w14:textFill>
                  <w14:solidFill>
                    <w14:schemeClr w14:val="tx1"/>
                  </w14:solidFill>
                </w14:textFill>
              </w:rPr>
              <w:t>饮用水采取外购桶装水，生产不需用水。</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可以满足本次工程的需求，符合水资源利用上线一般管控区管控要求。土地资源属于一般管控区：本项目用地性质为工业用地，严格遵守用地范围，符合土地资源一般管控区管控要求。项目资源消耗量相对区域资源总量较小，符合能源资源管控要求，项目符合能源利用上线要求。</w:t>
            </w:r>
          </w:p>
          <w:p w14:paraId="278F6DFA">
            <w:pPr>
              <w:autoSpaceDE w:val="0"/>
              <w:autoSpaceDN w:val="0"/>
              <w:adjustRightInd w:val="0"/>
              <w:snapToGrid w:val="0"/>
              <w:spacing w:line="360" w:lineRule="auto"/>
              <w:ind w:firstLine="480" w:firstLineChars="200"/>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环境准入清单：根据《</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鸡西</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市生态环境准入清单》和《生态环境分区管控分析报告》本项目为生态环境准入清单的重点管控单元，属于重点管控单元。</w:t>
            </w:r>
          </w:p>
          <w:p w14:paraId="40ED8740">
            <w:pPr>
              <w:autoSpaceDE w:val="0"/>
              <w:autoSpaceDN w:val="0"/>
              <w:adjustRightInd w:val="0"/>
              <w:snapToGrid w:val="0"/>
              <w:spacing w:line="360" w:lineRule="auto"/>
              <w:ind w:firstLine="480" w:firstLineChars="200"/>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综上，本项目建设符合“三线一单”要求。</w:t>
            </w:r>
          </w:p>
          <w:p w14:paraId="620C9EB3">
            <w:pPr>
              <w:pStyle w:val="77"/>
              <w:adjustRightInd/>
              <w:snapToGrid/>
              <w:rPr>
                <w:rFonts w:eastAsia="仿宋"/>
                <w:b/>
                <w:bCs/>
                <w:color w:val="000000" w:themeColor="text1"/>
                <w:sz w:val="21"/>
                <w:szCs w:val="21"/>
                <w:highlight w:val="none"/>
                <w:u w:val="none"/>
                <w14:textFill>
                  <w14:solidFill>
                    <w14:schemeClr w14:val="tx1"/>
                  </w14:solidFill>
                </w14:textFill>
              </w:rPr>
            </w:pPr>
            <w:r>
              <w:rPr>
                <w:rFonts w:eastAsia="仿宋"/>
                <w:b/>
                <w:bCs/>
                <w:color w:val="000000" w:themeColor="text1"/>
                <w:sz w:val="21"/>
                <w:szCs w:val="21"/>
                <w:highlight w:val="none"/>
                <w:u w:val="none"/>
                <w14:textFill>
                  <w14:solidFill>
                    <w14:schemeClr w14:val="tx1"/>
                  </w14:solidFill>
                </w14:textFill>
              </w:rPr>
              <w:t>表1</w:t>
            </w:r>
            <w:r>
              <w:rPr>
                <w:rFonts w:hint="eastAsia" w:eastAsia="仿宋"/>
                <w:b/>
                <w:bCs/>
                <w:color w:val="000000" w:themeColor="text1"/>
                <w:sz w:val="21"/>
                <w:szCs w:val="21"/>
                <w:highlight w:val="none"/>
                <w:u w:val="none"/>
                <w:lang w:val="en-US" w:eastAsia="zh-CN"/>
                <w14:textFill>
                  <w14:solidFill>
                    <w14:schemeClr w14:val="tx1"/>
                  </w14:solidFill>
                </w14:textFill>
              </w:rPr>
              <w:t>-2</w:t>
            </w:r>
            <w:r>
              <w:rPr>
                <w:rFonts w:eastAsia="仿宋"/>
                <w:b/>
                <w:bCs/>
                <w:color w:val="000000" w:themeColor="text1"/>
                <w:sz w:val="21"/>
                <w:szCs w:val="21"/>
                <w:highlight w:val="none"/>
                <w:u w:val="none"/>
                <w14:textFill>
                  <w14:solidFill>
                    <w14:schemeClr w14:val="tx1"/>
                  </w14:solidFill>
                </w14:textFill>
              </w:rPr>
              <w:t>本项目与</w:t>
            </w:r>
            <w:r>
              <w:rPr>
                <w:rFonts w:hint="eastAsia" w:eastAsia="仿宋"/>
                <w:b/>
                <w:bCs/>
                <w:color w:val="000000" w:themeColor="text1"/>
                <w:sz w:val="21"/>
                <w:szCs w:val="21"/>
                <w:highlight w:val="none"/>
                <w:u w:val="none"/>
                <w:lang w:val="en-US" w:eastAsia="zh-CN"/>
                <w14:textFill>
                  <w14:solidFill>
                    <w14:schemeClr w14:val="tx1"/>
                  </w14:solidFill>
                </w14:textFill>
              </w:rPr>
              <w:t>鸡西市鸡东县</w:t>
            </w:r>
            <w:r>
              <w:rPr>
                <w:rFonts w:eastAsia="仿宋"/>
                <w:b/>
                <w:bCs/>
                <w:color w:val="000000" w:themeColor="text1"/>
                <w:sz w:val="21"/>
                <w:szCs w:val="21"/>
                <w:highlight w:val="none"/>
                <w:u w:val="none"/>
                <w14:textFill>
                  <w14:solidFill>
                    <w14:schemeClr w14:val="tx1"/>
                  </w14:solidFill>
                </w14:textFill>
              </w:rPr>
              <w:t>生态环境管控要求的符合性分析</w:t>
            </w:r>
          </w:p>
          <w:tbl>
            <w:tblPr>
              <w:tblStyle w:val="24"/>
              <w:tblW w:w="495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11"/>
              <w:gridCol w:w="1060"/>
              <w:gridCol w:w="758"/>
              <w:gridCol w:w="612"/>
              <w:gridCol w:w="1909"/>
              <w:gridCol w:w="1430"/>
              <w:gridCol w:w="648"/>
            </w:tblGrid>
            <w:tr w14:paraId="5000A4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61" w:type="pct"/>
                  <w:noWrap w:val="0"/>
                  <w:tcMar>
                    <w:left w:w="57" w:type="dxa"/>
                    <w:right w:w="57" w:type="dxa"/>
                  </w:tcMar>
                  <w:vAlign w:val="center"/>
                </w:tcPr>
                <w:p w14:paraId="1B86E776">
                  <w:pPr>
                    <w:autoSpaceDE w:val="0"/>
                    <w:autoSpaceDN w:val="0"/>
                    <w:adjustRightInd w:val="0"/>
                    <w:snapToGrid w:val="0"/>
                    <w:jc w:val="center"/>
                    <w:rPr>
                      <w:rFonts w:eastAsia="仿宋"/>
                      <w:b/>
                      <w:bCs/>
                      <w:color w:val="000000" w:themeColor="text1"/>
                      <w:kern w:val="0"/>
                      <w:sz w:val="18"/>
                      <w:szCs w:val="18"/>
                      <w:highlight w:val="none"/>
                      <w:u w:val="none"/>
                      <w14:textFill>
                        <w14:solidFill>
                          <w14:schemeClr w14:val="tx1"/>
                        </w14:solidFill>
                      </w14:textFill>
                    </w:rPr>
                  </w:pPr>
                  <w:r>
                    <w:rPr>
                      <w:rFonts w:eastAsia="仿宋"/>
                      <w:b/>
                      <w:bCs/>
                      <w:color w:val="000000" w:themeColor="text1"/>
                      <w:kern w:val="0"/>
                      <w:sz w:val="18"/>
                      <w:szCs w:val="18"/>
                      <w:highlight w:val="none"/>
                      <w:u w:val="none"/>
                      <w14:textFill>
                        <w14:solidFill>
                          <w14:schemeClr w14:val="tx1"/>
                        </w14:solidFill>
                      </w14:textFill>
                    </w:rPr>
                    <w:t>环境管控单元编码</w:t>
                  </w:r>
                </w:p>
              </w:tc>
              <w:tc>
                <w:tcPr>
                  <w:tcW w:w="733" w:type="pct"/>
                  <w:noWrap w:val="0"/>
                  <w:tcMar>
                    <w:left w:w="57" w:type="dxa"/>
                    <w:right w:w="57" w:type="dxa"/>
                  </w:tcMar>
                  <w:vAlign w:val="center"/>
                </w:tcPr>
                <w:p w14:paraId="3EE454E6">
                  <w:pPr>
                    <w:autoSpaceDE w:val="0"/>
                    <w:autoSpaceDN w:val="0"/>
                    <w:adjustRightInd w:val="0"/>
                    <w:snapToGrid w:val="0"/>
                    <w:jc w:val="center"/>
                    <w:rPr>
                      <w:rFonts w:eastAsia="仿宋"/>
                      <w:b/>
                      <w:bCs/>
                      <w:color w:val="000000" w:themeColor="text1"/>
                      <w:kern w:val="0"/>
                      <w:sz w:val="18"/>
                      <w:szCs w:val="18"/>
                      <w:highlight w:val="none"/>
                      <w:u w:val="none"/>
                      <w14:textFill>
                        <w14:solidFill>
                          <w14:schemeClr w14:val="tx1"/>
                        </w14:solidFill>
                      </w14:textFill>
                    </w:rPr>
                  </w:pPr>
                  <w:r>
                    <w:rPr>
                      <w:rFonts w:eastAsia="仿宋"/>
                      <w:b/>
                      <w:bCs/>
                      <w:color w:val="000000" w:themeColor="text1"/>
                      <w:kern w:val="0"/>
                      <w:sz w:val="18"/>
                      <w:szCs w:val="18"/>
                      <w:highlight w:val="none"/>
                      <w:u w:val="none"/>
                      <w14:textFill>
                        <w14:solidFill>
                          <w14:schemeClr w14:val="tx1"/>
                        </w14:solidFill>
                      </w14:textFill>
                    </w:rPr>
                    <w:t>环境管控单元名称</w:t>
                  </w:r>
                </w:p>
              </w:tc>
              <w:tc>
                <w:tcPr>
                  <w:tcW w:w="524" w:type="pct"/>
                  <w:noWrap w:val="0"/>
                  <w:vAlign w:val="center"/>
                </w:tcPr>
                <w:p w14:paraId="6AA28688">
                  <w:pPr>
                    <w:autoSpaceDE w:val="0"/>
                    <w:autoSpaceDN w:val="0"/>
                    <w:adjustRightInd w:val="0"/>
                    <w:snapToGrid w:val="0"/>
                    <w:jc w:val="center"/>
                    <w:rPr>
                      <w:rFonts w:eastAsia="仿宋"/>
                      <w:b/>
                      <w:bCs/>
                      <w:color w:val="000000" w:themeColor="text1"/>
                      <w:kern w:val="0"/>
                      <w:sz w:val="18"/>
                      <w:szCs w:val="18"/>
                      <w:highlight w:val="none"/>
                      <w:u w:val="none"/>
                      <w14:textFill>
                        <w14:solidFill>
                          <w14:schemeClr w14:val="tx1"/>
                        </w14:solidFill>
                      </w14:textFill>
                    </w:rPr>
                  </w:pPr>
                  <w:r>
                    <w:rPr>
                      <w:rFonts w:eastAsia="仿宋"/>
                      <w:b/>
                      <w:bCs/>
                      <w:color w:val="000000" w:themeColor="text1"/>
                      <w:kern w:val="0"/>
                      <w:sz w:val="18"/>
                      <w:szCs w:val="18"/>
                      <w:highlight w:val="none"/>
                      <w:u w:val="none"/>
                      <w14:textFill>
                        <w14:solidFill>
                          <w14:schemeClr w14:val="tx1"/>
                        </w14:solidFill>
                      </w14:textFill>
                    </w:rPr>
                    <w:t>管控单元类别</w:t>
                  </w:r>
                </w:p>
              </w:tc>
              <w:tc>
                <w:tcPr>
                  <w:tcW w:w="1743" w:type="pct"/>
                  <w:gridSpan w:val="2"/>
                  <w:noWrap w:val="0"/>
                  <w:vAlign w:val="center"/>
                </w:tcPr>
                <w:p w14:paraId="531D3895">
                  <w:pPr>
                    <w:autoSpaceDE w:val="0"/>
                    <w:autoSpaceDN w:val="0"/>
                    <w:adjustRightInd w:val="0"/>
                    <w:snapToGrid w:val="0"/>
                    <w:jc w:val="center"/>
                    <w:rPr>
                      <w:rFonts w:eastAsia="仿宋"/>
                      <w:b/>
                      <w:bCs/>
                      <w:color w:val="000000" w:themeColor="text1"/>
                      <w:kern w:val="0"/>
                      <w:sz w:val="18"/>
                      <w:szCs w:val="18"/>
                      <w:highlight w:val="none"/>
                      <w:u w:val="none"/>
                      <w14:textFill>
                        <w14:solidFill>
                          <w14:schemeClr w14:val="tx1"/>
                        </w14:solidFill>
                      </w14:textFill>
                    </w:rPr>
                  </w:pPr>
                  <w:r>
                    <w:rPr>
                      <w:rFonts w:eastAsia="仿宋"/>
                      <w:b/>
                      <w:bCs/>
                      <w:color w:val="000000" w:themeColor="text1"/>
                      <w:kern w:val="0"/>
                      <w:sz w:val="18"/>
                      <w:szCs w:val="18"/>
                      <w:highlight w:val="none"/>
                      <w:u w:val="none"/>
                      <w14:textFill>
                        <w14:solidFill>
                          <w14:schemeClr w14:val="tx1"/>
                        </w14:solidFill>
                      </w14:textFill>
                    </w:rPr>
                    <w:t>管控要求</w:t>
                  </w:r>
                </w:p>
              </w:tc>
              <w:tc>
                <w:tcPr>
                  <w:tcW w:w="989" w:type="pct"/>
                  <w:noWrap w:val="0"/>
                  <w:vAlign w:val="center"/>
                </w:tcPr>
                <w:p w14:paraId="51D69F9F">
                  <w:pPr>
                    <w:autoSpaceDE w:val="0"/>
                    <w:autoSpaceDN w:val="0"/>
                    <w:adjustRightInd w:val="0"/>
                    <w:snapToGrid w:val="0"/>
                    <w:jc w:val="center"/>
                    <w:rPr>
                      <w:rFonts w:eastAsia="仿宋"/>
                      <w:b/>
                      <w:bCs/>
                      <w:color w:val="000000" w:themeColor="text1"/>
                      <w:kern w:val="0"/>
                      <w:sz w:val="18"/>
                      <w:szCs w:val="18"/>
                      <w:highlight w:val="none"/>
                      <w:u w:val="none"/>
                      <w14:textFill>
                        <w14:solidFill>
                          <w14:schemeClr w14:val="tx1"/>
                        </w14:solidFill>
                      </w14:textFill>
                    </w:rPr>
                  </w:pPr>
                  <w:r>
                    <w:rPr>
                      <w:rFonts w:eastAsia="仿宋"/>
                      <w:b/>
                      <w:bCs/>
                      <w:color w:val="000000" w:themeColor="text1"/>
                      <w:kern w:val="0"/>
                      <w:sz w:val="18"/>
                      <w:szCs w:val="18"/>
                      <w:highlight w:val="none"/>
                      <w:u w:val="none"/>
                      <w14:textFill>
                        <w14:solidFill>
                          <w14:schemeClr w14:val="tx1"/>
                        </w14:solidFill>
                      </w14:textFill>
                    </w:rPr>
                    <w:t>本项目情况</w:t>
                  </w:r>
                </w:p>
              </w:tc>
              <w:tc>
                <w:tcPr>
                  <w:tcW w:w="448" w:type="pct"/>
                  <w:noWrap w:val="0"/>
                  <w:tcMar>
                    <w:left w:w="57" w:type="dxa"/>
                    <w:right w:w="57" w:type="dxa"/>
                  </w:tcMar>
                  <w:vAlign w:val="center"/>
                </w:tcPr>
                <w:p w14:paraId="6B0ABE45">
                  <w:pPr>
                    <w:autoSpaceDE w:val="0"/>
                    <w:autoSpaceDN w:val="0"/>
                    <w:adjustRightInd w:val="0"/>
                    <w:snapToGrid w:val="0"/>
                    <w:jc w:val="center"/>
                    <w:rPr>
                      <w:rFonts w:eastAsia="仿宋"/>
                      <w:b/>
                      <w:bCs/>
                      <w:color w:val="000000" w:themeColor="text1"/>
                      <w:kern w:val="0"/>
                      <w:sz w:val="18"/>
                      <w:szCs w:val="18"/>
                      <w:highlight w:val="none"/>
                      <w:u w:val="none"/>
                      <w14:textFill>
                        <w14:solidFill>
                          <w14:schemeClr w14:val="tx1"/>
                        </w14:solidFill>
                      </w14:textFill>
                    </w:rPr>
                  </w:pPr>
                  <w:r>
                    <w:rPr>
                      <w:rFonts w:eastAsia="仿宋"/>
                      <w:b/>
                      <w:bCs/>
                      <w:color w:val="000000" w:themeColor="text1"/>
                      <w:kern w:val="0"/>
                      <w:sz w:val="18"/>
                      <w:szCs w:val="18"/>
                      <w:highlight w:val="none"/>
                      <w:u w:val="none"/>
                      <w14:textFill>
                        <w14:solidFill>
                          <w14:schemeClr w14:val="tx1"/>
                        </w14:solidFill>
                      </w14:textFill>
                    </w:rPr>
                    <w:t>符合性分析</w:t>
                  </w:r>
                </w:p>
              </w:tc>
            </w:tr>
            <w:tr w14:paraId="7E9B4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61" w:type="pct"/>
                  <w:vMerge w:val="restart"/>
                  <w:noWrap w:val="0"/>
                  <w:tcMar>
                    <w:left w:w="57" w:type="dxa"/>
                    <w:right w:w="57" w:type="dxa"/>
                  </w:tcMar>
                  <w:vAlign w:val="center"/>
                </w:tcPr>
                <w:p w14:paraId="661482CA">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r>
                    <w:rPr>
                      <w:rFonts w:hint="eastAsia" w:ascii="Times New Roman" w:hAnsi="Times New Roman" w:eastAsia="仿宋" w:cs="Times New Roman"/>
                      <w:color w:val="000000" w:themeColor="text1"/>
                      <w:kern w:val="0"/>
                      <w:sz w:val="18"/>
                      <w:szCs w:val="18"/>
                      <w:highlight w:val="none"/>
                      <w:u w:val="none"/>
                      <w:lang w:val="en-US" w:eastAsia="zh-CN"/>
                      <w14:textFill>
                        <w14:solidFill>
                          <w14:schemeClr w14:val="tx1"/>
                        </w14:solidFill>
                      </w14:textFill>
                    </w:rPr>
                    <w:t>ZH23032120003</w:t>
                  </w:r>
                </w:p>
              </w:tc>
              <w:tc>
                <w:tcPr>
                  <w:tcW w:w="733" w:type="pct"/>
                  <w:vMerge w:val="restart"/>
                  <w:noWrap w:val="0"/>
                  <w:tcMar>
                    <w:left w:w="57" w:type="dxa"/>
                    <w:right w:w="57" w:type="dxa"/>
                  </w:tcMar>
                  <w:vAlign w:val="center"/>
                </w:tcPr>
                <w:p w14:paraId="70E27B39">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r>
                    <w:rPr>
                      <w:rFonts w:hint="eastAsia" w:ascii="Times New Roman" w:hAnsi="Times New Roman" w:eastAsia="仿宋" w:cs="Times New Roman"/>
                      <w:color w:val="000000" w:themeColor="text1"/>
                      <w:kern w:val="0"/>
                      <w:sz w:val="18"/>
                      <w:szCs w:val="18"/>
                      <w:highlight w:val="none"/>
                      <w:u w:val="none"/>
                      <w:lang w:val="en-US" w:eastAsia="zh-CN"/>
                      <w14:textFill>
                        <w14:solidFill>
                          <w14:schemeClr w14:val="tx1"/>
                        </w14:solidFill>
                      </w14:textFill>
                    </w:rPr>
                    <w:t>鸡东县水环境城镇生活污染重点管控区</w:t>
                  </w:r>
                </w:p>
              </w:tc>
              <w:tc>
                <w:tcPr>
                  <w:tcW w:w="524" w:type="pct"/>
                  <w:vMerge w:val="restart"/>
                  <w:noWrap w:val="0"/>
                  <w:vAlign w:val="center"/>
                </w:tcPr>
                <w:p w14:paraId="7CFDB664">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r>
                    <w:rPr>
                      <w:rFonts w:ascii="Times New Roman" w:hAnsi="Times New Roman" w:eastAsia="仿宋" w:cs="Times New Roman"/>
                      <w:color w:val="000000" w:themeColor="text1"/>
                      <w:kern w:val="0"/>
                      <w:sz w:val="18"/>
                      <w:szCs w:val="18"/>
                      <w:highlight w:val="none"/>
                      <w:u w:val="none"/>
                      <w14:textFill>
                        <w14:solidFill>
                          <w14:schemeClr w14:val="tx1"/>
                        </w14:solidFill>
                      </w14:textFill>
                    </w:rPr>
                    <w:t>重点管控单元</w:t>
                  </w:r>
                </w:p>
              </w:tc>
              <w:tc>
                <w:tcPr>
                  <w:tcW w:w="423" w:type="pct"/>
                  <w:noWrap w:val="0"/>
                  <w:vAlign w:val="center"/>
                </w:tcPr>
                <w:p w14:paraId="5BB1528A">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r>
                    <w:rPr>
                      <w:rFonts w:ascii="Times New Roman" w:hAnsi="Times New Roman" w:eastAsia="仿宋" w:cs="Times New Roman"/>
                      <w:color w:val="000000" w:themeColor="text1"/>
                      <w:kern w:val="0"/>
                      <w:sz w:val="18"/>
                      <w:szCs w:val="18"/>
                      <w:highlight w:val="none"/>
                      <w:u w:val="none"/>
                      <w14:textFill>
                        <w14:solidFill>
                          <w14:schemeClr w14:val="tx1"/>
                        </w14:solidFill>
                      </w14:textFill>
                    </w:rPr>
                    <w:t>空间布局约束</w:t>
                  </w:r>
                </w:p>
              </w:tc>
              <w:tc>
                <w:tcPr>
                  <w:tcW w:w="1320" w:type="pct"/>
                  <w:noWrap w:val="0"/>
                  <w:vAlign w:val="center"/>
                </w:tcPr>
                <w:p w14:paraId="50F6AE15">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r>
                    <w:rPr>
                      <w:rFonts w:hint="eastAsia" w:ascii="Times New Roman" w:hAnsi="Times New Roman" w:eastAsia="仿宋" w:cs="Times New Roman"/>
                      <w:color w:val="000000" w:themeColor="text1"/>
                      <w:kern w:val="0"/>
                      <w:sz w:val="18"/>
                      <w:szCs w:val="18"/>
                      <w:highlight w:val="none"/>
                      <w:u w:val="none"/>
                      <w:lang w:val="en-US" w:eastAsia="zh-CN"/>
                      <w14:textFill>
                        <w14:solidFill>
                          <w14:schemeClr w14:val="tx1"/>
                        </w14:solidFill>
                      </w14:textFill>
                    </w:rPr>
                    <w:t>1.除干旱地区外，新建城区应全面实行雨污分流，鼓励对初期雨水进行收集、处理和资源化利用。2.大气环境布局敏感重点管控区同时执行（1）严控“两高”行业产能。严格执行钢铁、水泥、平板玻璃等行业产能置换实施办法。（2）利用水泥窑协同处置城市生活垃圾、危险废弃物、电石渣等固废伴生水泥项目，必须依托现有新型干法水泥熟料生产线进行不扩产能改造。</w:t>
                  </w:r>
                </w:p>
              </w:tc>
              <w:tc>
                <w:tcPr>
                  <w:tcW w:w="989" w:type="pct"/>
                  <w:noWrap w:val="0"/>
                  <w:vAlign w:val="center"/>
                </w:tcPr>
                <w:p w14:paraId="4E0264F1">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r>
                    <w:rPr>
                      <w:rFonts w:ascii="Times New Roman" w:hAnsi="Times New Roman" w:eastAsia="仿宋" w:cs="Times New Roman"/>
                      <w:color w:val="000000" w:themeColor="text1"/>
                      <w:kern w:val="0"/>
                      <w:sz w:val="18"/>
                      <w:szCs w:val="18"/>
                      <w:highlight w:val="none"/>
                      <w:u w:val="none"/>
                      <w14:textFill>
                        <w14:solidFill>
                          <w14:schemeClr w14:val="tx1"/>
                        </w14:solidFill>
                      </w14:textFill>
                    </w:rPr>
                    <w:t>本项目不属于</w:t>
                  </w:r>
                  <w:r>
                    <w:rPr>
                      <w:rFonts w:hint="eastAsia" w:ascii="Times New Roman" w:hAnsi="Times New Roman" w:eastAsia="仿宋" w:cs="Times New Roman"/>
                      <w:color w:val="000000" w:themeColor="text1"/>
                      <w:kern w:val="0"/>
                      <w:sz w:val="18"/>
                      <w:szCs w:val="18"/>
                      <w:highlight w:val="none"/>
                      <w:u w:val="none"/>
                      <w:lang w:val="en-US" w:eastAsia="zh-CN"/>
                      <w14:textFill>
                        <w14:solidFill>
                          <w14:schemeClr w14:val="tx1"/>
                        </w14:solidFill>
                      </w14:textFill>
                    </w:rPr>
                    <w:t>两高”行业。</w:t>
                  </w:r>
                </w:p>
              </w:tc>
              <w:tc>
                <w:tcPr>
                  <w:tcW w:w="448" w:type="pct"/>
                  <w:noWrap w:val="0"/>
                  <w:tcMar>
                    <w:left w:w="57" w:type="dxa"/>
                    <w:right w:w="57" w:type="dxa"/>
                  </w:tcMar>
                  <w:vAlign w:val="center"/>
                </w:tcPr>
                <w:p w14:paraId="2398E49B">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r>
                    <w:rPr>
                      <w:rFonts w:ascii="Times New Roman" w:hAnsi="Times New Roman" w:eastAsia="仿宋" w:cs="Times New Roman"/>
                      <w:color w:val="000000" w:themeColor="text1"/>
                      <w:kern w:val="0"/>
                      <w:sz w:val="18"/>
                      <w:szCs w:val="18"/>
                      <w:highlight w:val="none"/>
                      <w:u w:val="none"/>
                      <w14:textFill>
                        <w14:solidFill>
                          <w14:schemeClr w14:val="tx1"/>
                        </w14:solidFill>
                      </w14:textFill>
                    </w:rPr>
                    <w:t>符合</w:t>
                  </w:r>
                </w:p>
              </w:tc>
            </w:tr>
            <w:tr w14:paraId="57A37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61" w:type="pct"/>
                  <w:vMerge w:val="continue"/>
                  <w:noWrap w:val="0"/>
                  <w:tcMar>
                    <w:left w:w="57" w:type="dxa"/>
                    <w:right w:w="57" w:type="dxa"/>
                  </w:tcMar>
                  <w:vAlign w:val="center"/>
                </w:tcPr>
                <w:p w14:paraId="645F9ADA">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p>
              </w:tc>
              <w:tc>
                <w:tcPr>
                  <w:tcW w:w="733" w:type="pct"/>
                  <w:vMerge w:val="continue"/>
                  <w:noWrap w:val="0"/>
                  <w:tcMar>
                    <w:left w:w="57" w:type="dxa"/>
                    <w:right w:w="57" w:type="dxa"/>
                  </w:tcMar>
                  <w:vAlign w:val="center"/>
                </w:tcPr>
                <w:p w14:paraId="25356175">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p>
              </w:tc>
              <w:tc>
                <w:tcPr>
                  <w:tcW w:w="524" w:type="pct"/>
                  <w:vMerge w:val="continue"/>
                  <w:noWrap w:val="0"/>
                  <w:vAlign w:val="center"/>
                </w:tcPr>
                <w:p w14:paraId="1ADF7E02">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p>
              </w:tc>
              <w:tc>
                <w:tcPr>
                  <w:tcW w:w="423" w:type="pct"/>
                  <w:noWrap w:val="0"/>
                  <w:vAlign w:val="center"/>
                </w:tcPr>
                <w:p w14:paraId="39ECF347">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r>
                    <w:rPr>
                      <w:rFonts w:ascii="Times New Roman" w:hAnsi="Times New Roman" w:eastAsia="仿宋" w:cs="Times New Roman"/>
                      <w:color w:val="000000" w:themeColor="text1"/>
                      <w:kern w:val="0"/>
                      <w:sz w:val="18"/>
                      <w:szCs w:val="18"/>
                      <w:highlight w:val="none"/>
                      <w:u w:val="none"/>
                      <w14:textFill>
                        <w14:solidFill>
                          <w14:schemeClr w14:val="tx1"/>
                        </w14:solidFill>
                      </w14:textFill>
                    </w:rPr>
                    <w:t>污染物排放管控</w:t>
                  </w:r>
                </w:p>
              </w:tc>
              <w:tc>
                <w:tcPr>
                  <w:tcW w:w="1320" w:type="pct"/>
                  <w:noWrap w:val="0"/>
                  <w:vAlign w:val="center"/>
                </w:tcPr>
                <w:p w14:paraId="40751C80">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r>
                    <w:rPr>
                      <w:rFonts w:hint="eastAsia" w:ascii="Times New Roman" w:hAnsi="Times New Roman" w:eastAsia="仿宋" w:cs="Times New Roman"/>
                      <w:color w:val="000000" w:themeColor="text1"/>
                      <w:kern w:val="0"/>
                      <w:sz w:val="18"/>
                      <w:szCs w:val="18"/>
                      <w:highlight w:val="none"/>
                      <w:u w:val="none"/>
                      <w:lang w:val="en-US" w:eastAsia="zh-CN"/>
                      <w14:textFill>
                        <w14:solidFill>
                          <w14:schemeClr w14:val="tx1"/>
                        </w14:solidFill>
                      </w14:textFill>
                    </w:rPr>
                    <w:t>1.同时执行：（1）新区污水管网规划建设应当与城市开发同步推进，除干旱地区外均实行雨污分流。（2）强化城中村、老旧城区和城乡结合部污水截流、收集。（3）推进合流制排水系统雨污分流改造，难以改造的，应采取截流、调蓄和治理等措施；推进现有污水处理设施配套</w:t>
                  </w:r>
                </w:p>
                <w:p w14:paraId="552B94A4">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r>
                    <w:rPr>
                      <w:rFonts w:hint="eastAsia" w:ascii="Times New Roman" w:hAnsi="Times New Roman" w:eastAsia="仿宋" w:cs="Times New Roman"/>
                      <w:color w:val="000000" w:themeColor="text1"/>
                      <w:kern w:val="0"/>
                      <w:sz w:val="18"/>
                      <w:szCs w:val="18"/>
                      <w:highlight w:val="none"/>
                      <w:u w:val="none"/>
                      <w:lang w:val="en-US" w:eastAsia="zh-CN"/>
                      <w14:textFill>
                        <w14:solidFill>
                          <w14:schemeClr w14:val="tx1"/>
                        </w14:solidFill>
                      </w14:textFill>
                    </w:rPr>
                    <w:t>管网建设；进一步提高城市、县城生活污水收集处理效能。（4）县级以上人民政府应当合理确定城镇排水与污水处理设施建设标准，统筹安</w:t>
                  </w:r>
                </w:p>
                <w:p w14:paraId="5227F621">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r>
                    <w:rPr>
                      <w:rFonts w:hint="eastAsia" w:ascii="Times New Roman" w:hAnsi="Times New Roman" w:eastAsia="仿宋" w:cs="Times New Roman"/>
                      <w:color w:val="000000" w:themeColor="text1"/>
                      <w:kern w:val="0"/>
                      <w:sz w:val="18"/>
                      <w:szCs w:val="18"/>
                      <w:highlight w:val="none"/>
                      <w:u w:val="none"/>
                      <w:lang w:val="en-US" w:eastAsia="zh-CN"/>
                      <w14:textFill>
                        <w14:solidFill>
                          <w14:schemeClr w14:val="tx1"/>
                        </w14:solidFill>
                      </w14:textFill>
                    </w:rPr>
                    <w:t>排管网、泵站、污水</w:t>
                  </w:r>
                </w:p>
                <w:p w14:paraId="2BFC70EA">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r>
                    <w:rPr>
                      <w:rFonts w:hint="eastAsia" w:ascii="Times New Roman" w:hAnsi="Times New Roman" w:eastAsia="仿宋" w:cs="Times New Roman"/>
                      <w:color w:val="000000" w:themeColor="text1"/>
                      <w:kern w:val="0"/>
                      <w:sz w:val="18"/>
                      <w:szCs w:val="18"/>
                      <w:highlight w:val="none"/>
                      <w:u w:val="none"/>
                      <w:lang w:val="en-US" w:eastAsia="zh-CN"/>
                      <w14:textFill>
                        <w14:solidFill>
                          <w14:schemeClr w14:val="tx1"/>
                        </w14:solidFill>
                      </w14:textFill>
                    </w:rPr>
                    <w:t>处理厂以及污泥处理处置、再生水利用、雨水调蓄和排放等排水与污水处理设施建设和改造，提高城镇污水收集率和处理率。2.大气环境布局敏感重点管控区同时执行（1）对以煤、石焦油、渣油、重油等为燃料的锅炉和工业炉窑，加快使用清洁低碳能源以及工厂余热、电力热力等进行替代。（2）到2025年，在用65蒸吨/小时以上的燃煤锅炉（含电力）实现超低排放，钢铁企业基本实现超低排放。</w:t>
                  </w:r>
                </w:p>
              </w:tc>
              <w:tc>
                <w:tcPr>
                  <w:tcW w:w="989" w:type="pct"/>
                  <w:noWrap w:val="0"/>
                  <w:vAlign w:val="center"/>
                </w:tcPr>
                <w:p w14:paraId="534399F7">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r>
                    <w:rPr>
                      <w:rFonts w:ascii="Times New Roman" w:hAnsi="Times New Roman" w:eastAsia="仿宋" w:cs="Times New Roman"/>
                      <w:color w:val="000000" w:themeColor="text1"/>
                      <w:kern w:val="0"/>
                      <w:sz w:val="18"/>
                      <w:szCs w:val="18"/>
                      <w:highlight w:val="none"/>
                      <w:u w:val="none"/>
                      <w14:textFill>
                        <w14:solidFill>
                          <w14:schemeClr w14:val="tx1"/>
                        </w14:solidFill>
                      </w14:textFill>
                    </w:rPr>
                    <w:t>本项目不涉及65t／h以上燃煤锅炉</w:t>
                  </w:r>
                  <w:r>
                    <w:rPr>
                      <w:rFonts w:hint="eastAsia" w:ascii="Times New Roman" w:hAnsi="Times New Roman" w:eastAsia="仿宋" w:cs="Times New Roman"/>
                      <w:color w:val="000000" w:themeColor="text1"/>
                      <w:kern w:val="0"/>
                      <w:sz w:val="18"/>
                      <w:szCs w:val="18"/>
                      <w:highlight w:val="none"/>
                      <w:u w:val="none"/>
                      <w:lang w:eastAsia="zh-CN"/>
                      <w14:textFill>
                        <w14:solidFill>
                          <w14:schemeClr w14:val="tx1"/>
                        </w14:solidFill>
                      </w14:textFill>
                    </w:rPr>
                    <w:t>。</w:t>
                  </w:r>
                </w:p>
              </w:tc>
              <w:tc>
                <w:tcPr>
                  <w:tcW w:w="448" w:type="pct"/>
                  <w:noWrap w:val="0"/>
                  <w:tcMar>
                    <w:left w:w="57" w:type="dxa"/>
                    <w:right w:w="57" w:type="dxa"/>
                  </w:tcMar>
                  <w:vAlign w:val="center"/>
                </w:tcPr>
                <w:p w14:paraId="1717F81E">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r>
                    <w:rPr>
                      <w:rFonts w:ascii="Times New Roman" w:hAnsi="Times New Roman" w:eastAsia="仿宋" w:cs="Times New Roman"/>
                      <w:color w:val="000000" w:themeColor="text1"/>
                      <w:kern w:val="0"/>
                      <w:sz w:val="18"/>
                      <w:szCs w:val="18"/>
                      <w:highlight w:val="none"/>
                      <w:u w:val="none"/>
                      <w14:textFill>
                        <w14:solidFill>
                          <w14:schemeClr w14:val="tx1"/>
                        </w14:solidFill>
                      </w14:textFill>
                    </w:rPr>
                    <w:t>符合</w:t>
                  </w:r>
                </w:p>
              </w:tc>
            </w:tr>
            <w:tr w14:paraId="03DF6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61" w:type="pct"/>
                  <w:vMerge w:val="continue"/>
                  <w:noWrap w:val="0"/>
                  <w:tcMar>
                    <w:left w:w="57" w:type="dxa"/>
                    <w:right w:w="57" w:type="dxa"/>
                  </w:tcMar>
                  <w:vAlign w:val="center"/>
                </w:tcPr>
                <w:p w14:paraId="5FB30AF0">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p>
              </w:tc>
              <w:tc>
                <w:tcPr>
                  <w:tcW w:w="733" w:type="pct"/>
                  <w:vMerge w:val="continue"/>
                  <w:noWrap w:val="0"/>
                  <w:tcMar>
                    <w:left w:w="57" w:type="dxa"/>
                    <w:right w:w="57" w:type="dxa"/>
                  </w:tcMar>
                  <w:vAlign w:val="center"/>
                </w:tcPr>
                <w:p w14:paraId="580DA856">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p>
              </w:tc>
              <w:tc>
                <w:tcPr>
                  <w:tcW w:w="524" w:type="pct"/>
                  <w:vMerge w:val="continue"/>
                  <w:noWrap w:val="0"/>
                  <w:vAlign w:val="center"/>
                </w:tcPr>
                <w:p w14:paraId="3CE42169">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p>
              </w:tc>
              <w:tc>
                <w:tcPr>
                  <w:tcW w:w="423" w:type="pct"/>
                  <w:noWrap w:val="0"/>
                  <w:vAlign w:val="center"/>
                </w:tcPr>
                <w:p w14:paraId="18B7426C">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r>
                    <w:rPr>
                      <w:rFonts w:ascii="Times New Roman" w:hAnsi="Times New Roman" w:eastAsia="仿宋" w:cs="Times New Roman"/>
                      <w:color w:val="000000" w:themeColor="text1"/>
                      <w:kern w:val="0"/>
                      <w:sz w:val="18"/>
                      <w:szCs w:val="18"/>
                      <w:highlight w:val="none"/>
                      <w:u w:val="none"/>
                      <w14:textFill>
                        <w14:solidFill>
                          <w14:schemeClr w14:val="tx1"/>
                        </w14:solidFill>
                      </w14:textFill>
                    </w:rPr>
                    <w:t>三、环境风险防控</w:t>
                  </w:r>
                </w:p>
              </w:tc>
              <w:tc>
                <w:tcPr>
                  <w:tcW w:w="1320" w:type="pct"/>
                  <w:noWrap w:val="0"/>
                  <w:vAlign w:val="center"/>
                </w:tcPr>
                <w:p w14:paraId="13C3A682">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r>
                    <w:rPr>
                      <w:rFonts w:hint="eastAsia" w:ascii="Times New Roman" w:hAnsi="Times New Roman" w:eastAsia="仿宋" w:cs="Times New Roman"/>
                      <w:color w:val="000000" w:themeColor="text1"/>
                      <w:kern w:val="0"/>
                      <w:sz w:val="18"/>
                      <w:szCs w:val="18"/>
                      <w:highlight w:val="none"/>
                      <w:u w:val="none"/>
                      <w:lang w:val="en-US" w:eastAsia="zh-CN"/>
                      <w14:textFill>
                        <w14:solidFill>
                          <w14:schemeClr w14:val="tx1"/>
                        </w14:solidFill>
                      </w14:textFill>
                    </w:rPr>
                    <w:t>大气环境布局敏感重点管控区同时执行禁止在居民区、学校、医疗和养老机构等周边新建有色金属冶炼、焦化等行业企业。</w:t>
                  </w:r>
                </w:p>
              </w:tc>
              <w:tc>
                <w:tcPr>
                  <w:tcW w:w="989" w:type="pct"/>
                  <w:noWrap w:val="0"/>
                  <w:vAlign w:val="center"/>
                </w:tcPr>
                <w:p w14:paraId="7D12ED7A">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r>
                    <w:rPr>
                      <w:rFonts w:ascii="Times New Roman" w:hAnsi="Times New Roman" w:eastAsia="仿宋" w:cs="Times New Roman"/>
                      <w:color w:val="000000" w:themeColor="text1"/>
                      <w:kern w:val="0"/>
                      <w:sz w:val="18"/>
                      <w:szCs w:val="18"/>
                      <w:highlight w:val="none"/>
                      <w:u w:val="none"/>
                      <w14:textFill>
                        <w14:solidFill>
                          <w14:schemeClr w14:val="tx1"/>
                        </w14:solidFill>
                      </w14:textFill>
                    </w:rPr>
                    <w:t>本项目</w:t>
                  </w:r>
                  <w:r>
                    <w:rPr>
                      <w:rFonts w:hint="eastAsia" w:ascii="Times New Roman" w:hAnsi="Times New Roman" w:eastAsia="仿宋" w:cs="Times New Roman"/>
                      <w:color w:val="000000" w:themeColor="text1"/>
                      <w:kern w:val="0"/>
                      <w:sz w:val="18"/>
                      <w:szCs w:val="18"/>
                      <w:highlight w:val="none"/>
                      <w:u w:val="none"/>
                      <w:lang w:val="en-US" w:eastAsia="zh-CN"/>
                      <w14:textFill>
                        <w14:solidFill>
                          <w14:schemeClr w14:val="tx1"/>
                        </w14:solidFill>
                      </w14:textFill>
                    </w:rPr>
                    <w:t>不属于色金属冶炼、焦化等行业企业</w:t>
                  </w:r>
                  <w:r>
                    <w:rPr>
                      <w:rFonts w:ascii="Times New Roman" w:hAnsi="Times New Roman" w:eastAsia="仿宋" w:cs="Times New Roman"/>
                      <w:color w:val="000000" w:themeColor="text1"/>
                      <w:kern w:val="0"/>
                      <w:sz w:val="18"/>
                      <w:szCs w:val="18"/>
                      <w:highlight w:val="none"/>
                      <w:u w:val="none"/>
                      <w14:textFill>
                        <w14:solidFill>
                          <w14:schemeClr w14:val="tx1"/>
                        </w14:solidFill>
                      </w14:textFill>
                    </w:rPr>
                    <w:t>。</w:t>
                  </w:r>
                </w:p>
              </w:tc>
              <w:tc>
                <w:tcPr>
                  <w:tcW w:w="448" w:type="pct"/>
                  <w:noWrap w:val="0"/>
                  <w:tcMar>
                    <w:left w:w="57" w:type="dxa"/>
                    <w:right w:w="57" w:type="dxa"/>
                  </w:tcMar>
                  <w:vAlign w:val="center"/>
                </w:tcPr>
                <w:p w14:paraId="7E7F63B2">
                  <w:pPr>
                    <w:autoSpaceDE w:val="0"/>
                    <w:autoSpaceDN w:val="0"/>
                    <w:adjustRightInd w:val="0"/>
                    <w:snapToGrid w:val="0"/>
                    <w:jc w:val="center"/>
                    <w:rPr>
                      <w:rFonts w:ascii="Times New Roman" w:hAnsi="Times New Roman" w:eastAsia="仿宋" w:cs="Times New Roman"/>
                      <w:color w:val="000000" w:themeColor="text1"/>
                      <w:kern w:val="0"/>
                      <w:sz w:val="18"/>
                      <w:szCs w:val="18"/>
                      <w:highlight w:val="none"/>
                      <w:u w:val="none"/>
                      <w14:textFill>
                        <w14:solidFill>
                          <w14:schemeClr w14:val="tx1"/>
                        </w14:solidFill>
                      </w14:textFill>
                    </w:rPr>
                  </w:pPr>
                  <w:r>
                    <w:rPr>
                      <w:rFonts w:ascii="Times New Roman" w:hAnsi="Times New Roman" w:eastAsia="仿宋" w:cs="Times New Roman"/>
                      <w:color w:val="000000" w:themeColor="text1"/>
                      <w:kern w:val="0"/>
                      <w:sz w:val="18"/>
                      <w:szCs w:val="18"/>
                      <w:highlight w:val="none"/>
                      <w:u w:val="none"/>
                      <w14:textFill>
                        <w14:solidFill>
                          <w14:schemeClr w14:val="tx1"/>
                        </w14:solidFill>
                      </w14:textFill>
                    </w:rPr>
                    <w:t>符合</w:t>
                  </w:r>
                </w:p>
              </w:tc>
            </w:tr>
          </w:tbl>
          <w:p w14:paraId="32253BB9">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p w14:paraId="0CD15AF8">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p w14:paraId="2E54CE6A">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p w14:paraId="0577BDFA">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p w14:paraId="4EB03655">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p w14:paraId="05758BEC">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p w14:paraId="169A1C8B">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p w14:paraId="0D31BB1C">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p w14:paraId="5212ED0E">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p w14:paraId="415DEDD1">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p w14:paraId="327B62FD">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p w14:paraId="09F5F3A1">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p w14:paraId="75054762">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p w14:paraId="687E9994">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p w14:paraId="5B2C081B">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p w14:paraId="20E379FC">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p w14:paraId="5D7E327F">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p w14:paraId="3BE28469">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p w14:paraId="14C64D6A">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p w14:paraId="47C6360E">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p>
        </w:tc>
      </w:tr>
    </w:tbl>
    <w:p w14:paraId="1D3EC370">
      <w:pPr>
        <w:spacing w:line="360" w:lineRule="auto"/>
        <w:outlineLvl w:val="9"/>
        <w:rPr>
          <w:rFonts w:hint="default" w:ascii="Times New Roman" w:hAnsi="Times New Roman" w:eastAsia="仿宋" w:cs="Times New Roman"/>
          <w:color w:val="000000" w:themeColor="text1"/>
          <w:sz w:val="30"/>
          <w:highlight w:val="none"/>
          <w:u w:val="none"/>
          <w14:textFill>
            <w14:solidFill>
              <w14:schemeClr w14:val="tx1"/>
            </w14:solidFill>
          </w14:textFill>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14E95769">
      <w:pPr>
        <w:pStyle w:val="21"/>
        <w:jc w:val="center"/>
        <w:outlineLvl w:val="0"/>
        <w:rPr>
          <w:rFonts w:hint="default" w:ascii="Times New Roman" w:hAnsi="Times New Roman" w:eastAsia="仿宋" w:cs="Times New Roman"/>
          <w:snapToGrid w:val="0"/>
          <w:color w:val="000000" w:themeColor="text1"/>
          <w:sz w:val="30"/>
          <w:szCs w:val="30"/>
          <w:highlight w:val="none"/>
          <w:u w:val="none"/>
          <w14:textFill>
            <w14:solidFill>
              <w14:schemeClr w14:val="tx1"/>
            </w14:solidFill>
          </w14:textFill>
        </w:rPr>
      </w:pPr>
      <w:bookmarkStart w:id="2" w:name="_Toc21080"/>
      <w:r>
        <w:rPr>
          <w:rFonts w:hint="default" w:ascii="Times New Roman" w:hAnsi="Times New Roman" w:eastAsia="仿宋" w:cs="Times New Roman"/>
          <w:snapToGrid w:val="0"/>
          <w:color w:val="000000" w:themeColor="text1"/>
          <w:sz w:val="30"/>
          <w:szCs w:val="30"/>
          <w:highlight w:val="none"/>
          <w:u w:val="none"/>
          <w14:textFill>
            <w14:solidFill>
              <w14:schemeClr w14:val="tx1"/>
            </w14:solidFill>
          </w14:textFill>
        </w:rPr>
        <w:t>二、建设项目工程分析</w:t>
      </w:r>
      <w:bookmarkEnd w:id="2"/>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605"/>
      </w:tblGrid>
      <w:tr w14:paraId="5983C0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85" w:hRule="atLeast"/>
          <w:jc w:val="center"/>
        </w:trPr>
        <w:tc>
          <w:tcPr>
            <w:tcW w:w="823" w:type="dxa"/>
            <w:noWrap w:val="0"/>
            <w:vAlign w:val="center"/>
          </w:tcPr>
          <w:p w14:paraId="402E424E">
            <w:pPr>
              <w:pStyle w:val="21"/>
              <w:adjustRightInd w:val="0"/>
              <w:snapToGrid w:val="0"/>
              <w:spacing w:before="0" w:beforeAutospacing="0" w:after="0" w:afterAutospacing="0"/>
              <w:jc w:val="center"/>
              <w:rPr>
                <w:rFonts w:hint="default" w:ascii="Times New Roman" w:hAnsi="Times New Roman" w:eastAsia="仿宋" w:cs="Times New Roman"/>
                <w:color w:val="000000" w:themeColor="text1"/>
                <w:szCs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4"/>
                <w:highlight w:val="none"/>
                <w:u w:val="none"/>
                <w:lang w:val="en-US" w:eastAsia="zh-CN"/>
                <w14:textFill>
                  <w14:solidFill>
                    <w14:schemeClr w14:val="tx1"/>
                  </w14:solidFill>
                </w14:textFill>
              </w:rPr>
              <w:t>建设内容</w:t>
            </w:r>
          </w:p>
        </w:tc>
        <w:tc>
          <w:tcPr>
            <w:tcW w:w="8161" w:type="dxa"/>
            <w:noWrap w:val="0"/>
            <w:vAlign w:val="top"/>
          </w:tcPr>
          <w:p w14:paraId="3675B85F">
            <w:pPr>
              <w:numPr>
                <w:ilvl w:val="0"/>
                <w:numId w:val="5"/>
              </w:numPr>
              <w:adjustRightInd w:val="0"/>
              <w:snapToGrid w:val="0"/>
              <w:spacing w:before="120" w:beforeLines="50" w:line="360" w:lineRule="auto"/>
              <w:ind w:firstLine="482" w:firstLineChars="200"/>
              <w:jc w:val="left"/>
              <w:rPr>
                <w:rFonts w:hint="default" w:ascii="Times New Roman" w:hAnsi="Times New Roman" w:eastAsia="仿宋" w:cs="Times New Roman"/>
                <w:b/>
                <w:color w:val="000000" w:themeColor="text1"/>
                <w:sz w:val="24"/>
                <w:highlight w:val="none"/>
                <w:u w:val="none"/>
                <w14:textFill>
                  <w14:solidFill>
                    <w14:schemeClr w14:val="tx1"/>
                  </w14:solidFill>
                </w14:textFill>
              </w:rPr>
            </w:pPr>
            <w:r>
              <w:rPr>
                <w:rFonts w:hint="default" w:ascii="Times New Roman" w:hAnsi="Times New Roman" w:eastAsia="仿宋" w:cs="Times New Roman"/>
                <w:b/>
                <w:color w:val="000000" w:themeColor="text1"/>
                <w:sz w:val="24"/>
                <w:highlight w:val="none"/>
                <w:u w:val="none"/>
                <w14:textFill>
                  <w14:solidFill>
                    <w14:schemeClr w14:val="tx1"/>
                  </w14:solidFill>
                </w14:textFill>
              </w:rPr>
              <w:t>项目由来及工程概况</w:t>
            </w:r>
          </w:p>
          <w:p w14:paraId="40E214F4">
            <w:pPr>
              <w:adjustRightInd w:val="0"/>
              <w:snapToGrid w:val="0"/>
              <w:spacing w:line="360" w:lineRule="auto"/>
              <w:ind w:firstLine="480" w:firstLineChars="200"/>
              <w:jc w:val="left"/>
              <w:rPr>
                <w:rFonts w:hint="default" w:ascii="Times New Roman" w:hAnsi="Times New Roman" w:eastAsia="仿宋" w:cs="Times New Roman"/>
                <w:bCs/>
                <w:color w:val="000000" w:themeColor="text1"/>
                <w:sz w:val="24"/>
                <w:highlight w:val="none"/>
                <w:u w:val="none"/>
                <w14:textFill>
                  <w14:solidFill>
                    <w14:schemeClr w14:val="tx1"/>
                  </w14:solidFill>
                </w14:textFill>
              </w:rPr>
            </w:pPr>
            <w:r>
              <w:rPr>
                <w:rFonts w:hint="default" w:ascii="Times New Roman" w:hAnsi="Times New Roman" w:eastAsia="仿宋" w:cs="Times New Roman"/>
                <w:bCs/>
                <w:color w:val="000000" w:themeColor="text1"/>
                <w:sz w:val="24"/>
                <w:highlight w:val="none"/>
                <w:u w:val="none"/>
                <w14:textFill>
                  <w14:solidFill>
                    <w14:schemeClr w14:val="tx1"/>
                  </w14:solidFill>
                </w14:textFill>
              </w:rPr>
              <w:t>生物质颗粒主要是</w:t>
            </w:r>
            <w:r>
              <w:rPr>
                <w:rFonts w:hint="eastAsia" w:ascii="Times New Roman" w:hAnsi="Times New Roman" w:eastAsia="仿宋" w:cs="Times New Roman"/>
                <w:bCs/>
                <w:color w:val="000000" w:themeColor="text1"/>
                <w:sz w:val="24"/>
                <w:highlight w:val="none"/>
                <w:u w:val="none"/>
                <w:lang w:val="en-US" w:eastAsia="zh-CN"/>
                <w14:textFill>
                  <w14:solidFill>
                    <w14:schemeClr w14:val="tx1"/>
                  </w14:solidFill>
                </w14:textFill>
              </w:rPr>
              <w:t>稻壳，</w:t>
            </w:r>
            <w:r>
              <w:rPr>
                <w:rFonts w:hint="default" w:ascii="Times New Roman" w:hAnsi="Times New Roman" w:eastAsia="仿宋" w:cs="Times New Roman"/>
                <w:bCs/>
                <w:color w:val="000000" w:themeColor="text1"/>
                <w:sz w:val="24"/>
                <w:highlight w:val="none"/>
                <w:u w:val="none"/>
                <w14:textFill>
                  <w14:solidFill>
                    <w14:schemeClr w14:val="tx1"/>
                  </w14:solidFill>
                </w14:textFill>
              </w:rPr>
              <w:t>通过生物质造粒机的压力，将其挤压成棒状生物质颗粒燃料。生物质经过压缩成型后，其体积大幅减小从而更便于运输、贮存和使用，解决了生物质大规模利用的关键难题。</w:t>
            </w:r>
          </w:p>
          <w:p w14:paraId="663E566F">
            <w:pPr>
              <w:adjustRightInd w:val="0"/>
              <w:snapToGrid w:val="0"/>
              <w:spacing w:line="360" w:lineRule="auto"/>
              <w:ind w:firstLine="480" w:firstLineChars="200"/>
              <w:jc w:val="left"/>
              <w:rPr>
                <w:rFonts w:hint="default" w:ascii="Times New Roman" w:hAnsi="Times New Roman" w:eastAsia="仿宋" w:cs="Times New Roman"/>
                <w:bCs/>
                <w:color w:val="000000" w:themeColor="text1"/>
                <w:sz w:val="24"/>
                <w:highlight w:val="none"/>
                <w:u w:val="none"/>
                <w14:textFill>
                  <w14:solidFill>
                    <w14:schemeClr w14:val="tx1"/>
                  </w14:solidFill>
                </w14:textFill>
              </w:rPr>
            </w:pPr>
            <w:r>
              <w:rPr>
                <w:rFonts w:hint="default" w:ascii="Times New Roman" w:hAnsi="Times New Roman" w:eastAsia="仿宋" w:cs="Times New Roman"/>
                <w:bCs/>
                <w:color w:val="000000" w:themeColor="text1"/>
                <w:sz w:val="24"/>
                <w:highlight w:val="none"/>
                <w:u w:val="none"/>
                <w14:textFill>
                  <w14:solidFill>
                    <w14:schemeClr w14:val="tx1"/>
                  </w14:solidFill>
                </w14:textFill>
              </w:rPr>
              <w:t>根据《中华人民共和国环境影响评价法》、《建设项目环境保护管理条例》及《建设项目环境影响评价分类管理名录》（中华人民共和国生态环境部令第44号）等法律法规文件的要求，项目属于《建设项目环境影响评价分类管理名录》（中华人民共和国生态环境部令第44号，2021年版）中规定的“二十二、石油、煤炭及其他燃料加工业25”中的“43生物质燃料加工254---生物质致密成型燃料加工”类别</w:t>
            </w:r>
            <w:r>
              <w:rPr>
                <w:rFonts w:hint="default" w:ascii="Times New Roman" w:hAnsi="Times New Roman" w:eastAsia="仿宋" w:cs="Times New Roman"/>
                <w:bCs/>
                <w:color w:val="000000" w:themeColor="text1"/>
                <w:sz w:val="24"/>
                <w:highlight w:val="none"/>
                <w:u w:val="none"/>
                <w:lang w:eastAsia="zh-CN"/>
                <w14:textFill>
                  <w14:solidFill>
                    <w14:schemeClr w14:val="tx1"/>
                  </w14:solidFill>
                </w14:textFill>
              </w:rPr>
              <w:t>，</w:t>
            </w:r>
            <w:r>
              <w:rPr>
                <w:rFonts w:hint="default" w:ascii="Times New Roman" w:hAnsi="Times New Roman" w:eastAsia="仿宋" w:cs="Times New Roman"/>
                <w:bCs/>
                <w:color w:val="000000" w:themeColor="text1"/>
                <w:sz w:val="24"/>
                <w:highlight w:val="none"/>
                <w:u w:val="none"/>
                <w14:textFill>
                  <w14:solidFill>
                    <w14:schemeClr w14:val="tx1"/>
                  </w14:solidFill>
                </w14:textFill>
              </w:rPr>
              <w:t>本项目需编制环境影响报告表。建设单位特委托我司进行环境影响评价工作，并编制本项目环境影响报告表。</w:t>
            </w:r>
          </w:p>
          <w:p w14:paraId="6FBA8376">
            <w:pPr>
              <w:adjustRightInd w:val="0"/>
              <w:snapToGrid w:val="0"/>
              <w:spacing w:line="360" w:lineRule="auto"/>
              <w:ind w:firstLine="480" w:firstLineChars="200"/>
              <w:jc w:val="left"/>
              <w:rPr>
                <w:rFonts w:hint="default" w:ascii="Times New Roman" w:hAnsi="Times New Roman" w:eastAsia="仿宋" w:cs="Times New Roman"/>
                <w:bCs/>
                <w:color w:val="000000" w:themeColor="text1"/>
                <w:sz w:val="24"/>
                <w:highlight w:val="none"/>
                <w:u w:val="none"/>
                <w14:textFill>
                  <w14:solidFill>
                    <w14:schemeClr w14:val="tx1"/>
                  </w14:solidFill>
                </w14:textFill>
              </w:rPr>
            </w:pPr>
            <w:r>
              <w:rPr>
                <w:rFonts w:hint="default" w:ascii="Times New Roman" w:hAnsi="Times New Roman" w:eastAsia="仿宋" w:cs="Times New Roman"/>
                <w:bCs/>
                <w:color w:val="000000" w:themeColor="text1"/>
                <w:sz w:val="24"/>
                <w:highlight w:val="none"/>
                <w:u w:val="none"/>
                <w14:textFill>
                  <w14:solidFill>
                    <w14:schemeClr w14:val="tx1"/>
                  </w14:solidFill>
                </w14:textFill>
              </w:rPr>
              <w:t>接受委托后，我司立即开展了详细的现场踏勘、类比调查、收集相关资料，在此基础上，按照国家对建设项目环境影响评价的有关环保政策、技术规范以及《建设项目环境影响报告表编制技术指南（污染影响类）（试行）》的要求编制环境影响报告表</w:t>
            </w:r>
            <w:r>
              <w:rPr>
                <w:rFonts w:hint="default" w:ascii="Times New Roman" w:hAnsi="Times New Roman" w:eastAsia="仿宋" w:cs="Times New Roman"/>
                <w:color w:val="000000" w:themeColor="text1"/>
                <w:sz w:val="24"/>
                <w:highlight w:val="none"/>
                <w:u w:val="none"/>
                <w14:textFill>
                  <w14:solidFill>
                    <w14:schemeClr w14:val="tx1"/>
                  </w14:solidFill>
                </w14:textFill>
              </w:rPr>
              <w:t>。</w:t>
            </w:r>
          </w:p>
          <w:p w14:paraId="1ACB13FA">
            <w:pPr>
              <w:adjustRightInd w:val="0"/>
              <w:snapToGrid w:val="0"/>
              <w:spacing w:line="360" w:lineRule="auto"/>
              <w:ind w:firstLine="480" w:firstLineChars="200"/>
              <w:jc w:val="left"/>
              <w:rPr>
                <w:rFonts w:hint="default" w:ascii="Times New Roman" w:hAnsi="Times New Roman" w:eastAsia="仿宋" w:cs="Times New Roman"/>
                <w:bCs/>
                <w:color w:val="000000" w:themeColor="text1"/>
                <w:sz w:val="24"/>
                <w:highlight w:val="none"/>
                <w:u w:val="none"/>
                <w14:textFill>
                  <w14:solidFill>
                    <w14:schemeClr w14:val="tx1"/>
                  </w14:solidFill>
                </w14:textFill>
              </w:rPr>
            </w:pPr>
            <w:r>
              <w:rPr>
                <w:rFonts w:hint="default" w:ascii="Times New Roman" w:hAnsi="Times New Roman" w:eastAsia="仿宋" w:cs="Times New Roman"/>
                <w:bCs/>
                <w:color w:val="000000" w:themeColor="text1"/>
                <w:sz w:val="24"/>
                <w:highlight w:val="none"/>
                <w:u w:val="none"/>
                <w14:textFill>
                  <w14:solidFill>
                    <w14:schemeClr w14:val="tx1"/>
                  </w14:solidFill>
                </w14:textFill>
              </w:rPr>
              <w:t>本次</w:t>
            </w:r>
            <w:r>
              <w:rPr>
                <w:rFonts w:hint="default"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建设</w:t>
            </w:r>
            <w:r>
              <w:rPr>
                <w:rFonts w:hint="default" w:ascii="Times New Roman" w:hAnsi="Times New Roman" w:eastAsia="仿宋" w:cs="Times New Roman"/>
                <w:bCs/>
                <w:color w:val="000000" w:themeColor="text1"/>
                <w:sz w:val="24"/>
                <w:highlight w:val="none"/>
                <w:u w:val="none"/>
                <w14:textFill>
                  <w14:solidFill>
                    <w14:schemeClr w14:val="tx1"/>
                  </w14:solidFill>
                </w14:textFill>
              </w:rPr>
              <w:t>项目具体工程内容见表2-1。</w:t>
            </w:r>
          </w:p>
          <w:p w14:paraId="0B1946FA">
            <w:pPr>
              <w:adjustRightInd w:val="0"/>
              <w:snapToGrid w:val="0"/>
              <w:spacing w:line="240" w:lineRule="auto"/>
              <w:jc w:val="center"/>
              <w:rPr>
                <w:rFonts w:hint="default" w:ascii="Times New Roman" w:hAnsi="Times New Roman" w:eastAsia="仿宋" w:cs="Times New Roman"/>
                <w:b/>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14:textFill>
                  <w14:solidFill>
                    <w14:schemeClr w14:val="tx1"/>
                  </w14:solidFill>
                </w14:textFill>
              </w:rPr>
              <w:t>表2-1</w:t>
            </w: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建设</w:t>
            </w:r>
            <w:r>
              <w:rPr>
                <w:rFonts w:hint="default" w:ascii="Times New Roman" w:hAnsi="Times New Roman" w:eastAsia="仿宋" w:cs="Times New Roman"/>
                <w:b/>
                <w:color w:val="000000" w:themeColor="text1"/>
                <w:sz w:val="21"/>
                <w:szCs w:val="21"/>
                <w:highlight w:val="none"/>
                <w:u w:val="none"/>
                <w14:textFill>
                  <w14:solidFill>
                    <w14:schemeClr w14:val="tx1"/>
                  </w14:solidFill>
                </w14:textFill>
              </w:rPr>
              <w:t>项目工程内容一览表</w:t>
            </w:r>
          </w:p>
          <w:tbl>
            <w:tblPr>
              <w:tblStyle w:val="24"/>
              <w:tblW w:w="5000"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034"/>
              <w:gridCol w:w="5478"/>
              <w:gridCol w:w="1147"/>
            </w:tblGrid>
            <w:tr w14:paraId="2C774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5" w:type="pct"/>
                  <w:tcBorders>
                    <w:tl2br w:val="nil"/>
                    <w:tr2bl w:val="nil"/>
                  </w:tcBorders>
                  <w:noWrap w:val="0"/>
                  <w:vAlign w:val="center"/>
                </w:tcPr>
                <w:p w14:paraId="3818E712">
                  <w:pPr>
                    <w:adjustRightInd w:val="0"/>
                    <w:snapToGrid w:val="0"/>
                    <w:spacing w:before="48" w:beforeLines="20" w:after="48" w:afterLines="20"/>
                    <w:jc w:val="center"/>
                    <w:rPr>
                      <w:rFonts w:hint="default" w:ascii="Times New Roman" w:hAnsi="Times New Roman" w:eastAsia="仿宋" w:cs="Times New Roman"/>
                      <w:b/>
                      <w:color w:val="000000" w:themeColor="text1"/>
                      <w:szCs w:val="21"/>
                      <w:highlight w:val="none"/>
                      <w:u w:val="none"/>
                      <w14:textFill>
                        <w14:solidFill>
                          <w14:schemeClr w14:val="tx1"/>
                        </w14:solidFill>
                      </w14:textFill>
                    </w:rPr>
                  </w:pPr>
                  <w:r>
                    <w:rPr>
                      <w:rFonts w:hint="default" w:ascii="Times New Roman" w:hAnsi="Times New Roman" w:eastAsia="仿宋" w:cs="Times New Roman"/>
                      <w:b/>
                      <w:color w:val="000000" w:themeColor="text1"/>
                      <w:szCs w:val="21"/>
                      <w:highlight w:val="none"/>
                      <w:u w:val="none"/>
                      <w14:textFill>
                        <w14:solidFill>
                          <w14:schemeClr w14:val="tx1"/>
                        </w14:solidFill>
                      </w14:textFill>
                    </w:rPr>
                    <w:t>工程类别</w:t>
                  </w:r>
                </w:p>
              </w:tc>
              <w:tc>
                <w:tcPr>
                  <w:tcW w:w="616" w:type="pct"/>
                  <w:tcBorders>
                    <w:tl2br w:val="nil"/>
                    <w:tr2bl w:val="nil"/>
                  </w:tcBorders>
                  <w:noWrap w:val="0"/>
                  <w:vAlign w:val="center"/>
                </w:tcPr>
                <w:p w14:paraId="3D1BB537">
                  <w:pPr>
                    <w:adjustRightInd w:val="0"/>
                    <w:snapToGrid w:val="0"/>
                    <w:spacing w:before="48" w:beforeLines="20" w:after="48" w:afterLines="20"/>
                    <w:jc w:val="center"/>
                    <w:rPr>
                      <w:rFonts w:hint="default" w:ascii="Times New Roman" w:hAnsi="Times New Roman" w:eastAsia="仿宋" w:cs="Times New Roman"/>
                      <w:b/>
                      <w:color w:val="000000" w:themeColor="text1"/>
                      <w:szCs w:val="21"/>
                      <w:highlight w:val="none"/>
                      <w:u w:val="none"/>
                      <w14:textFill>
                        <w14:solidFill>
                          <w14:schemeClr w14:val="tx1"/>
                        </w14:solidFill>
                      </w14:textFill>
                    </w:rPr>
                  </w:pPr>
                  <w:r>
                    <w:rPr>
                      <w:rFonts w:hint="default" w:ascii="Times New Roman" w:hAnsi="Times New Roman" w:eastAsia="仿宋" w:cs="Times New Roman"/>
                      <w:b/>
                      <w:color w:val="000000" w:themeColor="text1"/>
                      <w:szCs w:val="21"/>
                      <w:highlight w:val="none"/>
                      <w:u w:val="none"/>
                      <w14:textFill>
                        <w14:solidFill>
                          <w14:schemeClr w14:val="tx1"/>
                        </w14:solidFill>
                      </w14:textFill>
                    </w:rPr>
                    <w:t>建设内容</w:t>
                  </w:r>
                </w:p>
              </w:tc>
              <w:tc>
                <w:tcPr>
                  <w:tcW w:w="3264" w:type="pct"/>
                  <w:tcBorders>
                    <w:tl2br w:val="nil"/>
                    <w:tr2bl w:val="nil"/>
                  </w:tcBorders>
                  <w:noWrap w:val="0"/>
                  <w:vAlign w:val="center"/>
                </w:tcPr>
                <w:p w14:paraId="722C6E07">
                  <w:pPr>
                    <w:adjustRightInd w:val="0"/>
                    <w:snapToGrid w:val="0"/>
                    <w:spacing w:before="48" w:beforeLines="20" w:after="48" w:afterLines="20"/>
                    <w:jc w:val="center"/>
                    <w:rPr>
                      <w:rFonts w:hint="default" w:ascii="Times New Roman" w:hAnsi="Times New Roman" w:eastAsia="仿宋" w:cs="Times New Roman"/>
                      <w:b/>
                      <w:color w:val="000000" w:themeColor="text1"/>
                      <w:szCs w:val="21"/>
                      <w:highlight w:val="none"/>
                      <w:u w:val="none"/>
                      <w14:textFill>
                        <w14:solidFill>
                          <w14:schemeClr w14:val="tx1"/>
                        </w14:solidFill>
                      </w14:textFill>
                    </w:rPr>
                  </w:pPr>
                  <w:r>
                    <w:rPr>
                      <w:rFonts w:hint="default" w:ascii="Times New Roman" w:hAnsi="Times New Roman" w:eastAsia="仿宋" w:cs="Times New Roman"/>
                      <w:b/>
                      <w:color w:val="000000" w:themeColor="text1"/>
                      <w:szCs w:val="21"/>
                      <w:highlight w:val="none"/>
                      <w:u w:val="none"/>
                      <w14:textFill>
                        <w14:solidFill>
                          <w14:schemeClr w14:val="tx1"/>
                        </w14:solidFill>
                      </w14:textFill>
                    </w:rPr>
                    <w:t>规模</w:t>
                  </w:r>
                </w:p>
              </w:tc>
              <w:tc>
                <w:tcPr>
                  <w:tcW w:w="683" w:type="pct"/>
                  <w:tcBorders>
                    <w:tl2br w:val="nil"/>
                    <w:tr2bl w:val="nil"/>
                  </w:tcBorders>
                  <w:noWrap w:val="0"/>
                  <w:vAlign w:val="center"/>
                </w:tcPr>
                <w:p w14:paraId="5B3C7859">
                  <w:pPr>
                    <w:adjustRightInd w:val="0"/>
                    <w:snapToGrid w:val="0"/>
                    <w:spacing w:before="48" w:beforeLines="20" w:after="48" w:afterLines="20"/>
                    <w:jc w:val="center"/>
                    <w:rPr>
                      <w:rFonts w:hint="default" w:ascii="Times New Roman" w:hAnsi="Times New Roman" w:eastAsia="仿宋" w:cs="Times New Roman"/>
                      <w:b/>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Cs w:val="21"/>
                      <w:highlight w:val="none"/>
                      <w:u w:val="none"/>
                      <w:lang w:val="en-US" w:eastAsia="zh-CN"/>
                      <w14:textFill>
                        <w14:solidFill>
                          <w14:schemeClr w14:val="tx1"/>
                        </w14:solidFill>
                      </w14:textFill>
                    </w:rPr>
                    <w:t>建设情况</w:t>
                  </w:r>
                </w:p>
              </w:tc>
            </w:tr>
            <w:tr w14:paraId="25B83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5" w:type="pct"/>
                  <w:tcBorders>
                    <w:tl2br w:val="nil"/>
                    <w:tr2bl w:val="nil"/>
                  </w:tcBorders>
                  <w:noWrap w:val="0"/>
                  <w:vAlign w:val="center"/>
                </w:tcPr>
                <w:p w14:paraId="51F1E7DB">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r>
                    <w:rPr>
                      <w:rFonts w:hint="default" w:ascii="Times New Roman" w:hAnsi="Times New Roman" w:eastAsia="仿宋" w:cs="Times New Roman"/>
                      <w:bCs/>
                      <w:color w:val="000000" w:themeColor="text1"/>
                      <w:szCs w:val="21"/>
                      <w:highlight w:val="none"/>
                      <w:u w:val="none"/>
                      <w14:textFill>
                        <w14:solidFill>
                          <w14:schemeClr w14:val="tx1"/>
                        </w14:solidFill>
                      </w14:textFill>
                    </w:rPr>
                    <w:t>主体工程</w:t>
                  </w:r>
                </w:p>
              </w:tc>
              <w:tc>
                <w:tcPr>
                  <w:tcW w:w="616" w:type="pct"/>
                  <w:tcBorders>
                    <w:tl2br w:val="nil"/>
                    <w:tr2bl w:val="nil"/>
                  </w:tcBorders>
                  <w:noWrap w:val="0"/>
                  <w:vAlign w:val="center"/>
                </w:tcPr>
                <w:p w14:paraId="18C654DE">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制粒</w:t>
                  </w:r>
                </w:p>
                <w:p w14:paraId="2C2D91A8">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车间</w:t>
                  </w:r>
                </w:p>
              </w:tc>
              <w:tc>
                <w:tcPr>
                  <w:tcW w:w="3264" w:type="pct"/>
                  <w:tcBorders>
                    <w:tl2br w:val="nil"/>
                    <w:tr2bl w:val="nil"/>
                  </w:tcBorders>
                  <w:noWrap w:val="0"/>
                  <w:vAlign w:val="center"/>
                </w:tcPr>
                <w:p w14:paraId="5303E137">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建筑面积</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4284</w:t>
                  </w:r>
                  <w:r>
                    <w:rPr>
                      <w:rFonts w:hint="default" w:ascii="Times New Roman" w:hAnsi="Times New Roman" w:eastAsia="仿宋" w:cs="Times New Roman"/>
                      <w:bCs/>
                      <w:color w:val="000000" w:themeColor="text1"/>
                      <w:szCs w:val="21"/>
                      <w:highlight w:val="none"/>
                      <w:u w:val="none"/>
                      <w14:textFill>
                        <w14:solidFill>
                          <w14:schemeClr w14:val="tx1"/>
                        </w14:solidFill>
                      </w14:textFill>
                    </w:rPr>
                    <w:t>m</w:t>
                  </w:r>
                  <w:r>
                    <w:rPr>
                      <w:rFonts w:hint="default" w:ascii="Times New Roman" w:hAnsi="Times New Roman" w:eastAsia="仿宋" w:cs="Times New Roman"/>
                      <w:bCs/>
                      <w:color w:val="000000" w:themeColor="text1"/>
                      <w:szCs w:val="21"/>
                      <w:highlight w:val="none"/>
                      <w:u w:val="none"/>
                      <w:vertAlign w:val="superscript"/>
                      <w14:textFill>
                        <w14:solidFill>
                          <w14:schemeClr w14:val="tx1"/>
                        </w14:solidFill>
                      </w14:textFill>
                    </w:rPr>
                    <w:t>2</w:t>
                  </w:r>
                  <w:r>
                    <w:rPr>
                      <w:rFonts w:hint="default" w:ascii="Times New Roman" w:hAnsi="Times New Roman" w:eastAsia="仿宋" w:cs="Times New Roman"/>
                      <w:bCs/>
                      <w:color w:val="000000" w:themeColor="text1"/>
                      <w:szCs w:val="21"/>
                      <w:highlight w:val="none"/>
                      <w:u w:val="none"/>
                      <w14:textFill>
                        <w14:solidFill>
                          <w14:schemeClr w14:val="tx1"/>
                        </w14:solidFill>
                      </w14:textFill>
                    </w:rPr>
                    <w:t>，从事</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成型生物质颗粒制粒</w:t>
                  </w:r>
                  <w:r>
                    <w:rPr>
                      <w:rFonts w:hint="default" w:ascii="Times New Roman" w:hAnsi="Times New Roman" w:eastAsia="仿宋" w:cs="Times New Roman"/>
                      <w:bCs/>
                      <w:color w:val="000000" w:themeColor="text1"/>
                      <w:szCs w:val="21"/>
                      <w:highlight w:val="none"/>
                      <w:u w:val="none"/>
                      <w14:textFill>
                        <w14:solidFill>
                          <w14:schemeClr w14:val="tx1"/>
                        </w14:solidFill>
                      </w14:textFill>
                    </w:rPr>
                    <w:t>生产</w:t>
                  </w:r>
                  <w:r>
                    <w:rPr>
                      <w:rFonts w:hint="default" w:ascii="Times New Roman" w:hAnsi="Times New Roman" w:eastAsia="仿宋" w:cs="Times New Roman"/>
                      <w:bCs/>
                      <w:color w:val="000000" w:themeColor="text1"/>
                      <w:szCs w:val="21"/>
                      <w:highlight w:val="none"/>
                      <w:u w:val="none"/>
                      <w:lang w:eastAsia="zh-CN"/>
                      <w14:textFill>
                        <w14:solidFill>
                          <w14:schemeClr w14:val="tx1"/>
                        </w14:solidFill>
                      </w14:textFill>
                    </w:rPr>
                    <w:t>，</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设置有</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4</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条制粒生产线</w:t>
                  </w:r>
                  <w:r>
                    <w:rPr>
                      <w:rFonts w:hint="default" w:ascii="Times New Roman" w:hAnsi="Times New Roman" w:eastAsia="仿宋" w:cs="Times New Roman"/>
                      <w:bCs/>
                      <w:color w:val="000000" w:themeColor="text1"/>
                      <w:szCs w:val="21"/>
                      <w:highlight w:val="none"/>
                      <w:u w:val="none"/>
                      <w:lang w:eastAsia="zh-CN"/>
                      <w14:textFill>
                        <w14:solidFill>
                          <w14:schemeClr w14:val="tx1"/>
                        </w14:solidFill>
                      </w14:textFill>
                    </w:rPr>
                    <w:t>。</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内设置周转仓、成品库</w:t>
                  </w:r>
                  <w:r>
                    <w:rPr>
                      <w:rFonts w:hint="eastAsia" w:eastAsia="仿宋" w:cs="Times New Roman"/>
                      <w:bCs/>
                      <w:color w:val="000000" w:themeColor="text1"/>
                      <w:szCs w:val="21"/>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危废暂存间</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w:t>
                  </w:r>
                </w:p>
              </w:tc>
              <w:tc>
                <w:tcPr>
                  <w:tcW w:w="683" w:type="pct"/>
                  <w:tcBorders>
                    <w:tl2br w:val="nil"/>
                    <w:tr2bl w:val="nil"/>
                  </w:tcBorders>
                  <w:noWrap w:val="0"/>
                  <w:vAlign w:val="center"/>
                </w:tcPr>
                <w:p w14:paraId="1E6F311F">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依托现有厂房</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改造。</w:t>
                  </w:r>
                </w:p>
              </w:tc>
            </w:tr>
            <w:tr w14:paraId="0D4CB8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5" w:type="pct"/>
                  <w:vMerge w:val="restart"/>
                  <w:tcBorders>
                    <w:tl2br w:val="nil"/>
                    <w:tr2bl w:val="nil"/>
                  </w:tcBorders>
                  <w:noWrap w:val="0"/>
                  <w:vAlign w:val="center"/>
                </w:tcPr>
                <w:p w14:paraId="0DE2A13E">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r>
                    <w:rPr>
                      <w:rFonts w:hint="default" w:ascii="Times New Roman" w:hAnsi="Times New Roman" w:eastAsia="仿宋" w:cs="Times New Roman"/>
                      <w:bCs/>
                      <w:color w:val="000000" w:themeColor="text1"/>
                      <w:szCs w:val="21"/>
                      <w:highlight w:val="none"/>
                      <w:u w:val="none"/>
                      <w14:textFill>
                        <w14:solidFill>
                          <w14:schemeClr w14:val="tx1"/>
                        </w14:solidFill>
                      </w14:textFill>
                    </w:rPr>
                    <w:t>储运</w:t>
                  </w:r>
                </w:p>
                <w:p w14:paraId="768E9BD4">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r>
                    <w:rPr>
                      <w:rFonts w:hint="default" w:ascii="Times New Roman" w:hAnsi="Times New Roman" w:eastAsia="仿宋" w:cs="Times New Roman"/>
                      <w:bCs/>
                      <w:color w:val="000000" w:themeColor="text1"/>
                      <w:szCs w:val="21"/>
                      <w:highlight w:val="none"/>
                      <w:u w:val="none"/>
                      <w14:textFill>
                        <w14:solidFill>
                          <w14:schemeClr w14:val="tx1"/>
                        </w14:solidFill>
                      </w14:textFill>
                    </w:rPr>
                    <w:t>工程</w:t>
                  </w:r>
                </w:p>
              </w:tc>
              <w:tc>
                <w:tcPr>
                  <w:tcW w:w="616" w:type="pct"/>
                  <w:tcBorders>
                    <w:tl2br w:val="nil"/>
                    <w:tr2bl w:val="nil"/>
                  </w:tcBorders>
                  <w:noWrap w:val="0"/>
                  <w:vAlign w:val="center"/>
                </w:tcPr>
                <w:p w14:paraId="2703D02C">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周转仓</w:t>
                  </w:r>
                </w:p>
              </w:tc>
              <w:tc>
                <w:tcPr>
                  <w:tcW w:w="3264" w:type="pct"/>
                  <w:tcBorders>
                    <w:tl2br w:val="nil"/>
                    <w:tr2bl w:val="nil"/>
                  </w:tcBorders>
                  <w:noWrap w:val="0"/>
                  <w:vAlign w:val="center"/>
                </w:tcPr>
                <w:p w14:paraId="59113808">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vertAlign w:val="baseline"/>
                      <w:lang w:val="en-US" w:eastAsia="zh-CN"/>
                      <w14:textFill>
                        <w14:solidFill>
                          <w14:schemeClr w14:val="tx1"/>
                        </w14:solidFill>
                      </w14:textFill>
                    </w:rPr>
                  </w:pP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位于</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制粒车间</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，占地面积500</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m</w:t>
                  </w:r>
                  <w:r>
                    <w:rPr>
                      <w:rFonts w:hint="default" w:ascii="Times New Roman" w:hAnsi="Times New Roman" w:eastAsia="仿宋" w:cs="Times New Roman"/>
                      <w:bCs/>
                      <w:color w:val="000000" w:themeColor="text1"/>
                      <w:szCs w:val="21"/>
                      <w:highlight w:val="none"/>
                      <w:u w:val="none"/>
                      <w:vertAlign w:val="superscript"/>
                      <w:lang w:val="en-US" w:eastAsia="zh-CN"/>
                      <w14:textFill>
                        <w14:solidFill>
                          <w14:schemeClr w14:val="tx1"/>
                        </w14:solidFill>
                      </w14:textFill>
                    </w:rPr>
                    <w:t>2</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w:t>
                  </w:r>
                  <w:r>
                    <w:rPr>
                      <w:rFonts w:hint="eastAsia" w:eastAsia="仿宋" w:cs="Times New Roman"/>
                      <w:bCs/>
                      <w:color w:val="000000" w:themeColor="text1"/>
                      <w:szCs w:val="21"/>
                      <w:highlight w:val="none"/>
                      <w:u w:val="none"/>
                      <w:lang w:val="en-US" w:eastAsia="zh-CN"/>
                      <w14:textFill>
                        <w14:solidFill>
                          <w14:schemeClr w14:val="tx1"/>
                        </w14:solidFill>
                      </w14:textFill>
                    </w:rPr>
                    <w:t>有效</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容积</w:t>
                  </w:r>
                  <w:r>
                    <w:rPr>
                      <w:rFonts w:hint="eastAsia" w:eastAsia="仿宋" w:cs="Times New Roman"/>
                      <w:bCs/>
                      <w:color w:val="000000" w:themeColor="text1"/>
                      <w:szCs w:val="21"/>
                      <w:highlight w:val="none"/>
                      <w:u w:val="none"/>
                      <w:lang w:val="en-US" w:eastAsia="zh-CN"/>
                      <w14:textFill>
                        <w14:solidFill>
                          <w14:schemeClr w14:val="tx1"/>
                        </w14:solidFill>
                      </w14:textFill>
                    </w:rPr>
                    <w:t>3</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00m</w:t>
                  </w:r>
                  <w:r>
                    <w:rPr>
                      <w:rFonts w:hint="eastAsia" w:ascii="Times New Roman" w:hAnsi="Times New Roman" w:eastAsia="仿宋" w:cs="Times New Roman"/>
                      <w:bCs/>
                      <w:color w:val="000000" w:themeColor="text1"/>
                      <w:szCs w:val="21"/>
                      <w:highlight w:val="none"/>
                      <w:u w:val="none"/>
                      <w:vertAlign w:val="superscript"/>
                      <w:lang w:val="en-US" w:eastAsia="zh-CN"/>
                      <w14:textFill>
                        <w14:solidFill>
                          <w14:schemeClr w14:val="tx1"/>
                        </w14:solidFill>
                      </w14:textFill>
                    </w:rPr>
                    <w:t>3</w:t>
                  </w:r>
                  <w:r>
                    <w:rPr>
                      <w:rFonts w:hint="eastAsia" w:ascii="Times New Roman" w:hAnsi="Times New Roman" w:eastAsia="仿宋" w:cs="Times New Roman"/>
                      <w:bCs/>
                      <w:color w:val="000000" w:themeColor="text1"/>
                      <w:szCs w:val="21"/>
                      <w:highlight w:val="none"/>
                      <w:u w:val="none"/>
                      <w:vertAlign w:val="baseline"/>
                      <w:lang w:val="en-US" w:eastAsia="zh-CN"/>
                      <w14:textFill>
                        <w14:solidFill>
                          <w14:schemeClr w14:val="tx1"/>
                        </w14:solidFill>
                      </w14:textFill>
                    </w:rPr>
                    <w:t>，</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用于原料</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周转。</w:t>
                  </w:r>
                  <w:r>
                    <w:rPr>
                      <w:rFonts w:hint="eastAsia" w:eastAsia="仿宋" w:cs="Times New Roman"/>
                      <w:bCs/>
                      <w:color w:val="000000" w:themeColor="text1"/>
                      <w:szCs w:val="21"/>
                      <w:highlight w:val="none"/>
                      <w:u w:val="none"/>
                      <w:lang w:val="en-US" w:eastAsia="zh-CN"/>
                      <w14:textFill>
                        <w14:solidFill>
                          <w14:schemeClr w14:val="tx1"/>
                        </w14:solidFill>
                      </w14:textFill>
                    </w:rPr>
                    <w:t>周转量为</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216t/d。</w:t>
                  </w:r>
                </w:p>
              </w:tc>
              <w:tc>
                <w:tcPr>
                  <w:tcW w:w="683" w:type="pct"/>
                  <w:vMerge w:val="restart"/>
                  <w:tcBorders>
                    <w:tl2br w:val="nil"/>
                    <w:tr2bl w:val="nil"/>
                  </w:tcBorders>
                  <w:noWrap w:val="0"/>
                  <w:vAlign w:val="center"/>
                </w:tcPr>
                <w:p w14:paraId="35061629">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依托现有厂房</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改造。</w:t>
                  </w:r>
                </w:p>
              </w:tc>
            </w:tr>
            <w:tr w14:paraId="3C79D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5" w:type="pct"/>
                  <w:vMerge w:val="continue"/>
                  <w:tcBorders>
                    <w:tl2br w:val="nil"/>
                    <w:tr2bl w:val="nil"/>
                  </w:tcBorders>
                  <w:noWrap w:val="0"/>
                  <w:vAlign w:val="center"/>
                </w:tcPr>
                <w:p w14:paraId="415E9B62">
                  <w:pPr>
                    <w:adjustRightInd w:val="0"/>
                    <w:snapToGrid w:val="0"/>
                    <w:spacing w:before="48" w:beforeLines="20" w:after="48" w:afterLines="20"/>
                    <w:jc w:val="center"/>
                    <w:rPr>
                      <w:rFonts w:hint="default" w:ascii="Times New Roman" w:hAnsi="Times New Roman" w:eastAsia="仿宋" w:cs="Times New Roman"/>
                      <w:color w:val="000000" w:themeColor="text1"/>
                      <w:highlight w:val="none"/>
                      <w:u w:val="none"/>
                      <w14:textFill>
                        <w14:solidFill>
                          <w14:schemeClr w14:val="tx1"/>
                        </w14:solidFill>
                      </w14:textFill>
                    </w:rPr>
                  </w:pPr>
                </w:p>
              </w:tc>
              <w:tc>
                <w:tcPr>
                  <w:tcW w:w="616" w:type="pct"/>
                  <w:tcBorders>
                    <w:tl2br w:val="nil"/>
                    <w:tr2bl w:val="nil"/>
                  </w:tcBorders>
                  <w:noWrap w:val="0"/>
                  <w:vAlign w:val="center"/>
                </w:tcPr>
                <w:p w14:paraId="733CE0F1">
                  <w:pPr>
                    <w:adjustRightInd w:val="0"/>
                    <w:snapToGrid w:val="0"/>
                    <w:spacing w:before="48" w:beforeLines="20" w:after="48" w:afterLines="20"/>
                    <w:jc w:val="center"/>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t>产品</w:t>
                  </w:r>
                </w:p>
                <w:p w14:paraId="0C5158EF">
                  <w:pPr>
                    <w:adjustRightInd w:val="0"/>
                    <w:snapToGrid w:val="0"/>
                    <w:spacing w:before="48" w:beforeLines="20" w:after="48" w:afterLines="20"/>
                    <w:jc w:val="center"/>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t>仓库</w:t>
                  </w:r>
                </w:p>
              </w:tc>
              <w:tc>
                <w:tcPr>
                  <w:tcW w:w="3264" w:type="pct"/>
                  <w:tcBorders>
                    <w:tl2br w:val="nil"/>
                    <w:tr2bl w:val="nil"/>
                  </w:tcBorders>
                  <w:noWrap w:val="0"/>
                  <w:vAlign w:val="center"/>
                </w:tcPr>
                <w:p w14:paraId="542C43D9">
                  <w:pPr>
                    <w:adjustRightInd w:val="0"/>
                    <w:snapToGrid w:val="0"/>
                    <w:spacing w:before="48" w:beforeLines="20" w:after="48" w:afterLines="20"/>
                    <w:jc w:val="center"/>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t>建筑</w:t>
                  </w:r>
                  <w:r>
                    <w:rPr>
                      <w:rFonts w:hint="default" w:ascii="Times New Roman" w:hAnsi="Times New Roman" w:eastAsia="仿宋" w:cs="Times New Roman"/>
                      <w:color w:val="000000" w:themeColor="text1"/>
                      <w:highlight w:val="none"/>
                      <w:u w:val="none"/>
                      <w14:textFill>
                        <w14:solidFill>
                          <w14:schemeClr w14:val="tx1"/>
                        </w14:solidFill>
                      </w14:textFill>
                    </w:rPr>
                    <w:t>面</w:t>
                  </w:r>
                  <w:r>
                    <w:rPr>
                      <w:rFonts w:hint="eastAsia" w:ascii="Times New Roman" w:hAnsi="Times New Roman" w:eastAsia="仿宋" w:cs="Times New Roman"/>
                      <w:color w:val="000000" w:themeColor="text1"/>
                      <w:highlight w:val="none"/>
                      <w:u w:val="none"/>
                      <w:lang w:val="en-US" w:eastAsia="zh-CN"/>
                      <w14:textFill>
                        <w14:solidFill>
                          <w14:schemeClr w14:val="tx1"/>
                        </w14:solidFill>
                      </w14:textFill>
                    </w:rPr>
                    <w:t>2000</w:t>
                  </w:r>
                  <w:r>
                    <w:rPr>
                      <w:rFonts w:hint="default" w:ascii="Times New Roman" w:hAnsi="Times New Roman" w:eastAsia="仿宋" w:cs="Times New Roman"/>
                      <w:color w:val="000000" w:themeColor="text1"/>
                      <w:highlight w:val="none"/>
                      <w:u w:val="none"/>
                      <w14:textFill>
                        <w14:solidFill>
                          <w14:schemeClr w14:val="tx1"/>
                        </w14:solidFill>
                      </w14:textFill>
                    </w:rPr>
                    <w:t>m</w:t>
                  </w:r>
                  <w:r>
                    <w:rPr>
                      <w:rFonts w:hint="default" w:ascii="Times New Roman" w:hAnsi="Times New Roman" w:eastAsia="仿宋" w:cs="Times New Roman"/>
                      <w:color w:val="000000" w:themeColor="text1"/>
                      <w:highlight w:val="none"/>
                      <w:u w:val="none"/>
                      <w:vertAlign w:val="superscript"/>
                      <w14:textFill>
                        <w14:solidFill>
                          <w14:schemeClr w14:val="tx1"/>
                        </w14:solidFill>
                      </w14:textFill>
                    </w:rPr>
                    <w:t>2</w:t>
                  </w:r>
                  <w:r>
                    <w:rPr>
                      <w:rFonts w:hint="default" w:ascii="Times New Roman" w:hAnsi="Times New Roman" w:eastAsia="仿宋" w:cs="Times New Roman"/>
                      <w:color w:val="000000" w:themeColor="text1"/>
                      <w:highlight w:val="none"/>
                      <w:u w:val="none"/>
                      <w14:textFill>
                        <w14:solidFill>
                          <w14:schemeClr w14:val="tx1"/>
                        </w14:solidFill>
                      </w14:textFill>
                    </w:rPr>
                    <w:t>，用于产品储存，防风、防雨的封闭式堆场</w:t>
                  </w:r>
                </w:p>
              </w:tc>
              <w:tc>
                <w:tcPr>
                  <w:tcW w:w="683" w:type="pct"/>
                  <w:vMerge w:val="continue"/>
                  <w:tcBorders>
                    <w:tl2br w:val="nil"/>
                    <w:tr2bl w:val="nil"/>
                  </w:tcBorders>
                  <w:noWrap w:val="0"/>
                  <w:vAlign w:val="center"/>
                </w:tcPr>
                <w:p w14:paraId="6D49FE76">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p>
              </w:tc>
            </w:tr>
            <w:tr w14:paraId="7D6AE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5" w:type="pct"/>
                  <w:vMerge w:val="continue"/>
                  <w:tcBorders>
                    <w:tl2br w:val="nil"/>
                    <w:tr2bl w:val="nil"/>
                  </w:tcBorders>
                  <w:noWrap w:val="0"/>
                  <w:vAlign w:val="center"/>
                </w:tcPr>
                <w:p w14:paraId="26EA4BB4">
                  <w:pPr>
                    <w:adjustRightInd w:val="0"/>
                    <w:snapToGrid w:val="0"/>
                    <w:spacing w:before="48" w:beforeLines="20" w:after="48" w:afterLines="20"/>
                    <w:jc w:val="center"/>
                    <w:rPr>
                      <w:rFonts w:hint="default" w:ascii="Times New Roman" w:hAnsi="Times New Roman" w:eastAsia="仿宋" w:cs="Times New Roman"/>
                      <w:color w:val="000000" w:themeColor="text1"/>
                      <w:highlight w:val="none"/>
                      <w:u w:val="none"/>
                      <w14:textFill>
                        <w14:solidFill>
                          <w14:schemeClr w14:val="tx1"/>
                        </w14:solidFill>
                      </w14:textFill>
                    </w:rPr>
                  </w:pPr>
                </w:p>
              </w:tc>
              <w:tc>
                <w:tcPr>
                  <w:tcW w:w="616" w:type="pct"/>
                  <w:tcBorders>
                    <w:tl2br w:val="nil"/>
                    <w:tr2bl w:val="nil"/>
                  </w:tcBorders>
                  <w:noWrap w:val="0"/>
                  <w:vAlign w:val="center"/>
                </w:tcPr>
                <w:p w14:paraId="18B468BB">
                  <w:pPr>
                    <w:keepNext w:val="0"/>
                    <w:keepLines w:val="0"/>
                    <w:suppressLineNumbers w:val="0"/>
                    <w:spacing w:before="0" w:beforeAutospacing="0" w:after="0" w:afterAutospacing="0"/>
                    <w:ind w:left="0" w:leftChars="0" w:right="0" w:rightChars="0"/>
                    <w:jc w:val="center"/>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危废暂存间</w:t>
                  </w:r>
                </w:p>
              </w:tc>
              <w:tc>
                <w:tcPr>
                  <w:tcW w:w="3264" w:type="pct"/>
                  <w:tcBorders>
                    <w:tl2br w:val="nil"/>
                    <w:tr2bl w:val="nil"/>
                  </w:tcBorders>
                  <w:noWrap w:val="0"/>
                  <w:vAlign w:val="center"/>
                </w:tcPr>
                <w:p w14:paraId="6DD5F3A4">
                  <w:pPr>
                    <w:keepNext w:val="0"/>
                    <w:keepLines w:val="0"/>
                    <w:suppressLineNumbers w:val="0"/>
                    <w:spacing w:before="0" w:beforeAutospacing="0" w:after="0" w:afterAutospacing="0"/>
                    <w:ind w:left="0" w:right="0" w:firstLine="420" w:firstLineChars="200"/>
                    <w:jc w:val="both"/>
                    <w:rPr>
                      <w:rFonts w:hint="default" w:ascii="Times New Roman" w:hAnsi="Times New Roman" w:eastAsia="仿宋"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位于</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制粒车间</w:t>
                  </w:r>
                  <w:r>
                    <w:rPr>
                      <w:rFonts w:hint="default" w:ascii="Times New Roman" w:hAnsi="Times New Roman" w:eastAsia="仿宋" w:cs="Times New Roman"/>
                      <w:color w:val="000000" w:themeColor="text1"/>
                      <w:kern w:val="0"/>
                      <w:sz w:val="21"/>
                      <w:szCs w:val="21"/>
                      <w:highlight w:val="none"/>
                      <w14:textFill>
                        <w14:solidFill>
                          <w14:schemeClr w14:val="tx1"/>
                        </w14:solidFill>
                      </w14:textFill>
                    </w:rPr>
                    <w:t>，</w:t>
                  </w:r>
                  <w:r>
                    <w:rPr>
                      <w:rFonts w:hint="default" w:ascii="Times New Roman" w:hAnsi="Times New Roman" w:eastAsia="仿宋" w:cs="Times New Roman"/>
                      <w:color w:val="000000" w:themeColor="text1"/>
                      <w:kern w:val="0"/>
                      <w:sz w:val="21"/>
                      <w:szCs w:val="21"/>
                      <w:highlight w:val="none"/>
                      <w:lang w:eastAsia="zh-CN"/>
                      <w14:textFill>
                        <w14:solidFill>
                          <w14:schemeClr w14:val="tx1"/>
                        </w14:solidFill>
                      </w14:textFill>
                    </w:rPr>
                    <w:t>占地</w:t>
                  </w:r>
                  <w:r>
                    <w:rPr>
                      <w:rFonts w:hint="default" w:ascii="Times New Roman" w:hAnsi="Times New Roman" w:eastAsia="仿宋" w:cs="Times New Roman"/>
                      <w:color w:val="000000" w:themeColor="text1"/>
                      <w:sz w:val="21"/>
                      <w:szCs w:val="21"/>
                      <w:highlight w:val="none"/>
                      <w:lang w:eastAsia="zh-CN"/>
                      <w14:textFill>
                        <w14:solidFill>
                          <w14:schemeClr w14:val="tx1"/>
                        </w14:solidFill>
                      </w14:textFill>
                    </w:rPr>
                    <w:t>面积为</w:t>
                  </w:r>
                  <w:r>
                    <w:rPr>
                      <w:rFonts w:hint="eastAsia" w:ascii="Times New Roman" w:hAnsi="Times New Roman" w:eastAsia="仿宋"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仿宋"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仿宋" w:cs="Times New Roman"/>
                      <w:color w:val="000000" w:themeColor="text1"/>
                      <w:sz w:val="21"/>
                      <w:szCs w:val="21"/>
                      <w:highlight w:val="none"/>
                      <w:lang w:eastAsia="zh-CN"/>
                      <w14:textFill>
                        <w14:solidFill>
                          <w14:schemeClr w14:val="tx1"/>
                        </w14:solidFill>
                      </w14:textFill>
                    </w:rPr>
                    <w:t>，用于储存本项目产生的危险废物</w:t>
                  </w:r>
                  <w:r>
                    <w:rPr>
                      <w:rFonts w:hint="eastAsia" w:eastAsia="仿宋" w:cs="Times New Roman"/>
                      <w:color w:val="000000" w:themeColor="text1"/>
                      <w:sz w:val="21"/>
                      <w:szCs w:val="21"/>
                      <w:highlight w:val="none"/>
                      <w:lang w:eastAsia="zh-CN"/>
                      <w14:textFill>
                        <w14:solidFill>
                          <w14:schemeClr w14:val="tx1"/>
                        </w14:solidFill>
                      </w14:textFill>
                    </w:rPr>
                    <w:t>，</w:t>
                  </w:r>
                  <w:r>
                    <w:rPr>
                      <w:rFonts w:hint="eastAsia" w:eastAsia="仿宋" w:cs="Times New Roman"/>
                      <w:color w:val="000000" w:themeColor="text1"/>
                      <w:sz w:val="21"/>
                      <w:szCs w:val="21"/>
                      <w:highlight w:val="none"/>
                      <w:lang w:val="en-US" w:eastAsia="zh-CN"/>
                      <w14:textFill>
                        <w14:solidFill>
                          <w14:schemeClr w14:val="tx1"/>
                        </w14:solidFill>
                      </w14:textFill>
                    </w:rPr>
                    <w:t>最大暂存能力为5t</w:t>
                  </w:r>
                  <w:r>
                    <w:rPr>
                      <w:rFonts w:hint="default" w:ascii="Times New Roman" w:hAnsi="Times New Roman" w:eastAsia="仿宋"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仿宋" w:cs="Times New Roman"/>
                      <w:color w:val="000000" w:themeColor="text1"/>
                      <w:kern w:val="0"/>
                      <w:sz w:val="21"/>
                      <w:szCs w:val="21"/>
                      <w:highlight w:val="none"/>
                      <w:lang w:eastAsia="zh-CN"/>
                      <w14:textFill>
                        <w14:solidFill>
                          <w14:schemeClr w14:val="tx1"/>
                        </w14:solidFill>
                      </w14:textFill>
                    </w:rPr>
                    <w:t>根据《危险废物贮存污染控制标准》（GB18597-20</w:t>
                  </w:r>
                  <w:r>
                    <w:rPr>
                      <w:rFonts w:hint="eastAsia" w:ascii="Times New Roman" w:hAnsi="Times New Roman" w:eastAsia="仿宋" w:cs="Times New Roman"/>
                      <w:color w:val="000000" w:themeColor="text1"/>
                      <w:kern w:val="0"/>
                      <w:sz w:val="21"/>
                      <w:szCs w:val="21"/>
                      <w:highlight w:val="none"/>
                      <w:lang w:val="en-US" w:eastAsia="zh-CN"/>
                      <w14:textFill>
                        <w14:solidFill>
                          <w14:schemeClr w14:val="tx1"/>
                        </w14:solidFill>
                      </w14:textFill>
                    </w:rPr>
                    <w:t>23</w:t>
                  </w:r>
                  <w:r>
                    <w:rPr>
                      <w:rFonts w:hint="default" w:ascii="Times New Roman" w:hAnsi="Times New Roman" w:eastAsia="仿宋" w:cs="Times New Roman"/>
                      <w:color w:val="000000" w:themeColor="text1"/>
                      <w:kern w:val="0"/>
                      <w:sz w:val="21"/>
                      <w:szCs w:val="21"/>
                      <w:highlight w:val="none"/>
                      <w:lang w:eastAsia="zh-CN"/>
                      <w14:textFill>
                        <w14:solidFill>
                          <w14:schemeClr w14:val="tx1"/>
                        </w14:solidFill>
                      </w14:textFill>
                    </w:rPr>
                    <w:t>），本项目产生的危险废物必须装入容器内，禁止将不相容（相互反应）的危险废物在同一容器内混装；将装载液体、半固体危险废物的容器内留有足够的空间，容器顶部与液体表面之间保留100mm以上的空间，容器上需贴有符合标准的标签。由企业将存有危险废物的容器，暂存于本项目设置的危险废物暂存间，地面做防渗处理，定期集中由有处置资质的单位处置。</w:t>
                  </w:r>
                </w:p>
                <w:p w14:paraId="3A4EAB4B">
                  <w:pPr>
                    <w:keepNext w:val="0"/>
                    <w:keepLines w:val="0"/>
                    <w:suppressLineNumbers w:val="0"/>
                    <w:spacing w:before="0" w:beforeAutospacing="0" w:after="0" w:afterAutospacing="0"/>
                    <w:ind w:left="0" w:right="0" w:firstLine="420" w:firstLineChars="200"/>
                    <w:jc w:val="both"/>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highlight w:val="none"/>
                      <w:lang w:eastAsia="zh-CN"/>
                      <w14:textFill>
                        <w14:solidFill>
                          <w14:schemeClr w14:val="tx1"/>
                        </w14:solidFill>
                      </w14:textFill>
                    </w:rPr>
                    <w:t>危废暂存间要严格按照《危险废物贮存污染控制标准》（GB18597-20</w:t>
                  </w:r>
                  <w:r>
                    <w:rPr>
                      <w:rFonts w:hint="eastAsia" w:ascii="Times New Roman" w:hAnsi="Times New Roman" w:eastAsia="仿宋" w:cs="Times New Roman"/>
                      <w:color w:val="000000" w:themeColor="text1"/>
                      <w:kern w:val="0"/>
                      <w:sz w:val="21"/>
                      <w:szCs w:val="21"/>
                      <w:highlight w:val="none"/>
                      <w:lang w:val="en-US" w:eastAsia="zh-CN"/>
                      <w14:textFill>
                        <w14:solidFill>
                          <w14:schemeClr w14:val="tx1"/>
                        </w14:solidFill>
                      </w14:textFill>
                    </w:rPr>
                    <w:t>23</w:t>
                  </w:r>
                  <w:r>
                    <w:rPr>
                      <w:rFonts w:hint="default" w:ascii="Times New Roman" w:hAnsi="Times New Roman" w:eastAsia="仿宋" w:cs="Times New Roman"/>
                      <w:color w:val="000000" w:themeColor="text1"/>
                      <w:kern w:val="0"/>
                      <w:sz w:val="21"/>
                      <w:szCs w:val="21"/>
                      <w:highlight w:val="none"/>
                      <w:lang w:eastAsia="zh-CN"/>
                      <w14:textFill>
                        <w14:solidFill>
                          <w14:schemeClr w14:val="tx1"/>
                        </w14:solidFill>
                      </w14:textFill>
                    </w:rPr>
                    <w:t>）中各项要求和措施进行设计施工：①存放场地应做好防渗处理，基础防渗可采用2mm厚高密度聚乙烯或其他人工材料，渗透系数≤10</w:t>
                  </w:r>
                  <w:r>
                    <w:rPr>
                      <w:rFonts w:hint="default" w:ascii="Times New Roman" w:hAnsi="Times New Roman" w:eastAsia="仿宋" w:cs="Times New Roman"/>
                      <w:color w:val="000000" w:themeColor="text1"/>
                      <w:kern w:val="0"/>
                      <w:sz w:val="21"/>
                      <w:szCs w:val="21"/>
                      <w:highlight w:val="none"/>
                      <w:vertAlign w:val="superscript"/>
                      <w:lang w:eastAsia="zh-CN"/>
                      <w14:textFill>
                        <w14:solidFill>
                          <w14:schemeClr w14:val="tx1"/>
                        </w14:solidFill>
                      </w14:textFill>
                    </w:rPr>
                    <w:t>-10</w:t>
                  </w:r>
                  <w:r>
                    <w:rPr>
                      <w:rFonts w:hint="default" w:ascii="Times New Roman" w:hAnsi="Times New Roman" w:eastAsia="仿宋" w:cs="Times New Roman"/>
                      <w:color w:val="000000" w:themeColor="text1"/>
                      <w:kern w:val="0"/>
                      <w:sz w:val="21"/>
                      <w:szCs w:val="21"/>
                      <w:highlight w:val="none"/>
                      <w:lang w:eastAsia="zh-CN"/>
                      <w14:textFill>
                        <w14:solidFill>
                          <w14:schemeClr w14:val="tx1"/>
                        </w14:solidFill>
                      </w14:textFill>
                    </w:rPr>
                    <w:t>cm/s。②存放场地应做有防雨措施，避免暴雨天气雨水流到危险废物堆里；并且满足“防风、防雨、防晒”措施要求。</w:t>
                  </w:r>
                </w:p>
              </w:tc>
              <w:tc>
                <w:tcPr>
                  <w:tcW w:w="683" w:type="pct"/>
                  <w:vMerge w:val="continue"/>
                  <w:tcBorders>
                    <w:tl2br w:val="nil"/>
                    <w:tr2bl w:val="nil"/>
                  </w:tcBorders>
                  <w:noWrap w:val="0"/>
                  <w:vAlign w:val="center"/>
                </w:tcPr>
                <w:p w14:paraId="6187DEBC">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p>
              </w:tc>
            </w:tr>
            <w:tr w14:paraId="16F8C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5" w:type="pct"/>
                  <w:vMerge w:val="restart"/>
                  <w:tcBorders>
                    <w:tl2br w:val="nil"/>
                    <w:tr2bl w:val="nil"/>
                  </w:tcBorders>
                  <w:noWrap w:val="0"/>
                  <w:vAlign w:val="center"/>
                </w:tcPr>
                <w:p w14:paraId="2EEA9046">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r>
                    <w:rPr>
                      <w:rFonts w:hint="default" w:ascii="Times New Roman" w:hAnsi="Times New Roman" w:eastAsia="仿宋" w:cs="Times New Roman"/>
                      <w:bCs/>
                      <w:color w:val="000000" w:themeColor="text1"/>
                      <w:szCs w:val="21"/>
                      <w:highlight w:val="none"/>
                      <w:u w:val="none"/>
                      <w14:textFill>
                        <w14:solidFill>
                          <w14:schemeClr w14:val="tx1"/>
                        </w14:solidFill>
                      </w14:textFill>
                    </w:rPr>
                    <w:t>辅助工程</w:t>
                  </w:r>
                </w:p>
              </w:tc>
              <w:tc>
                <w:tcPr>
                  <w:tcW w:w="616" w:type="pct"/>
                  <w:tcBorders>
                    <w:tl2br w:val="nil"/>
                    <w:tr2bl w:val="nil"/>
                  </w:tcBorders>
                  <w:noWrap w:val="0"/>
                  <w:vAlign w:val="center"/>
                </w:tcPr>
                <w:p w14:paraId="146E2614">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控制室</w:t>
                  </w:r>
                </w:p>
              </w:tc>
              <w:tc>
                <w:tcPr>
                  <w:tcW w:w="3264" w:type="pct"/>
                  <w:tcBorders>
                    <w:tl2br w:val="nil"/>
                    <w:tr2bl w:val="nil"/>
                  </w:tcBorders>
                  <w:noWrap w:val="0"/>
                  <w:vAlign w:val="center"/>
                </w:tcPr>
                <w:p w14:paraId="6CC02B0E">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eastAsia="zh-CN"/>
                      <w14:textFill>
                        <w14:solidFill>
                          <w14:schemeClr w14:val="tx1"/>
                        </w14:solidFill>
                      </w14:textFill>
                    </w:rPr>
                    <w:t>建筑面积</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20</w:t>
                  </w:r>
                  <w:r>
                    <w:rPr>
                      <w:rFonts w:hint="default" w:ascii="Times New Roman" w:hAnsi="Times New Roman" w:eastAsia="仿宋" w:cs="Times New Roman"/>
                      <w:bCs/>
                      <w:color w:val="000000" w:themeColor="text1"/>
                      <w:szCs w:val="21"/>
                      <w:highlight w:val="none"/>
                      <w:u w:val="none"/>
                      <w14:textFill>
                        <w14:solidFill>
                          <w14:schemeClr w14:val="tx1"/>
                        </w14:solidFill>
                      </w14:textFill>
                    </w:rPr>
                    <w:t>m</w:t>
                  </w:r>
                  <w:r>
                    <w:rPr>
                      <w:rFonts w:hint="default" w:ascii="Times New Roman" w:hAnsi="Times New Roman" w:eastAsia="仿宋" w:cs="Times New Roman"/>
                      <w:bCs/>
                      <w:color w:val="000000" w:themeColor="text1"/>
                      <w:szCs w:val="21"/>
                      <w:highlight w:val="none"/>
                      <w:u w:val="none"/>
                      <w:vertAlign w:val="superscript"/>
                      <w14:textFill>
                        <w14:solidFill>
                          <w14:schemeClr w14:val="tx1"/>
                        </w14:solidFill>
                      </w14:textFill>
                    </w:rPr>
                    <w:t>2</w:t>
                  </w:r>
                  <w:r>
                    <w:rPr>
                      <w:rFonts w:hint="default" w:ascii="Times New Roman" w:hAnsi="Times New Roman" w:eastAsia="仿宋" w:cs="Times New Roman"/>
                      <w:bCs/>
                      <w:color w:val="000000" w:themeColor="text1"/>
                      <w:szCs w:val="21"/>
                      <w:highlight w:val="none"/>
                      <w:u w:val="none"/>
                      <w:lang w:eastAsia="zh-CN"/>
                      <w14:textFill>
                        <w14:solidFill>
                          <w14:schemeClr w14:val="tx1"/>
                        </w14:solidFill>
                      </w14:textFill>
                    </w:rPr>
                    <w:t>；主要为人员办公</w:t>
                  </w:r>
                  <w:r>
                    <w:rPr>
                      <w:rFonts w:hint="eastAsia" w:ascii="Times New Roman" w:hAnsi="Times New Roman" w:eastAsia="仿宋" w:cs="Times New Roman"/>
                      <w:bCs/>
                      <w:color w:val="000000" w:themeColor="text1"/>
                      <w:szCs w:val="21"/>
                      <w:highlight w:val="none"/>
                      <w:u w:val="none"/>
                      <w:lang w:eastAsia="zh-CN"/>
                      <w14:textFill>
                        <w14:solidFill>
                          <w14:schemeClr w14:val="tx1"/>
                        </w14:solidFill>
                      </w14:textFill>
                    </w:rPr>
                    <w:t>、</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控制生产</w:t>
                  </w:r>
                  <w:r>
                    <w:rPr>
                      <w:rFonts w:hint="default" w:ascii="Times New Roman" w:hAnsi="Times New Roman" w:eastAsia="仿宋" w:cs="Times New Roman"/>
                      <w:bCs/>
                      <w:color w:val="000000" w:themeColor="text1"/>
                      <w:szCs w:val="21"/>
                      <w:highlight w:val="none"/>
                      <w:u w:val="none"/>
                      <w:lang w:eastAsia="zh-CN"/>
                      <w14:textFill>
                        <w14:solidFill>
                          <w14:schemeClr w14:val="tx1"/>
                        </w14:solidFill>
                      </w14:textFill>
                    </w:rPr>
                    <w:t>。</w:t>
                  </w:r>
                </w:p>
              </w:tc>
              <w:tc>
                <w:tcPr>
                  <w:tcW w:w="683" w:type="pct"/>
                  <w:tcBorders>
                    <w:tl2br w:val="nil"/>
                    <w:tr2bl w:val="nil"/>
                  </w:tcBorders>
                  <w:noWrap w:val="0"/>
                  <w:vAlign w:val="center"/>
                </w:tcPr>
                <w:p w14:paraId="0602B76D">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依托现有厂房</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改造。</w:t>
                  </w:r>
                </w:p>
              </w:tc>
            </w:tr>
            <w:tr w14:paraId="03334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5" w:type="pct"/>
                  <w:vMerge w:val="continue"/>
                  <w:tcBorders>
                    <w:tl2br w:val="nil"/>
                    <w:tr2bl w:val="nil"/>
                  </w:tcBorders>
                  <w:noWrap w:val="0"/>
                  <w:vAlign w:val="center"/>
                </w:tcPr>
                <w:p w14:paraId="26B16244">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p>
              </w:tc>
              <w:tc>
                <w:tcPr>
                  <w:tcW w:w="616" w:type="pct"/>
                  <w:tcBorders>
                    <w:tl2br w:val="nil"/>
                    <w:tr2bl w:val="nil"/>
                  </w:tcBorders>
                  <w:shd w:val="clear" w:color="auto" w:fill="auto"/>
                  <w:noWrap w:val="0"/>
                  <w:vAlign w:val="center"/>
                </w:tcPr>
                <w:p w14:paraId="47AFCDB4">
                  <w:pPr>
                    <w:adjustRightInd w:val="0"/>
                    <w:snapToGrid w:val="0"/>
                    <w:spacing w:before="48" w:beforeLines="20" w:after="48" w:afterLines="20"/>
                    <w:jc w:val="center"/>
                    <w:rPr>
                      <w:rFonts w:hint="eastAsia" w:ascii="Times New Roman" w:hAnsi="Times New Roman" w:eastAsia="仿宋" w:cs="Times New Roman"/>
                      <w:bCs/>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消防</w:t>
                  </w:r>
                </w:p>
              </w:tc>
              <w:tc>
                <w:tcPr>
                  <w:tcW w:w="3264" w:type="pct"/>
                  <w:tcBorders>
                    <w:tl2br w:val="nil"/>
                    <w:tr2bl w:val="nil"/>
                  </w:tcBorders>
                  <w:shd w:val="clear" w:color="auto" w:fill="auto"/>
                  <w:noWrap w:val="0"/>
                  <w:vAlign w:val="center"/>
                </w:tcPr>
                <w:p w14:paraId="66A782AC">
                  <w:pPr>
                    <w:adjustRightInd w:val="0"/>
                    <w:snapToGrid w:val="0"/>
                    <w:spacing w:before="48" w:beforeLines="20" w:after="48" w:afterLines="20"/>
                    <w:jc w:val="center"/>
                    <w:rPr>
                      <w:rFonts w:hint="default" w:ascii="Times New Roman" w:hAnsi="Times New Roman" w:eastAsia="仿宋" w:cs="Times New Roman"/>
                      <w:bCs/>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本项目</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配备灭火器、消防沙、铁、防护面罩和口罩等消防应急器材</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，消防废水依托鸡东县顺发米业有限公司现有地下水井。</w:t>
                  </w:r>
                </w:p>
              </w:tc>
              <w:tc>
                <w:tcPr>
                  <w:tcW w:w="683" w:type="pct"/>
                  <w:tcBorders>
                    <w:tl2br w:val="nil"/>
                    <w:tr2bl w:val="nil"/>
                  </w:tcBorders>
                  <w:shd w:val="clear" w:color="auto" w:fill="auto"/>
                  <w:noWrap w:val="0"/>
                  <w:vAlign w:val="center"/>
                </w:tcPr>
                <w:p w14:paraId="61114347">
                  <w:pPr>
                    <w:adjustRightInd w:val="0"/>
                    <w:snapToGrid w:val="0"/>
                    <w:spacing w:before="48" w:beforeLines="20" w:after="48" w:afterLines="20"/>
                    <w:jc w:val="center"/>
                    <w:rPr>
                      <w:rFonts w:hint="default" w:ascii="Times New Roman" w:hAnsi="Times New Roman" w:eastAsia="仿宋" w:cs="Times New Roman"/>
                      <w:bCs/>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依托现有</w:t>
                  </w:r>
                </w:p>
              </w:tc>
            </w:tr>
            <w:tr w14:paraId="3C6A6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5" w:type="pct"/>
                  <w:vMerge w:val="continue"/>
                  <w:tcBorders>
                    <w:tl2br w:val="nil"/>
                    <w:tr2bl w:val="nil"/>
                  </w:tcBorders>
                  <w:noWrap w:val="0"/>
                  <w:vAlign w:val="center"/>
                </w:tcPr>
                <w:p w14:paraId="5085DEA2">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p>
              </w:tc>
              <w:tc>
                <w:tcPr>
                  <w:tcW w:w="616" w:type="pct"/>
                  <w:tcBorders>
                    <w:tl2br w:val="nil"/>
                    <w:tr2bl w:val="nil"/>
                  </w:tcBorders>
                  <w:noWrap w:val="0"/>
                  <w:vAlign w:val="center"/>
                </w:tcPr>
                <w:p w14:paraId="4057CC5E">
                  <w:pPr>
                    <w:adjustRightInd w:val="0"/>
                    <w:snapToGrid w:val="0"/>
                    <w:spacing w:before="48" w:beforeLines="20" w:after="48" w:afterLines="20"/>
                    <w:jc w:val="cente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雨水</w:t>
                  </w:r>
                </w:p>
              </w:tc>
              <w:tc>
                <w:tcPr>
                  <w:tcW w:w="3264" w:type="pct"/>
                  <w:tcBorders>
                    <w:tl2br w:val="nil"/>
                    <w:tr2bl w:val="nil"/>
                  </w:tcBorders>
                  <w:noWrap w:val="0"/>
                  <w:vAlign w:val="center"/>
                </w:tcPr>
                <w:p w14:paraId="62EEB540">
                  <w:pPr>
                    <w:adjustRightInd w:val="0"/>
                    <w:snapToGrid w:val="0"/>
                    <w:spacing w:before="48" w:beforeLines="20" w:after="48" w:afterLines="20"/>
                    <w:jc w:val="cente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本项目租赁鸡东县顺发米业有限公司现有</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闲置</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库房</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用地</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，雨水依托现有雨水排水沟排放。</w:t>
                  </w:r>
                </w:p>
              </w:tc>
              <w:tc>
                <w:tcPr>
                  <w:tcW w:w="683" w:type="pct"/>
                  <w:tcBorders>
                    <w:tl2br w:val="nil"/>
                    <w:tr2bl w:val="nil"/>
                  </w:tcBorders>
                  <w:noWrap w:val="0"/>
                  <w:vAlign w:val="center"/>
                </w:tcPr>
                <w:p w14:paraId="63E9C78C">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依托现有</w:t>
                  </w:r>
                </w:p>
              </w:tc>
            </w:tr>
            <w:tr w14:paraId="61F5E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5" w:type="pct"/>
                  <w:vMerge w:val="restart"/>
                  <w:tcBorders>
                    <w:tl2br w:val="nil"/>
                    <w:tr2bl w:val="nil"/>
                  </w:tcBorders>
                  <w:noWrap w:val="0"/>
                  <w:vAlign w:val="center"/>
                </w:tcPr>
                <w:p w14:paraId="66BA0B4B">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r>
                    <w:rPr>
                      <w:rFonts w:hint="default" w:ascii="Times New Roman" w:hAnsi="Times New Roman" w:eastAsia="仿宋" w:cs="Times New Roman"/>
                      <w:bCs/>
                      <w:color w:val="000000" w:themeColor="text1"/>
                      <w:szCs w:val="21"/>
                      <w:highlight w:val="none"/>
                      <w:u w:val="none"/>
                      <w14:textFill>
                        <w14:solidFill>
                          <w14:schemeClr w14:val="tx1"/>
                        </w14:solidFill>
                      </w14:textFill>
                    </w:rPr>
                    <w:t>公用工程</w:t>
                  </w:r>
                </w:p>
              </w:tc>
              <w:tc>
                <w:tcPr>
                  <w:tcW w:w="616" w:type="pct"/>
                  <w:tcBorders>
                    <w:tl2br w:val="nil"/>
                    <w:tr2bl w:val="nil"/>
                  </w:tcBorders>
                  <w:noWrap w:val="0"/>
                  <w:vAlign w:val="center"/>
                </w:tcPr>
                <w:p w14:paraId="21C308BD">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eastAsia="zh-CN"/>
                      <w14:textFill>
                        <w14:solidFill>
                          <w14:schemeClr w14:val="tx1"/>
                        </w14:solidFill>
                      </w14:textFill>
                    </w:rPr>
                    <w:t>给水</w:t>
                  </w:r>
                </w:p>
              </w:tc>
              <w:tc>
                <w:tcPr>
                  <w:tcW w:w="3264" w:type="pct"/>
                  <w:tcBorders>
                    <w:tl2br w:val="nil"/>
                    <w:tr2bl w:val="nil"/>
                  </w:tcBorders>
                  <w:noWrap w:val="0"/>
                  <w:vAlign w:val="center"/>
                </w:tcPr>
                <w:p w14:paraId="11B94B52">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饮用水采取外购桶装水，生产不需用水。</w:t>
                  </w:r>
                </w:p>
              </w:tc>
              <w:tc>
                <w:tcPr>
                  <w:tcW w:w="683" w:type="pct"/>
                  <w:tcBorders>
                    <w:tl2br w:val="nil"/>
                    <w:tr2bl w:val="nil"/>
                  </w:tcBorders>
                  <w:noWrap w:val="0"/>
                  <w:vAlign w:val="center"/>
                </w:tcPr>
                <w:p w14:paraId="344975FA">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eastAsia" w:eastAsia="仿宋" w:cs="Times New Roman"/>
                      <w:bCs/>
                      <w:color w:val="000000" w:themeColor="text1"/>
                      <w:szCs w:val="21"/>
                      <w:highlight w:val="none"/>
                      <w:u w:val="none"/>
                      <w:lang w:val="en-US" w:eastAsia="zh-CN"/>
                      <w14:textFill>
                        <w14:solidFill>
                          <w14:schemeClr w14:val="tx1"/>
                        </w14:solidFill>
                      </w14:textFill>
                    </w:rPr>
                    <w:t>/</w:t>
                  </w:r>
                </w:p>
              </w:tc>
            </w:tr>
            <w:tr w14:paraId="6E2DD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5" w:type="pct"/>
                  <w:vMerge w:val="continue"/>
                  <w:tcBorders>
                    <w:tl2br w:val="nil"/>
                    <w:tr2bl w:val="nil"/>
                  </w:tcBorders>
                  <w:noWrap w:val="0"/>
                  <w:vAlign w:val="center"/>
                </w:tcPr>
                <w:p w14:paraId="40D5B6FF">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p>
              </w:tc>
              <w:tc>
                <w:tcPr>
                  <w:tcW w:w="616" w:type="pct"/>
                  <w:tcBorders>
                    <w:tl2br w:val="nil"/>
                    <w:tr2bl w:val="nil"/>
                  </w:tcBorders>
                  <w:noWrap w:val="0"/>
                  <w:vAlign w:val="center"/>
                </w:tcPr>
                <w:p w14:paraId="074DCDBE">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r>
                    <w:rPr>
                      <w:rFonts w:hint="default" w:ascii="Times New Roman" w:hAnsi="Times New Roman" w:eastAsia="仿宋" w:cs="Times New Roman"/>
                      <w:bCs/>
                      <w:color w:val="000000" w:themeColor="text1"/>
                      <w:szCs w:val="21"/>
                      <w:highlight w:val="none"/>
                      <w:u w:val="none"/>
                      <w14:textFill>
                        <w14:solidFill>
                          <w14:schemeClr w14:val="tx1"/>
                        </w14:solidFill>
                      </w14:textFill>
                    </w:rPr>
                    <w:t>供电</w:t>
                  </w:r>
                </w:p>
              </w:tc>
              <w:tc>
                <w:tcPr>
                  <w:tcW w:w="3264" w:type="pct"/>
                  <w:tcBorders>
                    <w:tl2br w:val="nil"/>
                    <w:tr2bl w:val="nil"/>
                  </w:tcBorders>
                  <w:noWrap w:val="0"/>
                  <w:vAlign w:val="center"/>
                </w:tcPr>
                <w:p w14:paraId="1FB0AA08">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r>
                    <w:rPr>
                      <w:rFonts w:hint="default" w:ascii="Times New Roman" w:hAnsi="Times New Roman" w:eastAsia="仿宋" w:cs="Times New Roman"/>
                      <w:bCs/>
                      <w:color w:val="000000" w:themeColor="text1"/>
                      <w:szCs w:val="21"/>
                      <w:highlight w:val="none"/>
                      <w:u w:val="none"/>
                      <w14:textFill>
                        <w14:solidFill>
                          <w14:schemeClr w14:val="tx1"/>
                        </w14:solidFill>
                      </w14:textFill>
                    </w:rPr>
                    <w:t>项目用电主要依托当地电网</w:t>
                  </w:r>
                </w:p>
              </w:tc>
              <w:tc>
                <w:tcPr>
                  <w:tcW w:w="683" w:type="pct"/>
                  <w:tcBorders>
                    <w:tl2br w:val="nil"/>
                    <w:tr2bl w:val="nil"/>
                  </w:tcBorders>
                  <w:noWrap w:val="0"/>
                  <w:vAlign w:val="center"/>
                </w:tcPr>
                <w:p w14:paraId="5F0594FB">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依托现有</w:t>
                  </w:r>
                </w:p>
              </w:tc>
            </w:tr>
            <w:tr w14:paraId="58FA7B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5" w:type="pct"/>
                  <w:vMerge w:val="restart"/>
                  <w:tcBorders>
                    <w:tl2br w:val="nil"/>
                    <w:tr2bl w:val="nil"/>
                  </w:tcBorders>
                  <w:noWrap w:val="0"/>
                  <w:vAlign w:val="center"/>
                </w:tcPr>
                <w:p w14:paraId="032D9195">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r>
                    <w:rPr>
                      <w:rFonts w:hint="default" w:ascii="Times New Roman" w:hAnsi="Times New Roman" w:eastAsia="仿宋" w:cs="Times New Roman"/>
                      <w:bCs/>
                      <w:color w:val="000000" w:themeColor="text1"/>
                      <w:szCs w:val="21"/>
                      <w:highlight w:val="none"/>
                      <w:u w:val="none"/>
                      <w14:textFill>
                        <w14:solidFill>
                          <w14:schemeClr w14:val="tx1"/>
                        </w14:solidFill>
                      </w14:textFill>
                    </w:rPr>
                    <w:t>环保工程</w:t>
                  </w:r>
                </w:p>
              </w:tc>
              <w:tc>
                <w:tcPr>
                  <w:tcW w:w="616" w:type="pct"/>
                  <w:tcBorders>
                    <w:tl2br w:val="nil"/>
                    <w:tr2bl w:val="nil"/>
                  </w:tcBorders>
                  <w:noWrap w:val="0"/>
                  <w:vAlign w:val="center"/>
                </w:tcPr>
                <w:p w14:paraId="4AA1CE9A">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r>
                    <w:rPr>
                      <w:rFonts w:hint="default" w:ascii="Times New Roman" w:hAnsi="Times New Roman" w:eastAsia="仿宋" w:cs="Times New Roman"/>
                      <w:bCs/>
                      <w:color w:val="000000" w:themeColor="text1"/>
                      <w:szCs w:val="21"/>
                      <w:highlight w:val="none"/>
                      <w:u w:val="none"/>
                      <w14:textFill>
                        <w14:solidFill>
                          <w14:schemeClr w14:val="tx1"/>
                        </w14:solidFill>
                      </w14:textFill>
                    </w:rPr>
                    <w:t>废水</w:t>
                  </w:r>
                </w:p>
              </w:tc>
              <w:tc>
                <w:tcPr>
                  <w:tcW w:w="3264" w:type="pct"/>
                  <w:tcBorders>
                    <w:tl2br w:val="nil"/>
                    <w:tr2bl w:val="nil"/>
                  </w:tcBorders>
                  <w:noWrap w:val="0"/>
                  <w:vAlign w:val="center"/>
                </w:tcPr>
                <w:p w14:paraId="512383BF">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项目无生产废水产生，主要是</w:t>
                  </w:r>
                  <w:r>
                    <w:rPr>
                      <w:rFonts w:hint="default" w:ascii="Times New Roman" w:hAnsi="Times New Roman" w:eastAsia="仿宋" w:cs="Times New Roman"/>
                      <w:bCs/>
                      <w:color w:val="000000" w:themeColor="text1"/>
                      <w:szCs w:val="21"/>
                      <w:highlight w:val="none"/>
                      <w:u w:val="none"/>
                      <w14:textFill>
                        <w14:solidFill>
                          <w14:schemeClr w14:val="tx1"/>
                        </w14:solidFill>
                      </w14:textFill>
                    </w:rPr>
                    <w:t>生活污水</w:t>
                  </w:r>
                  <w:r>
                    <w:rPr>
                      <w:rFonts w:hint="default" w:ascii="Times New Roman" w:hAnsi="Times New Roman" w:eastAsia="仿宋" w:cs="Times New Roman"/>
                      <w:bCs/>
                      <w:color w:val="000000" w:themeColor="text1"/>
                      <w:szCs w:val="21"/>
                      <w:highlight w:val="none"/>
                      <w:u w:val="none"/>
                      <w:lang w:eastAsia="zh-CN"/>
                      <w14:textFill>
                        <w14:solidFill>
                          <w14:schemeClr w14:val="tx1"/>
                        </w14:solidFill>
                      </w14:textFill>
                    </w:rPr>
                    <w:t>，</w:t>
                  </w:r>
                  <w:r>
                    <w:rPr>
                      <w:rFonts w:hint="default" w:ascii="Times New Roman" w:hAnsi="Times New Roman" w:eastAsia="仿宋" w:cs="Times New Roman"/>
                      <w:bCs/>
                      <w:color w:val="000000" w:themeColor="text1"/>
                      <w:szCs w:val="21"/>
                      <w:highlight w:val="none"/>
                      <w:u w:val="none"/>
                      <w14:textFill>
                        <w14:solidFill>
                          <w14:schemeClr w14:val="tx1"/>
                        </w14:solidFill>
                      </w14:textFill>
                    </w:rPr>
                    <w:t>经</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防渗旱厕，</w:t>
                  </w:r>
                  <w:r>
                    <w:rPr>
                      <w:rFonts w:hint="eastAsia" w:eastAsia="仿宋" w:cs="Times New Roman"/>
                      <w:bCs/>
                      <w:color w:val="000000" w:themeColor="text1"/>
                      <w:szCs w:val="21"/>
                      <w:highlight w:val="none"/>
                      <w:u w:val="none"/>
                      <w:lang w:val="en-US" w:eastAsia="zh-CN"/>
                      <w14:textFill>
                        <w14:solidFill>
                          <w14:schemeClr w14:val="tx1"/>
                        </w14:solidFill>
                      </w14:textFill>
                    </w:rPr>
                    <w:t>委托市政部门</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定期清掏，外运堆肥。</w:t>
                  </w:r>
                </w:p>
              </w:tc>
              <w:tc>
                <w:tcPr>
                  <w:tcW w:w="683" w:type="pct"/>
                  <w:tcBorders>
                    <w:tl2br w:val="nil"/>
                    <w:tr2bl w:val="nil"/>
                  </w:tcBorders>
                  <w:noWrap w:val="0"/>
                  <w:vAlign w:val="center"/>
                </w:tcPr>
                <w:p w14:paraId="13674661">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依托现有</w:t>
                  </w:r>
                </w:p>
              </w:tc>
            </w:tr>
            <w:tr w14:paraId="75B11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5" w:type="pct"/>
                  <w:vMerge w:val="continue"/>
                  <w:tcBorders>
                    <w:tl2br w:val="nil"/>
                    <w:tr2bl w:val="nil"/>
                  </w:tcBorders>
                  <w:noWrap w:val="0"/>
                  <w:vAlign w:val="center"/>
                </w:tcPr>
                <w:p w14:paraId="4D9CEE8C">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p>
              </w:tc>
              <w:tc>
                <w:tcPr>
                  <w:tcW w:w="616" w:type="pct"/>
                  <w:tcBorders>
                    <w:tl2br w:val="nil"/>
                    <w:tr2bl w:val="nil"/>
                  </w:tcBorders>
                  <w:noWrap w:val="0"/>
                  <w:vAlign w:val="center"/>
                </w:tcPr>
                <w:p w14:paraId="4DD614F8">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r>
                    <w:rPr>
                      <w:rFonts w:hint="default" w:ascii="Times New Roman" w:hAnsi="Times New Roman" w:eastAsia="仿宋" w:cs="Times New Roman"/>
                      <w:bCs/>
                      <w:color w:val="000000" w:themeColor="text1"/>
                      <w:szCs w:val="21"/>
                      <w:highlight w:val="none"/>
                      <w:u w:val="none"/>
                      <w14:textFill>
                        <w14:solidFill>
                          <w14:schemeClr w14:val="tx1"/>
                        </w14:solidFill>
                      </w14:textFill>
                    </w:rPr>
                    <w:t>废气</w:t>
                  </w:r>
                </w:p>
              </w:tc>
              <w:tc>
                <w:tcPr>
                  <w:tcW w:w="3264" w:type="pct"/>
                  <w:tcBorders>
                    <w:tl2br w:val="nil"/>
                    <w:tr2bl w:val="nil"/>
                  </w:tcBorders>
                  <w:noWrap w:val="0"/>
                  <w:vAlign w:val="center"/>
                </w:tcPr>
                <w:p w14:paraId="7AA94186">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生产在封闭式车间内进行，制粒工序产生的</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粉尘采取集气罩（</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2m×1.8m的集气罩、收集效率95%</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进行收集，收集效率为95%，收集后经布袋</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除尘器</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处理后经</w:t>
                  </w:r>
                  <w:r>
                    <w:rPr>
                      <w:rFonts w:hint="eastAsia" w:eastAsia="仿宋" w:cs="Times New Roman"/>
                      <w:bCs/>
                      <w:color w:val="000000" w:themeColor="text1"/>
                      <w:szCs w:val="21"/>
                      <w:highlight w:val="none"/>
                      <w:u w:val="none"/>
                      <w:lang w:val="en-US" w:eastAsia="zh-CN"/>
                      <w14:textFill>
                        <w14:solidFill>
                          <w14:schemeClr w14:val="tx1"/>
                        </w14:solidFill>
                      </w14:textFill>
                    </w:rPr>
                    <w:t>16m</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高排气筒（DA001）排放</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制粒工序间物料运输采用封闭式的输送带输送转运，可控制无组织粉尘的排放量</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。本项目仅租赁现有闲置库房，不涉及绿化措施。</w:t>
                  </w:r>
                </w:p>
              </w:tc>
              <w:tc>
                <w:tcPr>
                  <w:tcW w:w="683" w:type="pct"/>
                  <w:tcBorders>
                    <w:tl2br w:val="nil"/>
                    <w:tr2bl w:val="nil"/>
                  </w:tcBorders>
                  <w:noWrap w:val="0"/>
                  <w:vAlign w:val="center"/>
                </w:tcPr>
                <w:p w14:paraId="04C46603">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新建</w:t>
                  </w:r>
                </w:p>
              </w:tc>
            </w:tr>
            <w:tr w14:paraId="13DA2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5" w:type="pct"/>
                  <w:vMerge w:val="continue"/>
                  <w:tcBorders>
                    <w:tl2br w:val="nil"/>
                    <w:tr2bl w:val="nil"/>
                  </w:tcBorders>
                  <w:noWrap w:val="0"/>
                  <w:vAlign w:val="center"/>
                </w:tcPr>
                <w:p w14:paraId="6F054849">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p>
              </w:tc>
              <w:tc>
                <w:tcPr>
                  <w:tcW w:w="616" w:type="pct"/>
                  <w:tcBorders>
                    <w:tl2br w:val="nil"/>
                    <w:tr2bl w:val="nil"/>
                  </w:tcBorders>
                  <w:noWrap w:val="0"/>
                  <w:vAlign w:val="center"/>
                </w:tcPr>
                <w:p w14:paraId="58423F59">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r>
                    <w:rPr>
                      <w:rFonts w:hint="default" w:ascii="Times New Roman" w:hAnsi="Times New Roman" w:eastAsia="仿宋" w:cs="Times New Roman"/>
                      <w:bCs/>
                      <w:color w:val="000000" w:themeColor="text1"/>
                      <w:szCs w:val="21"/>
                      <w:highlight w:val="none"/>
                      <w:u w:val="none"/>
                      <w14:textFill>
                        <w14:solidFill>
                          <w14:schemeClr w14:val="tx1"/>
                        </w14:solidFill>
                      </w14:textFill>
                    </w:rPr>
                    <w:t>噪声</w:t>
                  </w:r>
                </w:p>
              </w:tc>
              <w:tc>
                <w:tcPr>
                  <w:tcW w:w="3264" w:type="pct"/>
                  <w:tcBorders>
                    <w:tl2br w:val="nil"/>
                    <w:tr2bl w:val="nil"/>
                  </w:tcBorders>
                  <w:noWrap w:val="0"/>
                  <w:vAlign w:val="center"/>
                </w:tcPr>
                <w:p w14:paraId="7119C766">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r>
                    <w:rPr>
                      <w:rFonts w:hint="default" w:ascii="Times New Roman" w:hAnsi="Times New Roman" w:eastAsia="仿宋" w:cs="Times New Roman"/>
                      <w:bCs/>
                      <w:color w:val="000000" w:themeColor="text1"/>
                      <w:szCs w:val="21"/>
                      <w:highlight w:val="none"/>
                      <w:u w:val="none"/>
                      <w14:textFill>
                        <w14:solidFill>
                          <w14:schemeClr w14:val="tx1"/>
                        </w14:solidFill>
                      </w14:textFill>
                    </w:rPr>
                    <w:t>选用低噪声生产设备，采取隔声间、减振、隔声等治理措施</w:t>
                  </w:r>
                </w:p>
              </w:tc>
              <w:tc>
                <w:tcPr>
                  <w:tcW w:w="683" w:type="pct"/>
                  <w:tcBorders>
                    <w:tl2br w:val="nil"/>
                    <w:tr2bl w:val="nil"/>
                  </w:tcBorders>
                  <w:noWrap w:val="0"/>
                  <w:vAlign w:val="center"/>
                </w:tcPr>
                <w:p w14:paraId="20BD1610">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新建</w:t>
                  </w:r>
                </w:p>
              </w:tc>
            </w:tr>
            <w:tr w14:paraId="7A426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5" w:type="pct"/>
                  <w:vMerge w:val="continue"/>
                  <w:tcBorders>
                    <w:tl2br w:val="nil"/>
                    <w:tr2bl w:val="nil"/>
                  </w:tcBorders>
                  <w:noWrap w:val="0"/>
                  <w:vAlign w:val="center"/>
                </w:tcPr>
                <w:p w14:paraId="13CF52D1">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p>
              </w:tc>
              <w:tc>
                <w:tcPr>
                  <w:tcW w:w="616" w:type="pct"/>
                  <w:tcBorders>
                    <w:tl2br w:val="nil"/>
                    <w:tr2bl w:val="nil"/>
                  </w:tcBorders>
                  <w:noWrap w:val="0"/>
                  <w:vAlign w:val="center"/>
                </w:tcPr>
                <w:p w14:paraId="1680DDFF">
                  <w:pPr>
                    <w:keepNext w:val="0"/>
                    <w:keepLines w:val="0"/>
                    <w:suppressLineNumbers w:val="0"/>
                    <w:spacing w:before="0" w:beforeAutospacing="0" w:after="0" w:afterAutospacing="0" w:line="240" w:lineRule="auto"/>
                    <w:ind w:right="0"/>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r>
                    <w:rPr>
                      <w:rFonts w:hint="default" w:ascii="Times New Roman" w:hAnsi="Times New Roman" w:eastAsia="仿宋" w:cs="Times New Roman"/>
                      <w:bCs/>
                      <w:color w:val="000000" w:themeColor="text1"/>
                      <w:szCs w:val="21"/>
                      <w:highlight w:val="none"/>
                      <w:u w:val="none"/>
                      <w14:textFill>
                        <w14:solidFill>
                          <w14:schemeClr w14:val="tx1"/>
                        </w14:solidFill>
                      </w14:textFill>
                    </w:rPr>
                    <w:t>固废</w:t>
                  </w:r>
                </w:p>
              </w:tc>
              <w:tc>
                <w:tcPr>
                  <w:tcW w:w="3264" w:type="pct"/>
                  <w:tcBorders>
                    <w:tl2br w:val="nil"/>
                    <w:tr2bl w:val="nil"/>
                  </w:tcBorders>
                  <w:noWrap w:val="0"/>
                  <w:vAlign w:val="center"/>
                </w:tcPr>
                <w:p w14:paraId="72FA3747">
                  <w:pPr>
                    <w:keepNext w:val="0"/>
                    <w:keepLines w:val="0"/>
                    <w:suppressLineNumbers w:val="0"/>
                    <w:spacing w:before="0" w:beforeAutospacing="0" w:after="0" w:afterAutospacing="0" w:line="240" w:lineRule="auto"/>
                    <w:ind w:left="0" w:right="0" w:firstLine="420" w:firstLineChars="200"/>
                    <w:jc w:val="both"/>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14:textFill>
                        <w14:solidFill>
                          <w14:schemeClr w14:val="tx1"/>
                        </w14:solidFill>
                      </w14:textFill>
                    </w:rPr>
                    <w:t>本项目只需要对租赁的厂房进行设备安装，将厂房改造成封闭式厂房，设置排气筒，安装环保设施等，无需开挖、清场、整地等工程</w:t>
                  </w:r>
                  <w:r>
                    <w:rPr>
                      <w:rFonts w:hint="eastAsia" w:ascii="Times New Roman" w:hAnsi="Times New Roman" w:eastAsia="仿宋" w:cs="Times New Roman"/>
                      <w:bCs/>
                      <w:color w:val="000000" w:themeColor="text1"/>
                      <w:szCs w:val="21"/>
                      <w:highlight w:val="none"/>
                      <w:u w:val="none"/>
                      <w:lang w:eastAsia="zh-CN"/>
                      <w14:textFill>
                        <w14:solidFill>
                          <w14:schemeClr w14:val="tx1"/>
                        </w14:solidFill>
                      </w14:textFill>
                    </w:rPr>
                    <w:t>，</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无建筑垃圾产生，固废主要为运营期固废。</w:t>
                  </w:r>
                </w:p>
                <w:p w14:paraId="63F5D9C2">
                  <w:pPr>
                    <w:keepNext w:val="0"/>
                    <w:keepLines w:val="0"/>
                    <w:suppressLineNumbers w:val="0"/>
                    <w:spacing w:before="0" w:beforeAutospacing="0" w:after="0" w:afterAutospacing="0" w:line="240" w:lineRule="auto"/>
                    <w:ind w:left="0" w:right="0" w:firstLine="420" w:firstLineChars="200"/>
                    <w:jc w:val="both"/>
                    <w:rPr>
                      <w:rFonts w:hint="default" w:ascii="Times New Roman" w:hAnsi="Times New Roman" w:eastAsia="仿宋" w:cs="Times New Roman"/>
                      <w:bCs/>
                      <w:color w:val="000000" w:themeColor="text1"/>
                      <w:szCs w:val="21"/>
                      <w:highlight w:val="none"/>
                      <w:u w:val="none"/>
                      <w14:textFill>
                        <w14:solidFill>
                          <w14:schemeClr w14:val="tx1"/>
                        </w14:solidFill>
                      </w14:textFill>
                    </w:rPr>
                  </w:pP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运营期</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固体废物主要有收集粉尘、以及生活垃圾；其中，收集粉尘后回用于生产；生活垃圾收集后交由环卫部门统一清运；设备维修产生的废润滑油</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（废润滑油）</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，属于危险废物，属于危险废物，</w:t>
                  </w:r>
                  <w:r>
                    <w:rPr>
                      <w:rFonts w:hint="default" w:ascii="Times New Roman" w:hAnsi="Times New Roman" w:eastAsia="仿宋" w:cs="Times New Roman"/>
                      <w:bCs/>
                      <w:color w:val="000000" w:themeColor="text1"/>
                      <w:szCs w:val="21"/>
                      <w:highlight w:val="none"/>
                      <w:u w:val="none"/>
                      <w14:textFill>
                        <w14:solidFill>
                          <w14:schemeClr w14:val="tx1"/>
                        </w14:solidFill>
                      </w14:textFill>
                    </w:rPr>
                    <w:t>产生量约</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0.2</w:t>
                  </w:r>
                  <w:r>
                    <w:rPr>
                      <w:rFonts w:hint="default" w:ascii="Times New Roman" w:hAnsi="Times New Roman" w:eastAsia="仿宋" w:cs="Times New Roman"/>
                      <w:bCs/>
                      <w:color w:val="000000" w:themeColor="text1"/>
                      <w:szCs w:val="21"/>
                      <w:highlight w:val="none"/>
                      <w:u w:val="none"/>
                      <w14:textFill>
                        <w14:solidFill>
                          <w14:schemeClr w14:val="tx1"/>
                        </w14:solidFill>
                      </w14:textFill>
                    </w:rPr>
                    <w:t>t/a，在每年设备定期维护检修时，用专用塑料桶将设备内润滑油接出，更换新润滑油</w:t>
                  </w:r>
                  <w:r>
                    <w:rPr>
                      <w:rFonts w:hint="eastAsia" w:ascii="Times New Roman" w:hAnsi="Times New Roman" w:eastAsia="仿宋" w:cs="Times New Roman"/>
                      <w:bCs/>
                      <w:color w:val="000000" w:themeColor="text1"/>
                      <w:szCs w:val="21"/>
                      <w:highlight w:val="none"/>
                      <w:u w:val="none"/>
                      <w:lang w:eastAsia="zh-CN"/>
                      <w14:textFill>
                        <w14:solidFill>
                          <w14:schemeClr w14:val="tx1"/>
                        </w14:solidFill>
                      </w14:textFill>
                    </w:rPr>
                    <w:t>（机油）</w:t>
                  </w:r>
                  <w:r>
                    <w:rPr>
                      <w:rFonts w:hint="default" w:ascii="Times New Roman" w:hAnsi="Times New Roman" w:eastAsia="仿宋" w:cs="Times New Roman"/>
                      <w:bCs/>
                      <w:color w:val="000000" w:themeColor="text1"/>
                      <w:szCs w:val="21"/>
                      <w:highlight w:val="none"/>
                      <w:u w:val="none"/>
                      <w14:textFill>
                        <w14:solidFill>
                          <w14:schemeClr w14:val="tx1"/>
                        </w14:solidFill>
                      </w14:textFill>
                    </w:rPr>
                    <w:t>，</w:t>
                  </w:r>
                  <w:r>
                    <w:rPr>
                      <w:rFonts w:hint="eastAsia" w:ascii="Times New Roman" w:hAnsi="Times New Roman" w:eastAsia="仿宋" w:cs="Times New Roman"/>
                      <w:bCs/>
                      <w:color w:val="000000" w:themeColor="text1"/>
                      <w:szCs w:val="21"/>
                      <w:highlight w:val="none"/>
                      <w:u w:val="none"/>
                      <w:lang w:eastAsia="zh-CN"/>
                      <w14:textFill>
                        <w14:solidFill>
                          <w14:schemeClr w14:val="tx1"/>
                        </w14:solidFill>
                      </w14:textFill>
                    </w:rPr>
                    <w:t>废润滑油（废机油）</w:t>
                  </w:r>
                  <w:r>
                    <w:rPr>
                      <w:rFonts w:hint="default" w:ascii="Times New Roman" w:hAnsi="Times New Roman" w:eastAsia="仿宋" w:cs="Times New Roman"/>
                      <w:bCs/>
                      <w:color w:val="000000" w:themeColor="text1"/>
                      <w:szCs w:val="21"/>
                      <w:highlight w:val="none"/>
                      <w:u w:val="none"/>
                      <w14:textFill>
                        <w14:solidFill>
                          <w14:schemeClr w14:val="tx1"/>
                        </w14:solidFill>
                      </w14:textFill>
                    </w:rPr>
                    <w:t>暂存于危废暂存间内，</w:t>
                  </w:r>
                  <w:r>
                    <w:rPr>
                      <w:rFonts w:hint="eastAsia" w:eastAsia="仿宋" w:cs="Times New Roman"/>
                      <w:color w:val="000000" w:themeColor="text1"/>
                      <w:sz w:val="21"/>
                      <w:szCs w:val="21"/>
                      <w:highlight w:val="none"/>
                      <w:lang w:val="en-US" w:eastAsia="zh-CN"/>
                      <w14:textFill>
                        <w14:solidFill>
                          <w14:schemeClr w14:val="tx1"/>
                        </w14:solidFill>
                      </w14:textFill>
                    </w:rPr>
                    <w:t>最大暂存能力为5t，可满足暂存要求，</w:t>
                  </w:r>
                  <w:r>
                    <w:rPr>
                      <w:rFonts w:hint="default" w:ascii="Times New Roman" w:hAnsi="Times New Roman" w:eastAsia="仿宋" w:cs="Times New Roman"/>
                      <w:bCs/>
                      <w:color w:val="000000" w:themeColor="text1"/>
                      <w:szCs w:val="21"/>
                      <w:highlight w:val="none"/>
                      <w:u w:val="none"/>
                      <w14:textFill>
                        <w14:solidFill>
                          <w14:schemeClr w14:val="tx1"/>
                        </w14:solidFill>
                      </w14:textFill>
                    </w:rPr>
                    <w:t>定期交由有资质单位进行处置。</w:t>
                  </w:r>
                </w:p>
              </w:tc>
              <w:tc>
                <w:tcPr>
                  <w:tcW w:w="683" w:type="pct"/>
                  <w:tcBorders>
                    <w:tl2br w:val="nil"/>
                    <w:tr2bl w:val="nil"/>
                  </w:tcBorders>
                  <w:noWrap w:val="0"/>
                  <w:vAlign w:val="center"/>
                </w:tcPr>
                <w:p w14:paraId="6CD8D1B9">
                  <w:pPr>
                    <w:adjustRightInd w:val="0"/>
                    <w:snapToGrid w:val="0"/>
                    <w:spacing w:before="48" w:beforeLines="20" w:after="48" w:afterLines="20"/>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新建</w:t>
                  </w:r>
                </w:p>
              </w:tc>
            </w:tr>
          </w:tbl>
          <w:p w14:paraId="57D9B240">
            <w:pPr>
              <w:adjustRightInd w:val="0"/>
              <w:snapToGrid w:val="0"/>
              <w:spacing w:before="120" w:beforeLines="50" w:line="360" w:lineRule="auto"/>
              <w:ind w:firstLine="482" w:firstLineChars="200"/>
              <w:jc w:val="left"/>
              <w:rPr>
                <w:rFonts w:hint="default" w:ascii="Times New Roman" w:hAnsi="Times New Roman" w:eastAsia="仿宋" w:cs="Times New Roman"/>
                <w:b/>
                <w:color w:val="000000" w:themeColor="text1"/>
                <w:sz w:val="24"/>
                <w:highlight w:val="none"/>
                <w:u w:val="none"/>
                <w14:textFill>
                  <w14:solidFill>
                    <w14:schemeClr w14:val="tx1"/>
                  </w14:solidFill>
                </w14:textFill>
              </w:rPr>
            </w:pPr>
            <w:r>
              <w:rPr>
                <w:rFonts w:hint="default" w:ascii="Times New Roman" w:hAnsi="Times New Roman" w:eastAsia="仿宋" w:cs="Times New Roman"/>
                <w:b/>
                <w:color w:val="000000" w:themeColor="text1"/>
                <w:sz w:val="24"/>
                <w:highlight w:val="none"/>
                <w:u w:val="none"/>
                <w14:textFill>
                  <w14:solidFill>
                    <w14:schemeClr w14:val="tx1"/>
                  </w14:solidFill>
                </w14:textFill>
              </w:rPr>
              <w:t>2、</w:t>
            </w:r>
            <w:r>
              <w:rPr>
                <w:rFonts w:hint="default" w:ascii="Times New Roman" w:hAnsi="Times New Roman" w:eastAsia="仿宋" w:cs="Times New Roman"/>
                <w:b/>
                <w:color w:val="000000" w:themeColor="text1"/>
                <w:sz w:val="24"/>
                <w:highlight w:val="none"/>
                <w:u w:val="none"/>
                <w:lang w:val="en-US" w:eastAsia="zh-CN"/>
                <w14:textFill>
                  <w14:solidFill>
                    <w14:schemeClr w14:val="tx1"/>
                  </w14:solidFill>
                </w14:textFill>
              </w:rPr>
              <w:t>建设</w:t>
            </w:r>
            <w:r>
              <w:rPr>
                <w:rFonts w:hint="default" w:ascii="Times New Roman" w:hAnsi="Times New Roman" w:eastAsia="仿宋" w:cs="Times New Roman"/>
                <w:b/>
                <w:color w:val="000000" w:themeColor="text1"/>
                <w:sz w:val="24"/>
                <w:highlight w:val="none"/>
                <w:u w:val="none"/>
                <w14:textFill>
                  <w14:solidFill>
                    <w14:schemeClr w14:val="tx1"/>
                  </w14:solidFill>
                </w14:textFill>
              </w:rPr>
              <w:t>项目主要生产设备</w:t>
            </w:r>
          </w:p>
          <w:p w14:paraId="3E240DC7">
            <w:pPr>
              <w:adjustRightInd w:val="0"/>
              <w:snapToGrid w:val="0"/>
              <w:spacing w:line="360" w:lineRule="auto"/>
              <w:ind w:firstLine="480" w:firstLineChars="200"/>
              <w:jc w:val="left"/>
              <w:rPr>
                <w:rFonts w:hint="default" w:ascii="Times New Roman" w:hAnsi="Times New Roman" w:eastAsia="仿宋" w:cs="Times New Roman"/>
                <w:b/>
                <w:color w:val="000000" w:themeColor="text1"/>
                <w:sz w:val="24"/>
                <w:highlight w:val="none"/>
                <w:u w:val="none"/>
                <w14:textFill>
                  <w14:solidFill>
                    <w14:schemeClr w14:val="tx1"/>
                  </w14:solidFill>
                </w14:textFill>
              </w:rPr>
            </w:pP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建设</w:t>
            </w:r>
            <w:r>
              <w:rPr>
                <w:rFonts w:hint="default" w:ascii="Times New Roman" w:hAnsi="Times New Roman" w:eastAsia="仿宋" w:cs="Times New Roman"/>
                <w:bCs/>
                <w:color w:val="000000" w:themeColor="text1"/>
                <w:sz w:val="24"/>
                <w:highlight w:val="none"/>
                <w:u w:val="none"/>
                <w14:textFill>
                  <w14:solidFill>
                    <w14:schemeClr w14:val="tx1"/>
                  </w14:solidFill>
                </w14:textFill>
              </w:rPr>
              <w:t>项目主要生产设备详见下表。</w:t>
            </w:r>
          </w:p>
          <w:p w14:paraId="1D8D11FF">
            <w:pPr>
              <w:adjustRightInd w:val="0"/>
              <w:snapToGrid w:val="0"/>
              <w:spacing w:line="240" w:lineRule="auto"/>
              <w:jc w:val="cente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14:textFill>
                  <w14:solidFill>
                    <w14:schemeClr w14:val="tx1"/>
                  </w14:solidFill>
                </w14:textFill>
              </w:rPr>
              <w:t>表2-2</w:t>
            </w: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建设</w:t>
            </w:r>
            <w:r>
              <w:rPr>
                <w:rFonts w:hint="default" w:ascii="Times New Roman" w:hAnsi="Times New Roman" w:eastAsia="仿宋" w:cs="Times New Roman"/>
                <w:b/>
                <w:color w:val="000000" w:themeColor="text1"/>
                <w:sz w:val="21"/>
                <w:szCs w:val="21"/>
                <w:highlight w:val="none"/>
                <w:u w:val="none"/>
                <w14:textFill>
                  <w14:solidFill>
                    <w14:schemeClr w14:val="tx1"/>
                  </w14:solidFill>
                </w14:textFill>
              </w:rPr>
              <w:t>项目主要生产设备</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57"/>
              <w:gridCol w:w="1437"/>
              <w:gridCol w:w="1532"/>
              <w:gridCol w:w="911"/>
              <w:gridCol w:w="910"/>
              <w:gridCol w:w="1831"/>
              <w:gridCol w:w="1108"/>
            </w:tblGrid>
            <w:tr w14:paraId="0A1B78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22" w:type="dxa"/>
                  <w:tcBorders>
                    <w:tl2br w:val="nil"/>
                    <w:tr2bl w:val="nil"/>
                  </w:tcBorders>
                  <w:shd w:val="solid" w:color="FFFFFF" w:fill="auto"/>
                  <w:noWrap w:val="0"/>
                  <w:vAlign w:val="center"/>
                </w:tcPr>
                <w:p w14:paraId="3A0CA743">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b/>
                      <w:bCs/>
                      <w:color w:val="000000" w:themeColor="text1"/>
                      <w:sz w:val="21"/>
                      <w:szCs w:val="21"/>
                      <w:highlight w:val="none"/>
                      <w:u w:val="none"/>
                      <w:lang w:eastAsia="zh-CN"/>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t>序号</w:t>
                  </w:r>
                </w:p>
              </w:tc>
              <w:tc>
                <w:tcPr>
                  <w:tcW w:w="1361" w:type="dxa"/>
                  <w:tcBorders>
                    <w:tl2br w:val="nil"/>
                    <w:tr2bl w:val="nil"/>
                  </w:tcBorders>
                  <w:shd w:val="solid" w:color="FFFFFF" w:fill="auto"/>
                  <w:noWrap w:val="0"/>
                  <w:vAlign w:val="center"/>
                </w:tcPr>
                <w:p w14:paraId="13AA7AC4">
                  <w:pPr>
                    <w:pStyle w:val="50"/>
                    <w:keepNext w:val="0"/>
                    <w:keepLines w:val="0"/>
                    <w:pageBreakBefore w:val="0"/>
                    <w:widowControl/>
                    <w:tabs>
                      <w:tab w:val="left" w:pos="752"/>
                      <w:tab w:val="center" w:pos="1104"/>
                    </w:tabs>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t>名称</w:t>
                  </w:r>
                </w:p>
              </w:tc>
              <w:tc>
                <w:tcPr>
                  <w:tcW w:w="1451" w:type="dxa"/>
                  <w:tcBorders>
                    <w:tl2br w:val="nil"/>
                    <w:tr2bl w:val="nil"/>
                  </w:tcBorders>
                  <w:shd w:val="solid" w:color="FFFFFF" w:fill="auto"/>
                  <w:noWrap w:val="0"/>
                  <w:vAlign w:val="center"/>
                </w:tcPr>
                <w:p w14:paraId="7AC899BB">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型号</w:t>
                  </w:r>
                </w:p>
              </w:tc>
              <w:tc>
                <w:tcPr>
                  <w:tcW w:w="863" w:type="dxa"/>
                  <w:tcBorders>
                    <w:tl2br w:val="nil"/>
                    <w:tr2bl w:val="nil"/>
                  </w:tcBorders>
                  <w:shd w:val="solid" w:color="FFFFFF" w:fill="auto"/>
                  <w:noWrap w:val="0"/>
                  <w:vAlign w:val="center"/>
                </w:tcPr>
                <w:p w14:paraId="1C49842A">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数量</w:t>
                  </w:r>
                </w:p>
              </w:tc>
              <w:tc>
                <w:tcPr>
                  <w:tcW w:w="862" w:type="dxa"/>
                  <w:tcBorders>
                    <w:tl2br w:val="nil"/>
                    <w:tr2bl w:val="nil"/>
                  </w:tcBorders>
                  <w:shd w:val="solid" w:color="FFFFFF" w:fill="auto"/>
                  <w:noWrap w:val="0"/>
                  <w:vAlign w:val="center"/>
                </w:tcPr>
                <w:p w14:paraId="72422819">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单位</w:t>
                  </w:r>
                </w:p>
              </w:tc>
              <w:tc>
                <w:tcPr>
                  <w:tcW w:w="1734" w:type="dxa"/>
                  <w:tcBorders>
                    <w:tl2br w:val="nil"/>
                    <w:tr2bl w:val="nil"/>
                  </w:tcBorders>
                  <w:shd w:val="solid" w:color="FFFFFF" w:fill="auto"/>
                  <w:noWrap w:val="0"/>
                  <w:vAlign w:val="center"/>
                </w:tcPr>
                <w:p w14:paraId="412F46F1">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t>用途</w:t>
                  </w:r>
                </w:p>
              </w:tc>
              <w:tc>
                <w:tcPr>
                  <w:tcW w:w="1049" w:type="dxa"/>
                  <w:tcBorders>
                    <w:tl2br w:val="nil"/>
                    <w:tr2bl w:val="nil"/>
                  </w:tcBorders>
                  <w:shd w:val="solid" w:color="FFFFFF" w:fill="auto"/>
                  <w:noWrap w:val="0"/>
                  <w:vAlign w:val="center"/>
                </w:tcPr>
                <w:p w14:paraId="2F3C4491">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t>年运行时间（h）</w:t>
                  </w:r>
                </w:p>
              </w:tc>
            </w:tr>
            <w:tr w14:paraId="6AC800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22" w:type="dxa"/>
                  <w:tcBorders>
                    <w:tl2br w:val="nil"/>
                    <w:tr2bl w:val="nil"/>
                  </w:tcBorders>
                  <w:shd w:val="solid" w:color="FFFFFF" w:fill="auto"/>
                  <w:noWrap w:val="0"/>
                  <w:vAlign w:val="center"/>
                </w:tcPr>
                <w:p w14:paraId="4CC30683">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w:t>
                  </w:r>
                </w:p>
              </w:tc>
              <w:tc>
                <w:tcPr>
                  <w:tcW w:w="1361" w:type="dxa"/>
                  <w:tcBorders>
                    <w:tl2br w:val="nil"/>
                    <w:tr2bl w:val="nil"/>
                  </w:tcBorders>
                  <w:shd w:val="solid" w:color="FFFFFF" w:fill="auto"/>
                  <w:noWrap w:val="0"/>
                  <w:vAlign w:val="center"/>
                </w:tcPr>
                <w:p w14:paraId="4A25D8F4">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制粒机</w:t>
                  </w:r>
                </w:p>
              </w:tc>
              <w:tc>
                <w:tcPr>
                  <w:tcW w:w="1451" w:type="dxa"/>
                  <w:tcBorders>
                    <w:tl2br w:val="nil"/>
                    <w:tr2bl w:val="nil"/>
                  </w:tcBorders>
                  <w:shd w:val="solid" w:color="FFFFFF" w:fill="auto"/>
                  <w:noWrap w:val="0"/>
                  <w:vAlign w:val="center"/>
                </w:tcPr>
                <w:p w14:paraId="7959338B">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BSR-7280</w:t>
                  </w:r>
                </w:p>
              </w:tc>
              <w:tc>
                <w:tcPr>
                  <w:tcW w:w="863" w:type="dxa"/>
                  <w:tcBorders>
                    <w:tl2br w:val="nil"/>
                    <w:tr2bl w:val="nil"/>
                  </w:tcBorders>
                  <w:shd w:val="solid" w:color="FFFFFF" w:fill="auto"/>
                  <w:noWrap w:val="0"/>
                  <w:vAlign w:val="center"/>
                </w:tcPr>
                <w:p w14:paraId="78580963">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4</w:t>
                  </w:r>
                </w:p>
              </w:tc>
              <w:tc>
                <w:tcPr>
                  <w:tcW w:w="862" w:type="dxa"/>
                  <w:tcBorders>
                    <w:tl2br w:val="nil"/>
                    <w:tr2bl w:val="nil"/>
                  </w:tcBorders>
                  <w:shd w:val="solid" w:color="FFFFFF" w:fill="auto"/>
                  <w:noWrap w:val="0"/>
                  <w:vAlign w:val="center"/>
                </w:tcPr>
                <w:p w14:paraId="42E9AF09">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台</w:t>
                  </w:r>
                </w:p>
              </w:tc>
              <w:tc>
                <w:tcPr>
                  <w:tcW w:w="1734" w:type="dxa"/>
                  <w:tcBorders>
                    <w:tl2br w:val="nil"/>
                    <w:tr2bl w:val="nil"/>
                  </w:tcBorders>
                  <w:shd w:val="solid" w:color="FFFFFF" w:fill="auto"/>
                  <w:noWrap w:val="0"/>
                  <w:vAlign w:val="center"/>
                </w:tcPr>
                <w:p w14:paraId="21F813F4">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制粒工序</w:t>
                  </w:r>
                </w:p>
              </w:tc>
              <w:tc>
                <w:tcPr>
                  <w:tcW w:w="1049" w:type="dxa"/>
                  <w:tcBorders>
                    <w:tl2br w:val="nil"/>
                    <w:tr2bl w:val="nil"/>
                  </w:tcBorders>
                  <w:shd w:val="solid" w:color="FFFFFF" w:fill="auto"/>
                  <w:noWrap w:val="0"/>
                  <w:vAlign w:val="center"/>
                </w:tcPr>
                <w:p w14:paraId="5F329380">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900</w:t>
                  </w:r>
                </w:p>
              </w:tc>
            </w:tr>
            <w:tr w14:paraId="422774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22" w:type="dxa"/>
                  <w:tcBorders>
                    <w:tl2br w:val="nil"/>
                    <w:tr2bl w:val="nil"/>
                  </w:tcBorders>
                  <w:shd w:val="solid" w:color="FFFFFF" w:fill="auto"/>
                  <w:noWrap w:val="0"/>
                  <w:vAlign w:val="center"/>
                </w:tcPr>
                <w:p w14:paraId="163BD682">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2</w:t>
                  </w:r>
                </w:p>
              </w:tc>
              <w:tc>
                <w:tcPr>
                  <w:tcW w:w="1361" w:type="dxa"/>
                  <w:tcBorders>
                    <w:tl2br w:val="nil"/>
                    <w:tr2bl w:val="nil"/>
                  </w:tcBorders>
                  <w:shd w:val="solid" w:color="FFFFFF" w:fill="auto"/>
                  <w:noWrap w:val="0"/>
                  <w:vAlign w:val="center"/>
                </w:tcPr>
                <w:p w14:paraId="3D698D21">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输送机</w:t>
                  </w:r>
                </w:p>
              </w:tc>
              <w:tc>
                <w:tcPr>
                  <w:tcW w:w="1451" w:type="dxa"/>
                  <w:tcBorders>
                    <w:tl2br w:val="nil"/>
                    <w:tr2bl w:val="nil"/>
                  </w:tcBorders>
                  <w:shd w:val="solid" w:color="FFFFFF" w:fill="auto"/>
                  <w:noWrap w:val="0"/>
                  <w:vAlign w:val="center"/>
                </w:tcPr>
                <w:p w14:paraId="5720BFD1">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BSR-SSJ8R</w:t>
                  </w:r>
                </w:p>
              </w:tc>
              <w:tc>
                <w:tcPr>
                  <w:tcW w:w="863" w:type="dxa"/>
                  <w:tcBorders>
                    <w:tl2br w:val="nil"/>
                    <w:tr2bl w:val="nil"/>
                  </w:tcBorders>
                  <w:shd w:val="solid" w:color="FFFFFF" w:fill="auto"/>
                  <w:noWrap w:val="0"/>
                  <w:vAlign w:val="center"/>
                </w:tcPr>
                <w:p w14:paraId="4EAD9612">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2</w:t>
                  </w:r>
                </w:p>
              </w:tc>
              <w:tc>
                <w:tcPr>
                  <w:tcW w:w="862" w:type="dxa"/>
                  <w:tcBorders>
                    <w:tl2br w:val="nil"/>
                    <w:tr2bl w:val="nil"/>
                  </w:tcBorders>
                  <w:shd w:val="solid" w:color="FFFFFF" w:fill="auto"/>
                  <w:noWrap w:val="0"/>
                  <w:vAlign w:val="center"/>
                </w:tcPr>
                <w:p w14:paraId="49F8A09C">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条</w:t>
                  </w:r>
                </w:p>
              </w:tc>
              <w:tc>
                <w:tcPr>
                  <w:tcW w:w="1734" w:type="dxa"/>
                  <w:tcBorders>
                    <w:tl2br w:val="nil"/>
                    <w:tr2bl w:val="nil"/>
                  </w:tcBorders>
                  <w:shd w:val="solid" w:color="FFFFFF" w:fill="auto"/>
                  <w:noWrap w:val="0"/>
                  <w:vAlign w:val="center"/>
                </w:tcPr>
                <w:p w14:paraId="6B7B6A3A">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原料、运输输送</w:t>
                  </w:r>
                </w:p>
              </w:tc>
              <w:tc>
                <w:tcPr>
                  <w:tcW w:w="1049" w:type="dxa"/>
                  <w:tcBorders>
                    <w:tl2br w:val="nil"/>
                    <w:tr2bl w:val="nil"/>
                  </w:tcBorders>
                  <w:shd w:val="solid" w:color="FFFFFF" w:fill="auto"/>
                  <w:noWrap w:val="0"/>
                  <w:vAlign w:val="center"/>
                </w:tcPr>
                <w:p w14:paraId="6A480F41">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900</w:t>
                  </w:r>
                </w:p>
              </w:tc>
            </w:tr>
            <w:tr w14:paraId="3FF489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22" w:type="dxa"/>
                  <w:tcBorders>
                    <w:tl2br w:val="nil"/>
                    <w:tr2bl w:val="nil"/>
                  </w:tcBorders>
                  <w:shd w:val="solid" w:color="FFFFFF" w:fill="auto"/>
                  <w:noWrap w:val="0"/>
                  <w:vAlign w:val="center"/>
                </w:tcPr>
                <w:p w14:paraId="7FB99AF9">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3</w:t>
                  </w:r>
                </w:p>
              </w:tc>
              <w:tc>
                <w:tcPr>
                  <w:tcW w:w="1361" w:type="dxa"/>
                  <w:tcBorders>
                    <w:tl2br w:val="nil"/>
                    <w:tr2bl w:val="nil"/>
                  </w:tcBorders>
                  <w:shd w:val="solid" w:color="FFFFFF" w:fill="auto"/>
                  <w:noWrap w:val="0"/>
                  <w:vAlign w:val="center"/>
                </w:tcPr>
                <w:p w14:paraId="07A68806">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布袋除尘器</w:t>
                  </w:r>
                </w:p>
              </w:tc>
              <w:tc>
                <w:tcPr>
                  <w:tcW w:w="1451" w:type="dxa"/>
                  <w:tcBorders>
                    <w:tl2br w:val="nil"/>
                    <w:tr2bl w:val="nil"/>
                  </w:tcBorders>
                  <w:shd w:val="solid" w:color="FFFFFF" w:fill="auto"/>
                  <w:noWrap w:val="0"/>
                  <w:vAlign w:val="center"/>
                </w:tcPr>
                <w:p w14:paraId="6ECC3F17">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w:t>
                  </w:r>
                </w:p>
              </w:tc>
              <w:tc>
                <w:tcPr>
                  <w:tcW w:w="863" w:type="dxa"/>
                  <w:tcBorders>
                    <w:tl2br w:val="nil"/>
                    <w:tr2bl w:val="nil"/>
                  </w:tcBorders>
                  <w:shd w:val="solid" w:color="FFFFFF" w:fill="auto"/>
                  <w:noWrap w:val="0"/>
                  <w:vAlign w:val="center"/>
                </w:tcPr>
                <w:p w14:paraId="4CAB7B81">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w:t>
                  </w:r>
                </w:p>
              </w:tc>
              <w:tc>
                <w:tcPr>
                  <w:tcW w:w="862" w:type="dxa"/>
                  <w:tcBorders>
                    <w:tl2br w:val="nil"/>
                    <w:tr2bl w:val="nil"/>
                  </w:tcBorders>
                  <w:shd w:val="solid" w:color="FFFFFF" w:fill="auto"/>
                  <w:noWrap w:val="0"/>
                  <w:vAlign w:val="center"/>
                </w:tcPr>
                <w:p w14:paraId="0EBCC88E">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套</w:t>
                  </w:r>
                </w:p>
              </w:tc>
              <w:tc>
                <w:tcPr>
                  <w:tcW w:w="1734" w:type="dxa"/>
                  <w:tcBorders>
                    <w:tl2br w:val="nil"/>
                    <w:tr2bl w:val="nil"/>
                  </w:tcBorders>
                  <w:shd w:val="solid" w:color="FFFFFF" w:fill="auto"/>
                  <w:noWrap w:val="0"/>
                  <w:vAlign w:val="center"/>
                </w:tcPr>
                <w:p w14:paraId="2D815780">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除尘</w:t>
                  </w:r>
                </w:p>
              </w:tc>
              <w:tc>
                <w:tcPr>
                  <w:tcW w:w="1049" w:type="dxa"/>
                  <w:tcBorders>
                    <w:tl2br w:val="nil"/>
                    <w:tr2bl w:val="nil"/>
                  </w:tcBorders>
                  <w:shd w:val="solid" w:color="FFFFFF" w:fill="auto"/>
                  <w:noWrap w:val="0"/>
                  <w:vAlign w:val="center"/>
                </w:tcPr>
                <w:p w14:paraId="48216CC9">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900</w:t>
                  </w:r>
                </w:p>
              </w:tc>
            </w:tr>
            <w:tr w14:paraId="38D2D3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22" w:type="dxa"/>
                  <w:tcBorders>
                    <w:tl2br w:val="nil"/>
                    <w:tr2bl w:val="nil"/>
                  </w:tcBorders>
                  <w:shd w:val="solid" w:color="FFFFFF" w:fill="auto"/>
                  <w:noWrap w:val="0"/>
                  <w:vAlign w:val="center"/>
                </w:tcPr>
                <w:p w14:paraId="54CBB1DB">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4</w:t>
                  </w:r>
                </w:p>
              </w:tc>
              <w:tc>
                <w:tcPr>
                  <w:tcW w:w="1361" w:type="dxa"/>
                  <w:tcBorders>
                    <w:tl2br w:val="nil"/>
                    <w:tr2bl w:val="nil"/>
                  </w:tcBorders>
                  <w:shd w:val="solid" w:color="FFFFFF" w:fill="auto"/>
                  <w:noWrap w:val="0"/>
                  <w:vAlign w:val="center"/>
                </w:tcPr>
                <w:p w14:paraId="0226E98B">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铲车</w:t>
                  </w:r>
                </w:p>
              </w:tc>
              <w:tc>
                <w:tcPr>
                  <w:tcW w:w="1451" w:type="dxa"/>
                  <w:tcBorders>
                    <w:tl2br w:val="nil"/>
                    <w:tr2bl w:val="nil"/>
                  </w:tcBorders>
                  <w:shd w:val="solid" w:color="FFFFFF" w:fill="auto"/>
                  <w:noWrap w:val="0"/>
                  <w:vAlign w:val="center"/>
                </w:tcPr>
                <w:p w14:paraId="6155CAB4">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w:t>
                  </w:r>
                </w:p>
              </w:tc>
              <w:tc>
                <w:tcPr>
                  <w:tcW w:w="863" w:type="dxa"/>
                  <w:tcBorders>
                    <w:tl2br w:val="nil"/>
                    <w:tr2bl w:val="nil"/>
                  </w:tcBorders>
                  <w:shd w:val="solid" w:color="FFFFFF" w:fill="auto"/>
                  <w:noWrap w:val="0"/>
                  <w:vAlign w:val="center"/>
                </w:tcPr>
                <w:p w14:paraId="483FC119">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w:t>
                  </w:r>
                </w:p>
              </w:tc>
              <w:tc>
                <w:tcPr>
                  <w:tcW w:w="862" w:type="dxa"/>
                  <w:tcBorders>
                    <w:tl2br w:val="nil"/>
                    <w:tr2bl w:val="nil"/>
                  </w:tcBorders>
                  <w:shd w:val="solid" w:color="FFFFFF" w:fill="auto"/>
                  <w:noWrap w:val="0"/>
                  <w:vAlign w:val="center"/>
                </w:tcPr>
                <w:p w14:paraId="1E11204C">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台</w:t>
                  </w:r>
                </w:p>
              </w:tc>
              <w:tc>
                <w:tcPr>
                  <w:tcW w:w="1734" w:type="dxa"/>
                  <w:tcBorders>
                    <w:tl2br w:val="nil"/>
                    <w:tr2bl w:val="nil"/>
                  </w:tcBorders>
                  <w:shd w:val="solid" w:color="FFFFFF" w:fill="auto"/>
                  <w:noWrap w:val="0"/>
                  <w:vAlign w:val="center"/>
                </w:tcPr>
                <w:p w14:paraId="78FD6671">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原料上料卸料</w:t>
                  </w:r>
                </w:p>
              </w:tc>
              <w:tc>
                <w:tcPr>
                  <w:tcW w:w="1049" w:type="dxa"/>
                  <w:tcBorders>
                    <w:tl2br w:val="nil"/>
                    <w:tr2bl w:val="nil"/>
                  </w:tcBorders>
                  <w:shd w:val="solid" w:color="FFFFFF" w:fill="auto"/>
                  <w:noWrap w:val="0"/>
                  <w:vAlign w:val="center"/>
                </w:tcPr>
                <w:p w14:paraId="007B02A3">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900</w:t>
                  </w:r>
                </w:p>
              </w:tc>
            </w:tr>
            <w:tr w14:paraId="6EE696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22" w:type="dxa"/>
                  <w:tcBorders>
                    <w:tl2br w:val="nil"/>
                    <w:tr2bl w:val="nil"/>
                  </w:tcBorders>
                  <w:shd w:val="solid" w:color="FFFFFF" w:fill="auto"/>
                  <w:noWrap w:val="0"/>
                  <w:vAlign w:val="center"/>
                </w:tcPr>
                <w:p w14:paraId="3D531A11">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5</w:t>
                  </w:r>
                </w:p>
              </w:tc>
              <w:tc>
                <w:tcPr>
                  <w:tcW w:w="1361" w:type="dxa"/>
                  <w:tcBorders>
                    <w:tl2br w:val="nil"/>
                    <w:tr2bl w:val="nil"/>
                  </w:tcBorders>
                  <w:shd w:val="solid" w:color="FFFFFF" w:fill="auto"/>
                  <w:noWrap w:val="0"/>
                  <w:vAlign w:val="center"/>
                </w:tcPr>
                <w:p w14:paraId="5A1131FE">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叉车</w:t>
                  </w:r>
                </w:p>
              </w:tc>
              <w:tc>
                <w:tcPr>
                  <w:tcW w:w="1451" w:type="dxa"/>
                  <w:tcBorders>
                    <w:tl2br w:val="nil"/>
                    <w:tr2bl w:val="nil"/>
                  </w:tcBorders>
                  <w:shd w:val="solid" w:color="FFFFFF" w:fill="auto"/>
                  <w:noWrap w:val="0"/>
                  <w:vAlign w:val="center"/>
                </w:tcPr>
                <w:p w14:paraId="796E29F8">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w:t>
                  </w:r>
                </w:p>
              </w:tc>
              <w:tc>
                <w:tcPr>
                  <w:tcW w:w="863" w:type="dxa"/>
                  <w:tcBorders>
                    <w:tl2br w:val="nil"/>
                    <w:tr2bl w:val="nil"/>
                  </w:tcBorders>
                  <w:shd w:val="solid" w:color="FFFFFF" w:fill="auto"/>
                  <w:noWrap w:val="0"/>
                  <w:vAlign w:val="center"/>
                </w:tcPr>
                <w:p w14:paraId="0223E0AE">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w:t>
                  </w:r>
                </w:p>
              </w:tc>
              <w:tc>
                <w:tcPr>
                  <w:tcW w:w="862" w:type="dxa"/>
                  <w:tcBorders>
                    <w:tl2br w:val="nil"/>
                    <w:tr2bl w:val="nil"/>
                  </w:tcBorders>
                  <w:shd w:val="solid" w:color="FFFFFF" w:fill="auto"/>
                  <w:noWrap w:val="0"/>
                  <w:vAlign w:val="center"/>
                </w:tcPr>
                <w:p w14:paraId="7BA5DCE9">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台</w:t>
                  </w:r>
                </w:p>
              </w:tc>
              <w:tc>
                <w:tcPr>
                  <w:tcW w:w="1734" w:type="dxa"/>
                  <w:tcBorders>
                    <w:tl2br w:val="nil"/>
                    <w:tr2bl w:val="nil"/>
                  </w:tcBorders>
                  <w:shd w:val="solid" w:color="FFFFFF" w:fill="auto"/>
                  <w:noWrap w:val="0"/>
                  <w:vAlign w:val="center"/>
                </w:tcPr>
                <w:p w14:paraId="226A436F">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kern w:val="0"/>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产品场内运输</w:t>
                  </w:r>
                </w:p>
              </w:tc>
              <w:tc>
                <w:tcPr>
                  <w:tcW w:w="1049" w:type="dxa"/>
                  <w:tcBorders>
                    <w:tl2br w:val="nil"/>
                    <w:tr2bl w:val="nil"/>
                  </w:tcBorders>
                  <w:shd w:val="solid" w:color="FFFFFF" w:fill="auto"/>
                  <w:noWrap w:val="0"/>
                  <w:vAlign w:val="center"/>
                </w:tcPr>
                <w:p w14:paraId="1A692048">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rightChars="0"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900</w:t>
                  </w:r>
                </w:p>
              </w:tc>
            </w:tr>
          </w:tbl>
          <w:p w14:paraId="3C1679A7">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0" w:firstLineChars="200"/>
              <w:jc w:val="left"/>
              <w:textAlignment w:val="auto"/>
              <w:rPr>
                <w:rFonts w:hint="default"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根据《产业政策调整指导目录（2024年本）》和《限期淘汰产生严重污染环境的工业固体废物的落后生产工艺设备名录》（2022年）可知，本项目不涉及淘汰落后设备。</w:t>
            </w:r>
          </w:p>
          <w:p w14:paraId="4138ADA3">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0" w:firstLineChars="200"/>
              <w:jc w:val="both"/>
              <w:textAlignment w:val="auto"/>
              <w:rPr>
                <w:rFonts w:hint="default"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本项目1台制粒机最大产能为6t/h，</w:t>
            </w:r>
            <w:r>
              <w:rPr>
                <w:rFonts w:hint="eastAsia" w:eastAsia="仿宋" w:cs="Times New Roman"/>
                <w:b w:val="0"/>
                <w:bCs/>
                <w:color w:val="000000" w:themeColor="text1"/>
                <w:sz w:val="24"/>
                <w:highlight w:val="none"/>
                <w:u w:val="none"/>
                <w:lang w:val="en-US" w:eastAsia="zh-CN"/>
                <w14:textFill>
                  <w14:solidFill>
                    <w14:schemeClr w14:val="tx1"/>
                  </w14:solidFill>
                </w14:textFill>
              </w:rPr>
              <w:t>每两台制粒机公用一台输送机，</w:t>
            </w:r>
            <w:r>
              <w:rPr>
                <w:rFonts w:hint="default"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则本项目最大生产能力为</w:t>
            </w:r>
            <w:r>
              <w:rPr>
                <w:rFonts w:hint="eastAsia"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216</w:t>
            </w:r>
            <w:r>
              <w:rPr>
                <w:rFonts w:hint="default"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00</w:t>
            </w:r>
            <w:r>
              <w:rPr>
                <w:rFonts w:hint="eastAsia"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t</w:t>
            </w:r>
            <w:r>
              <w:rPr>
                <w:rFonts w:hint="default"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w:t>
            </w:r>
            <w:r>
              <w:rPr>
                <w:rFonts w:hint="eastAsia"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a</w:t>
            </w:r>
            <w:r>
              <w:rPr>
                <w:rFonts w:hint="default"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；本项目主要设备产能核算与设计产能相符。</w:t>
            </w:r>
          </w:p>
          <w:p w14:paraId="69B588D3">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2" w:firstLineChars="200"/>
              <w:jc w:val="left"/>
              <w:textAlignment w:val="auto"/>
              <w:rPr>
                <w:rFonts w:hint="default" w:ascii="Times New Roman" w:hAnsi="Times New Roman" w:eastAsia="仿宋" w:cs="Times New Roman"/>
                <w:bCs/>
                <w:color w:val="000000" w:themeColor="text1"/>
                <w:sz w:val="24"/>
                <w:highlight w:val="none"/>
                <w:u w:val="none"/>
                <w14:textFill>
                  <w14:solidFill>
                    <w14:schemeClr w14:val="tx1"/>
                  </w14:solidFill>
                </w14:textFill>
              </w:rPr>
            </w:pPr>
            <w:r>
              <w:rPr>
                <w:rFonts w:hint="default" w:ascii="Times New Roman" w:hAnsi="Times New Roman" w:eastAsia="仿宋" w:cs="Times New Roman"/>
                <w:b/>
                <w:color w:val="000000" w:themeColor="text1"/>
                <w:sz w:val="24"/>
                <w:highlight w:val="none"/>
                <w:u w:val="none"/>
                <w:lang w:val="en-US" w:eastAsia="zh-CN"/>
                <w14:textFill>
                  <w14:solidFill>
                    <w14:schemeClr w14:val="tx1"/>
                  </w14:solidFill>
                </w14:textFill>
              </w:rPr>
              <w:t>3</w:t>
            </w:r>
            <w:r>
              <w:rPr>
                <w:rFonts w:hint="default" w:ascii="Times New Roman" w:hAnsi="Times New Roman" w:eastAsia="仿宋" w:cs="Times New Roman"/>
                <w:b/>
                <w:color w:val="000000" w:themeColor="text1"/>
                <w:sz w:val="24"/>
                <w:highlight w:val="none"/>
                <w:u w:val="none"/>
                <w14:textFill>
                  <w14:solidFill>
                    <w14:schemeClr w14:val="tx1"/>
                  </w14:solidFill>
                </w14:textFill>
              </w:rPr>
              <w:t>、</w:t>
            </w:r>
            <w:r>
              <w:rPr>
                <w:rFonts w:hint="default" w:ascii="Times New Roman" w:hAnsi="Times New Roman" w:eastAsia="仿宋" w:cs="Times New Roman"/>
                <w:b/>
                <w:color w:val="000000" w:themeColor="text1"/>
                <w:sz w:val="24"/>
                <w:highlight w:val="none"/>
                <w:u w:val="none"/>
                <w:lang w:val="en-US" w:eastAsia="zh-CN"/>
                <w14:textFill>
                  <w14:solidFill>
                    <w14:schemeClr w14:val="tx1"/>
                  </w14:solidFill>
                </w14:textFill>
              </w:rPr>
              <w:t>建设</w:t>
            </w:r>
            <w:r>
              <w:rPr>
                <w:rFonts w:hint="default" w:ascii="Times New Roman" w:hAnsi="Times New Roman" w:eastAsia="仿宋" w:cs="Times New Roman"/>
                <w:b/>
                <w:color w:val="000000" w:themeColor="text1"/>
                <w:sz w:val="24"/>
                <w:highlight w:val="none"/>
                <w:u w:val="none"/>
                <w14:textFill>
                  <w14:solidFill>
                    <w14:schemeClr w14:val="tx1"/>
                  </w14:solidFill>
                </w14:textFill>
              </w:rPr>
              <w:t>项目原辅材料及能源消耗</w:t>
            </w:r>
          </w:p>
          <w:p w14:paraId="437EC7D4">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0" w:firstLineChars="200"/>
              <w:jc w:val="left"/>
              <w:textAlignment w:val="auto"/>
              <w:rPr>
                <w:rFonts w:hint="default"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业主介绍本项目主要收集当地区域</w:t>
            </w:r>
            <w:r>
              <w:rPr>
                <w:rFonts w:hint="eastAsia"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稻壳</w:t>
            </w:r>
            <w:r>
              <w:rPr>
                <w:rFonts w:hint="default"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进行生物质颗粒的制造，原料中不含泥沙等杂物，</w:t>
            </w:r>
            <w:r>
              <w:rPr>
                <w:rFonts w:hint="eastAsia"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且含水率较低，</w:t>
            </w:r>
            <w:r>
              <w:rPr>
                <w:rFonts w:hint="default"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无需进行分选</w:t>
            </w:r>
            <w:r>
              <w:rPr>
                <w:rFonts w:hint="eastAsia"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、烘干、破碎</w:t>
            </w:r>
            <w:r>
              <w:rPr>
                <w:rFonts w:hint="eastAsia" w:eastAsia="仿宋" w:cs="Times New Roman"/>
                <w:b w:val="0"/>
                <w:bCs/>
                <w:color w:val="000000" w:themeColor="text1"/>
                <w:sz w:val="24"/>
                <w:highlight w:val="none"/>
                <w:u w:val="none"/>
                <w:lang w:val="en-US" w:eastAsia="zh-CN"/>
                <w14:textFill>
                  <w14:solidFill>
                    <w14:schemeClr w14:val="tx1"/>
                  </w14:solidFill>
                </w14:textFill>
              </w:rPr>
              <w:t>，生产不需要用水</w:t>
            </w:r>
            <w:r>
              <w:rPr>
                <w:rFonts w:hint="default"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w:t>
            </w:r>
          </w:p>
          <w:p w14:paraId="61BFE77A">
            <w:pPr>
              <w:adjustRightInd w:val="0"/>
              <w:snapToGrid w:val="0"/>
              <w:spacing w:line="240" w:lineRule="auto"/>
              <w:jc w:val="center"/>
              <w:rPr>
                <w:rFonts w:hint="default" w:ascii="Times New Roman" w:hAnsi="Times New Roman" w:eastAsia="仿宋" w:cs="Times New Roman"/>
                <w:b/>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14:textFill>
                  <w14:solidFill>
                    <w14:schemeClr w14:val="tx1"/>
                  </w14:solidFill>
                </w14:textFill>
              </w:rPr>
              <w:t>表2-</w:t>
            </w: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3建设项目</w:t>
            </w:r>
            <w:r>
              <w:rPr>
                <w:rFonts w:hint="default" w:ascii="Times New Roman" w:hAnsi="Times New Roman" w:eastAsia="仿宋" w:cs="Times New Roman"/>
                <w:b/>
                <w:color w:val="000000" w:themeColor="text1"/>
                <w:sz w:val="21"/>
                <w:szCs w:val="21"/>
                <w:highlight w:val="none"/>
                <w:u w:val="none"/>
                <w14:textFill>
                  <w14:solidFill>
                    <w14:schemeClr w14:val="tx1"/>
                  </w14:solidFill>
                </w14:textFill>
              </w:rPr>
              <w:t>主要原辅材料及能源消耗用量一览表</w:t>
            </w:r>
          </w:p>
          <w:tbl>
            <w:tblPr>
              <w:tblStyle w:val="24"/>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930"/>
              <w:gridCol w:w="1274"/>
              <w:gridCol w:w="1425"/>
              <w:gridCol w:w="1440"/>
              <w:gridCol w:w="2631"/>
            </w:tblGrid>
            <w:tr w14:paraId="01D2C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tcBorders>
                    <w:tl2br w:val="nil"/>
                    <w:tr2bl w:val="nil"/>
                  </w:tcBorders>
                  <w:noWrap w:val="0"/>
                  <w:vAlign w:val="center"/>
                </w:tcPr>
                <w:p w14:paraId="00CE2C50">
                  <w:pPr>
                    <w:adjustRightInd w:val="0"/>
                    <w:snapToGrid w:val="0"/>
                    <w:spacing w:before="48" w:beforeLines="20" w:line="288" w:lineRule="auto"/>
                    <w:jc w:val="center"/>
                    <w:rPr>
                      <w:rFonts w:hint="default" w:ascii="Times New Roman" w:hAnsi="Times New Roman" w:eastAsia="仿宋" w:cs="Times New Roman"/>
                      <w:b/>
                      <w:color w:val="000000" w:themeColor="text1"/>
                      <w:szCs w:val="21"/>
                      <w:highlight w:val="none"/>
                      <w:u w:val="none"/>
                      <w14:textFill>
                        <w14:solidFill>
                          <w14:schemeClr w14:val="tx1"/>
                        </w14:solidFill>
                      </w14:textFill>
                    </w:rPr>
                  </w:pPr>
                  <w:r>
                    <w:rPr>
                      <w:rFonts w:hint="default" w:ascii="Times New Roman" w:hAnsi="Times New Roman" w:eastAsia="仿宋" w:cs="Times New Roman"/>
                      <w:b/>
                      <w:color w:val="000000" w:themeColor="text1"/>
                      <w:szCs w:val="21"/>
                      <w:highlight w:val="none"/>
                      <w:u w:val="none"/>
                      <w14:textFill>
                        <w14:solidFill>
                          <w14:schemeClr w14:val="tx1"/>
                        </w14:solidFill>
                      </w14:textFill>
                    </w:rPr>
                    <w:t>序号</w:t>
                  </w:r>
                </w:p>
              </w:tc>
              <w:tc>
                <w:tcPr>
                  <w:tcW w:w="554" w:type="pct"/>
                  <w:tcBorders>
                    <w:tl2br w:val="nil"/>
                    <w:tr2bl w:val="nil"/>
                  </w:tcBorders>
                  <w:noWrap w:val="0"/>
                  <w:vAlign w:val="center"/>
                </w:tcPr>
                <w:p w14:paraId="1D0D9795">
                  <w:pPr>
                    <w:adjustRightInd w:val="0"/>
                    <w:snapToGrid w:val="0"/>
                    <w:spacing w:before="48" w:beforeLines="20" w:line="288" w:lineRule="auto"/>
                    <w:jc w:val="center"/>
                    <w:rPr>
                      <w:rFonts w:hint="default" w:ascii="Times New Roman" w:hAnsi="Times New Roman" w:eastAsia="仿宋" w:cs="Times New Roman"/>
                      <w:b/>
                      <w:color w:val="000000" w:themeColor="text1"/>
                      <w:szCs w:val="21"/>
                      <w:highlight w:val="none"/>
                      <w:u w:val="none"/>
                      <w14:textFill>
                        <w14:solidFill>
                          <w14:schemeClr w14:val="tx1"/>
                        </w14:solidFill>
                      </w14:textFill>
                    </w:rPr>
                  </w:pPr>
                  <w:r>
                    <w:rPr>
                      <w:rFonts w:hint="default" w:ascii="Times New Roman" w:hAnsi="Times New Roman" w:eastAsia="仿宋" w:cs="Times New Roman"/>
                      <w:b/>
                      <w:color w:val="000000" w:themeColor="text1"/>
                      <w:szCs w:val="21"/>
                      <w:highlight w:val="none"/>
                      <w:u w:val="none"/>
                      <w14:textFill>
                        <w14:solidFill>
                          <w14:schemeClr w14:val="tx1"/>
                        </w14:solidFill>
                      </w14:textFill>
                    </w:rPr>
                    <w:t>名称</w:t>
                  </w:r>
                </w:p>
              </w:tc>
              <w:tc>
                <w:tcPr>
                  <w:tcW w:w="759" w:type="pct"/>
                  <w:tcBorders>
                    <w:tl2br w:val="nil"/>
                    <w:tr2bl w:val="nil"/>
                  </w:tcBorders>
                  <w:noWrap w:val="0"/>
                  <w:vAlign w:val="center"/>
                </w:tcPr>
                <w:p w14:paraId="41F76BAA">
                  <w:pPr>
                    <w:adjustRightInd w:val="0"/>
                    <w:snapToGrid w:val="0"/>
                    <w:spacing w:before="48" w:beforeLines="20" w:line="288" w:lineRule="auto"/>
                    <w:jc w:val="center"/>
                    <w:rPr>
                      <w:rFonts w:hint="default" w:ascii="Times New Roman" w:hAnsi="Times New Roman" w:eastAsia="仿宋" w:cs="Times New Roman"/>
                      <w:b/>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Cs w:val="21"/>
                      <w:highlight w:val="none"/>
                      <w:u w:val="none"/>
                      <w:lang w:val="en-US" w:eastAsia="zh-CN"/>
                      <w14:textFill>
                        <w14:solidFill>
                          <w14:schemeClr w14:val="tx1"/>
                        </w14:solidFill>
                      </w14:textFill>
                    </w:rPr>
                    <w:t>单位</w:t>
                  </w:r>
                </w:p>
              </w:tc>
              <w:tc>
                <w:tcPr>
                  <w:tcW w:w="849" w:type="pct"/>
                  <w:tcBorders>
                    <w:tl2br w:val="nil"/>
                    <w:tr2bl w:val="nil"/>
                  </w:tcBorders>
                  <w:noWrap w:val="0"/>
                  <w:vAlign w:val="center"/>
                </w:tcPr>
                <w:p w14:paraId="40D43B59">
                  <w:pPr>
                    <w:adjustRightInd w:val="0"/>
                    <w:snapToGrid w:val="0"/>
                    <w:spacing w:before="48" w:beforeLines="20" w:line="288" w:lineRule="auto"/>
                    <w:jc w:val="center"/>
                    <w:rPr>
                      <w:rFonts w:hint="default" w:ascii="Times New Roman" w:hAnsi="Times New Roman" w:eastAsia="仿宋" w:cs="Times New Roman"/>
                      <w:b/>
                      <w:color w:val="000000" w:themeColor="text1"/>
                      <w:szCs w:val="21"/>
                      <w:highlight w:val="none"/>
                      <w:u w:val="none"/>
                      <w14:textFill>
                        <w14:solidFill>
                          <w14:schemeClr w14:val="tx1"/>
                        </w14:solidFill>
                      </w14:textFill>
                    </w:rPr>
                  </w:pPr>
                  <w:r>
                    <w:rPr>
                      <w:rFonts w:hint="default" w:ascii="Times New Roman" w:hAnsi="Times New Roman" w:eastAsia="仿宋" w:cs="Times New Roman"/>
                      <w:b/>
                      <w:color w:val="000000" w:themeColor="text1"/>
                      <w:szCs w:val="21"/>
                      <w:highlight w:val="none"/>
                      <w:u w:val="none"/>
                      <w14:textFill>
                        <w14:solidFill>
                          <w14:schemeClr w14:val="tx1"/>
                        </w14:solidFill>
                      </w14:textFill>
                    </w:rPr>
                    <w:t>年</w:t>
                  </w:r>
                  <w:r>
                    <w:rPr>
                      <w:rFonts w:hint="default" w:ascii="Times New Roman" w:hAnsi="Times New Roman" w:eastAsia="仿宋" w:cs="Times New Roman"/>
                      <w:b/>
                      <w:color w:val="000000" w:themeColor="text1"/>
                      <w:szCs w:val="21"/>
                      <w:highlight w:val="none"/>
                      <w:u w:val="none"/>
                      <w:lang w:val="en-US" w:eastAsia="zh-CN"/>
                      <w14:textFill>
                        <w14:solidFill>
                          <w14:schemeClr w14:val="tx1"/>
                        </w14:solidFill>
                      </w14:textFill>
                    </w:rPr>
                    <w:t>消</w:t>
                  </w:r>
                  <w:r>
                    <w:rPr>
                      <w:rFonts w:hint="default" w:ascii="Times New Roman" w:hAnsi="Times New Roman" w:eastAsia="仿宋" w:cs="Times New Roman"/>
                      <w:b/>
                      <w:color w:val="000000" w:themeColor="text1"/>
                      <w:szCs w:val="21"/>
                      <w:highlight w:val="none"/>
                      <w:u w:val="none"/>
                      <w14:textFill>
                        <w14:solidFill>
                          <w14:schemeClr w14:val="tx1"/>
                        </w14:solidFill>
                      </w14:textFill>
                    </w:rPr>
                    <w:t>耗量</w:t>
                  </w:r>
                </w:p>
              </w:tc>
              <w:tc>
                <w:tcPr>
                  <w:tcW w:w="858" w:type="pct"/>
                  <w:tcBorders>
                    <w:tl2br w:val="nil"/>
                    <w:tr2bl w:val="nil"/>
                  </w:tcBorders>
                  <w:noWrap w:val="0"/>
                  <w:vAlign w:val="center"/>
                </w:tcPr>
                <w:p w14:paraId="7BB4851F">
                  <w:pPr>
                    <w:adjustRightInd w:val="0"/>
                    <w:snapToGrid w:val="0"/>
                    <w:spacing w:before="48" w:beforeLines="20" w:line="288" w:lineRule="auto"/>
                    <w:jc w:val="center"/>
                    <w:rPr>
                      <w:rFonts w:hint="default" w:ascii="Times New Roman" w:hAnsi="Times New Roman" w:eastAsia="仿宋" w:cs="Times New Roman"/>
                      <w:b/>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Cs w:val="21"/>
                      <w:highlight w:val="none"/>
                      <w:u w:val="none"/>
                      <w:lang w:val="en-US" w:eastAsia="zh-CN"/>
                      <w14:textFill>
                        <w14:solidFill>
                          <w14:schemeClr w14:val="tx1"/>
                        </w14:solidFill>
                      </w14:textFill>
                    </w:rPr>
                    <w:t>最大储存量</w:t>
                  </w:r>
                </w:p>
              </w:tc>
              <w:tc>
                <w:tcPr>
                  <w:tcW w:w="1568" w:type="pct"/>
                  <w:tcBorders>
                    <w:tl2br w:val="nil"/>
                    <w:tr2bl w:val="nil"/>
                  </w:tcBorders>
                  <w:noWrap w:val="0"/>
                  <w:vAlign w:val="center"/>
                </w:tcPr>
                <w:p w14:paraId="6C5B3814">
                  <w:pPr>
                    <w:adjustRightInd w:val="0"/>
                    <w:snapToGrid w:val="0"/>
                    <w:spacing w:before="48" w:beforeLines="20" w:line="288" w:lineRule="auto"/>
                    <w:jc w:val="center"/>
                    <w:rPr>
                      <w:rFonts w:hint="default" w:ascii="Times New Roman" w:hAnsi="Times New Roman" w:eastAsia="仿宋" w:cs="Times New Roman"/>
                      <w:b/>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Cs w:val="21"/>
                      <w:highlight w:val="none"/>
                      <w:u w:val="none"/>
                      <w:lang w:val="en-US" w:eastAsia="zh-CN"/>
                      <w14:textFill>
                        <w14:solidFill>
                          <w14:schemeClr w14:val="tx1"/>
                        </w14:solidFill>
                      </w14:textFill>
                    </w:rPr>
                    <w:t>来源</w:t>
                  </w:r>
                </w:p>
              </w:tc>
            </w:tr>
            <w:tr w14:paraId="2F6CA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tcBorders>
                    <w:tl2br w:val="nil"/>
                    <w:tr2bl w:val="nil"/>
                  </w:tcBorders>
                  <w:noWrap w:val="0"/>
                  <w:vAlign w:val="center"/>
                </w:tcPr>
                <w:p w14:paraId="2B953C9D">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1</w:t>
                  </w:r>
                </w:p>
              </w:tc>
              <w:tc>
                <w:tcPr>
                  <w:tcW w:w="554" w:type="pct"/>
                  <w:tcBorders>
                    <w:tl2br w:val="nil"/>
                    <w:tr2bl w:val="nil"/>
                  </w:tcBorders>
                  <w:noWrap w:val="0"/>
                  <w:vAlign w:val="center"/>
                </w:tcPr>
                <w:p w14:paraId="1335F4B9">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稻壳</w:t>
                  </w:r>
                </w:p>
              </w:tc>
              <w:tc>
                <w:tcPr>
                  <w:tcW w:w="759" w:type="pct"/>
                  <w:tcBorders>
                    <w:tl2br w:val="nil"/>
                    <w:tr2bl w:val="nil"/>
                  </w:tcBorders>
                  <w:noWrap w:val="0"/>
                  <w:vAlign w:val="center"/>
                </w:tcPr>
                <w:p w14:paraId="39F4BF17">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t/a</w:t>
                  </w:r>
                </w:p>
              </w:tc>
              <w:tc>
                <w:tcPr>
                  <w:tcW w:w="849" w:type="pct"/>
                  <w:tcBorders>
                    <w:tl2br w:val="nil"/>
                    <w:tr2bl w:val="nil"/>
                  </w:tcBorders>
                  <w:noWrap w:val="0"/>
                  <w:vAlign w:val="center"/>
                </w:tcPr>
                <w:p w14:paraId="52F42547">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21602</w:t>
                  </w:r>
                </w:p>
              </w:tc>
              <w:tc>
                <w:tcPr>
                  <w:tcW w:w="858" w:type="pct"/>
                  <w:tcBorders>
                    <w:tl2br w:val="nil"/>
                    <w:tr2bl w:val="nil"/>
                  </w:tcBorders>
                  <w:noWrap w:val="0"/>
                  <w:vAlign w:val="center"/>
                </w:tcPr>
                <w:p w14:paraId="49C665CA">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5000</w:t>
                  </w:r>
                </w:p>
              </w:tc>
              <w:tc>
                <w:tcPr>
                  <w:tcW w:w="1568" w:type="pct"/>
                  <w:tcBorders>
                    <w:tl2br w:val="nil"/>
                    <w:tr2bl w:val="nil"/>
                  </w:tcBorders>
                  <w:noWrap w:val="0"/>
                  <w:vAlign w:val="center"/>
                </w:tcPr>
                <w:p w14:paraId="3699490B">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周边区域废弃</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稻壳，</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含</w:t>
                  </w:r>
                </w:p>
                <w:p w14:paraId="3DDAD706">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水率10%</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w:t>
                  </w:r>
                  <w:r>
                    <w:rPr>
                      <w:rFonts w:hint="eastAsia" w:eastAsia="仿宋" w:cs="Times New Roman"/>
                      <w:bCs/>
                      <w:color w:val="000000" w:themeColor="text1"/>
                      <w:szCs w:val="21"/>
                      <w:highlight w:val="none"/>
                      <w:u w:val="none"/>
                      <w:lang w:val="en-US" w:eastAsia="zh-CN"/>
                      <w14:textFill>
                        <w14:solidFill>
                          <w14:schemeClr w14:val="tx1"/>
                        </w14:solidFill>
                      </w14:textFill>
                    </w:rPr>
                    <w:t>汽车运输</w:t>
                  </w:r>
                </w:p>
              </w:tc>
            </w:tr>
            <w:tr w14:paraId="4D5C9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tcBorders>
                    <w:tl2br w:val="nil"/>
                    <w:tr2bl w:val="nil"/>
                  </w:tcBorders>
                  <w:noWrap w:val="0"/>
                  <w:vAlign w:val="center"/>
                </w:tcPr>
                <w:p w14:paraId="69D82498">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2</w:t>
                  </w:r>
                </w:p>
              </w:tc>
              <w:tc>
                <w:tcPr>
                  <w:tcW w:w="554" w:type="pct"/>
                  <w:tcBorders>
                    <w:tl2br w:val="nil"/>
                    <w:tr2bl w:val="nil"/>
                  </w:tcBorders>
                  <w:noWrap w:val="0"/>
                  <w:vAlign w:val="center"/>
                </w:tcPr>
                <w:p w14:paraId="74669456">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电</w:t>
                  </w:r>
                </w:p>
              </w:tc>
              <w:tc>
                <w:tcPr>
                  <w:tcW w:w="759" w:type="pct"/>
                  <w:tcBorders>
                    <w:tl2br w:val="nil"/>
                    <w:tr2bl w:val="nil"/>
                  </w:tcBorders>
                  <w:noWrap w:val="0"/>
                  <w:vAlign w:val="center"/>
                </w:tcPr>
                <w:p w14:paraId="75995F06">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万KWh/a</w:t>
                  </w:r>
                </w:p>
              </w:tc>
              <w:tc>
                <w:tcPr>
                  <w:tcW w:w="849" w:type="pct"/>
                  <w:tcBorders>
                    <w:tl2br w:val="nil"/>
                    <w:tr2bl w:val="nil"/>
                  </w:tcBorders>
                  <w:noWrap w:val="0"/>
                  <w:vAlign w:val="center"/>
                </w:tcPr>
                <w:p w14:paraId="1FAFF299">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2</w:t>
                  </w:r>
                </w:p>
              </w:tc>
              <w:tc>
                <w:tcPr>
                  <w:tcW w:w="858" w:type="pct"/>
                  <w:tcBorders>
                    <w:tl2br w:val="nil"/>
                    <w:tr2bl w:val="nil"/>
                  </w:tcBorders>
                  <w:noWrap w:val="0"/>
                  <w:vAlign w:val="center"/>
                </w:tcPr>
                <w:p w14:paraId="45C43821">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w:t>
                  </w:r>
                </w:p>
              </w:tc>
              <w:tc>
                <w:tcPr>
                  <w:tcW w:w="1568" w:type="pct"/>
                  <w:tcBorders>
                    <w:tl2br w:val="nil"/>
                    <w:tr2bl w:val="nil"/>
                  </w:tcBorders>
                  <w:noWrap w:val="0"/>
                  <w:vAlign w:val="center"/>
                </w:tcPr>
                <w:p w14:paraId="5A32B945">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w:t>
                  </w:r>
                </w:p>
              </w:tc>
            </w:tr>
          </w:tbl>
          <w:p w14:paraId="5C51DDDA">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420" w:leftChars="200"/>
              <w:jc w:val="left"/>
              <w:textAlignment w:val="auto"/>
              <w:rPr>
                <w:rFonts w:hint="default" w:ascii="Times New Roman" w:hAnsi="Times New Roman" w:eastAsia="仿宋" w:cs="Times New Roman"/>
                <w:b/>
                <w:color w:val="000000" w:themeColor="text1"/>
                <w:sz w:val="24"/>
                <w:highlight w:val="none"/>
                <w:u w:val="none"/>
                <w14:textFill>
                  <w14:solidFill>
                    <w14:schemeClr w14:val="tx1"/>
                  </w14:solidFill>
                </w14:textFill>
              </w:rPr>
            </w:pPr>
            <w:r>
              <w:rPr>
                <w:rFonts w:hint="default" w:ascii="Times New Roman" w:hAnsi="Times New Roman" w:eastAsia="仿宋" w:cs="Times New Roman"/>
                <w:b/>
                <w:color w:val="000000" w:themeColor="text1"/>
                <w:sz w:val="24"/>
                <w:highlight w:val="none"/>
                <w:u w:val="none"/>
                <w:lang w:val="en-US" w:eastAsia="zh-CN"/>
                <w14:textFill>
                  <w14:solidFill>
                    <w14:schemeClr w14:val="tx1"/>
                  </w14:solidFill>
                </w14:textFill>
              </w:rPr>
              <w:t>4</w:t>
            </w:r>
            <w:r>
              <w:rPr>
                <w:rFonts w:hint="default" w:ascii="Times New Roman" w:hAnsi="Times New Roman" w:eastAsia="仿宋" w:cs="Times New Roman"/>
                <w:b/>
                <w:color w:val="000000" w:themeColor="text1"/>
                <w:sz w:val="24"/>
                <w:highlight w:val="none"/>
                <w:u w:val="none"/>
                <w14:textFill>
                  <w14:solidFill>
                    <w14:schemeClr w14:val="tx1"/>
                  </w14:solidFill>
                </w14:textFill>
              </w:rPr>
              <w:t>、产品方案</w:t>
            </w:r>
          </w:p>
          <w:p w14:paraId="1447E88C">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14:textFill>
                  <w14:solidFill>
                    <w14:schemeClr w14:val="tx1"/>
                  </w14:solidFill>
                </w14:textFill>
              </w:rPr>
              <w:t>表2-</w:t>
            </w: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4本项目</w:t>
            </w:r>
            <w:r>
              <w:rPr>
                <w:rFonts w:hint="default" w:ascii="Times New Roman" w:hAnsi="Times New Roman" w:eastAsia="仿宋" w:cs="Times New Roman"/>
                <w:b/>
                <w:color w:val="000000" w:themeColor="text1"/>
                <w:sz w:val="21"/>
                <w:szCs w:val="21"/>
                <w:highlight w:val="none"/>
                <w:u w:val="none"/>
                <w14:textFill>
                  <w14:solidFill>
                    <w14:schemeClr w14:val="tx1"/>
                  </w14:solidFill>
                </w14:textFill>
              </w:rPr>
              <w:t>产品</w:t>
            </w: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方案一览表</w:t>
            </w:r>
          </w:p>
          <w:tbl>
            <w:tblPr>
              <w:tblStyle w:val="24"/>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2254"/>
              <w:gridCol w:w="1799"/>
              <w:gridCol w:w="1601"/>
              <w:gridCol w:w="1602"/>
            </w:tblGrid>
            <w:tr w14:paraId="0FFE2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74" w:type="pct"/>
                  <w:tcBorders>
                    <w:tl2br w:val="nil"/>
                    <w:tr2bl w:val="nil"/>
                  </w:tcBorders>
                  <w:noWrap w:val="0"/>
                  <w:vAlign w:val="center"/>
                </w:tcPr>
                <w:p w14:paraId="61F11C68">
                  <w:pPr>
                    <w:adjustRightInd w:val="0"/>
                    <w:snapToGrid w:val="0"/>
                    <w:spacing w:before="48" w:beforeLines="20" w:line="288" w:lineRule="auto"/>
                    <w:jc w:val="center"/>
                    <w:rPr>
                      <w:rFonts w:hint="default" w:ascii="Times New Roman" w:hAnsi="Times New Roman" w:eastAsia="仿宋" w:cs="Times New Roman"/>
                      <w:b/>
                      <w:color w:val="000000" w:themeColor="text1"/>
                      <w:szCs w:val="21"/>
                      <w:highlight w:val="none"/>
                      <w:u w:val="none"/>
                      <w14:textFill>
                        <w14:solidFill>
                          <w14:schemeClr w14:val="tx1"/>
                        </w14:solidFill>
                      </w14:textFill>
                    </w:rPr>
                  </w:pPr>
                  <w:r>
                    <w:rPr>
                      <w:rFonts w:hint="default" w:ascii="Times New Roman" w:hAnsi="Times New Roman" w:eastAsia="仿宋" w:cs="Times New Roman"/>
                      <w:b/>
                      <w:color w:val="000000" w:themeColor="text1"/>
                      <w:szCs w:val="21"/>
                      <w:highlight w:val="none"/>
                      <w:u w:val="none"/>
                      <w14:textFill>
                        <w14:solidFill>
                          <w14:schemeClr w14:val="tx1"/>
                        </w14:solidFill>
                      </w14:textFill>
                    </w:rPr>
                    <w:t>序号</w:t>
                  </w:r>
                </w:p>
              </w:tc>
              <w:tc>
                <w:tcPr>
                  <w:tcW w:w="1343" w:type="pct"/>
                  <w:tcBorders>
                    <w:tl2br w:val="nil"/>
                    <w:tr2bl w:val="nil"/>
                  </w:tcBorders>
                  <w:noWrap w:val="0"/>
                  <w:vAlign w:val="center"/>
                </w:tcPr>
                <w:p w14:paraId="49632A94">
                  <w:pPr>
                    <w:adjustRightInd w:val="0"/>
                    <w:snapToGrid w:val="0"/>
                    <w:spacing w:before="48" w:beforeLines="20" w:line="288" w:lineRule="auto"/>
                    <w:jc w:val="center"/>
                    <w:rPr>
                      <w:rFonts w:hint="default" w:ascii="Times New Roman" w:hAnsi="Times New Roman" w:eastAsia="仿宋" w:cs="Times New Roman"/>
                      <w:b/>
                      <w:color w:val="000000" w:themeColor="text1"/>
                      <w:szCs w:val="21"/>
                      <w:highlight w:val="none"/>
                      <w:u w:val="none"/>
                      <w14:textFill>
                        <w14:solidFill>
                          <w14:schemeClr w14:val="tx1"/>
                        </w14:solidFill>
                      </w14:textFill>
                    </w:rPr>
                  </w:pPr>
                  <w:r>
                    <w:rPr>
                      <w:rFonts w:hint="default" w:ascii="Times New Roman" w:hAnsi="Times New Roman" w:eastAsia="仿宋" w:cs="Times New Roman"/>
                      <w:b/>
                      <w:color w:val="000000" w:themeColor="text1"/>
                      <w:szCs w:val="21"/>
                      <w:highlight w:val="none"/>
                      <w:u w:val="none"/>
                      <w14:textFill>
                        <w14:solidFill>
                          <w14:schemeClr w14:val="tx1"/>
                        </w14:solidFill>
                      </w14:textFill>
                    </w:rPr>
                    <w:t>产品名称</w:t>
                  </w:r>
                </w:p>
              </w:tc>
              <w:tc>
                <w:tcPr>
                  <w:tcW w:w="1072" w:type="pct"/>
                  <w:tcBorders>
                    <w:tl2br w:val="nil"/>
                    <w:tr2bl w:val="nil"/>
                  </w:tcBorders>
                  <w:noWrap w:val="0"/>
                  <w:vAlign w:val="center"/>
                </w:tcPr>
                <w:p w14:paraId="7C7C4163">
                  <w:pPr>
                    <w:adjustRightInd w:val="0"/>
                    <w:snapToGrid w:val="0"/>
                    <w:spacing w:before="48" w:beforeLines="20" w:line="288" w:lineRule="auto"/>
                    <w:jc w:val="center"/>
                    <w:rPr>
                      <w:rFonts w:hint="default" w:ascii="Times New Roman" w:hAnsi="Times New Roman" w:eastAsia="仿宋" w:cs="Times New Roman"/>
                      <w:b/>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Cs w:val="21"/>
                      <w:highlight w:val="none"/>
                      <w:u w:val="none"/>
                      <w:lang w:val="en-US" w:eastAsia="zh-CN"/>
                      <w14:textFill>
                        <w14:solidFill>
                          <w14:schemeClr w14:val="tx1"/>
                        </w14:solidFill>
                      </w14:textFill>
                    </w:rPr>
                    <w:t>年产量</w:t>
                  </w:r>
                </w:p>
              </w:tc>
              <w:tc>
                <w:tcPr>
                  <w:tcW w:w="954" w:type="pct"/>
                  <w:tcBorders>
                    <w:tl2br w:val="nil"/>
                    <w:tr2bl w:val="nil"/>
                  </w:tcBorders>
                  <w:noWrap w:val="0"/>
                  <w:vAlign w:val="center"/>
                </w:tcPr>
                <w:p w14:paraId="196C88F9">
                  <w:pPr>
                    <w:adjustRightInd w:val="0"/>
                    <w:snapToGrid w:val="0"/>
                    <w:spacing w:before="48" w:beforeLines="20" w:line="288" w:lineRule="auto"/>
                    <w:jc w:val="center"/>
                    <w:rPr>
                      <w:rFonts w:hint="default" w:ascii="Times New Roman" w:hAnsi="Times New Roman" w:eastAsia="仿宋" w:cs="Times New Roman"/>
                      <w:b/>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Cs w:val="21"/>
                      <w:highlight w:val="none"/>
                      <w:u w:val="none"/>
                      <w:lang w:val="en-US" w:eastAsia="zh-CN"/>
                      <w14:textFill>
                        <w14:solidFill>
                          <w14:schemeClr w14:val="tx1"/>
                        </w14:solidFill>
                      </w14:textFill>
                    </w:rPr>
                    <w:t>单位</w:t>
                  </w:r>
                </w:p>
              </w:tc>
              <w:tc>
                <w:tcPr>
                  <w:tcW w:w="955" w:type="pct"/>
                  <w:tcBorders>
                    <w:tl2br w:val="nil"/>
                    <w:tr2bl w:val="nil"/>
                  </w:tcBorders>
                  <w:noWrap w:val="0"/>
                  <w:vAlign w:val="center"/>
                </w:tcPr>
                <w:p w14:paraId="7098F405">
                  <w:pPr>
                    <w:adjustRightInd w:val="0"/>
                    <w:snapToGrid w:val="0"/>
                    <w:spacing w:before="48" w:beforeLines="20" w:line="288" w:lineRule="auto"/>
                    <w:jc w:val="center"/>
                    <w:rPr>
                      <w:rFonts w:hint="default" w:ascii="Times New Roman" w:hAnsi="Times New Roman" w:eastAsia="仿宋" w:cs="Times New Roman"/>
                      <w:b/>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Cs w:val="21"/>
                      <w:highlight w:val="none"/>
                      <w:u w:val="none"/>
                      <w:lang w:val="en-US" w:eastAsia="zh-CN"/>
                      <w14:textFill>
                        <w14:solidFill>
                          <w14:schemeClr w14:val="tx1"/>
                        </w14:solidFill>
                      </w14:textFill>
                    </w:rPr>
                    <w:t>含水率</w:t>
                  </w:r>
                </w:p>
              </w:tc>
            </w:tr>
            <w:tr w14:paraId="3156D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4" w:type="pct"/>
                  <w:tcBorders>
                    <w:tl2br w:val="nil"/>
                    <w:tr2bl w:val="nil"/>
                  </w:tcBorders>
                  <w:noWrap w:val="0"/>
                  <w:vAlign w:val="center"/>
                </w:tcPr>
                <w:p w14:paraId="1BACF01C">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14:textFill>
                        <w14:solidFill>
                          <w14:schemeClr w14:val="tx1"/>
                        </w14:solidFill>
                      </w14:textFill>
                    </w:rPr>
                  </w:pPr>
                  <w:r>
                    <w:rPr>
                      <w:rFonts w:hint="default" w:ascii="Times New Roman" w:hAnsi="Times New Roman" w:eastAsia="仿宋" w:cs="Times New Roman"/>
                      <w:bCs/>
                      <w:color w:val="000000" w:themeColor="text1"/>
                      <w:szCs w:val="21"/>
                      <w:highlight w:val="none"/>
                      <w:u w:val="none"/>
                      <w14:textFill>
                        <w14:solidFill>
                          <w14:schemeClr w14:val="tx1"/>
                        </w14:solidFill>
                      </w14:textFill>
                    </w:rPr>
                    <w:t>1</w:t>
                  </w:r>
                </w:p>
              </w:tc>
              <w:tc>
                <w:tcPr>
                  <w:tcW w:w="1343" w:type="pct"/>
                  <w:tcBorders>
                    <w:tl2br w:val="nil"/>
                    <w:tr2bl w:val="nil"/>
                  </w:tcBorders>
                  <w:noWrap w:val="0"/>
                  <w:vAlign w:val="center"/>
                </w:tcPr>
                <w:p w14:paraId="021C0913">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成型生物质颗粒</w:t>
                  </w:r>
                </w:p>
              </w:tc>
              <w:tc>
                <w:tcPr>
                  <w:tcW w:w="1072" w:type="pct"/>
                  <w:tcBorders>
                    <w:tl2br w:val="nil"/>
                    <w:tr2bl w:val="nil"/>
                  </w:tcBorders>
                  <w:noWrap w:val="0"/>
                  <w:vAlign w:val="center"/>
                </w:tcPr>
                <w:p w14:paraId="68EAC7F2">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21600</w:t>
                  </w:r>
                </w:p>
              </w:tc>
              <w:tc>
                <w:tcPr>
                  <w:tcW w:w="954" w:type="pct"/>
                  <w:tcBorders>
                    <w:tl2br w:val="nil"/>
                    <w:tr2bl w:val="nil"/>
                  </w:tcBorders>
                  <w:noWrap w:val="0"/>
                  <w:vAlign w:val="center"/>
                </w:tcPr>
                <w:p w14:paraId="4FEA9F8F">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t</w:t>
                  </w:r>
                </w:p>
              </w:tc>
              <w:tc>
                <w:tcPr>
                  <w:tcW w:w="955" w:type="pct"/>
                  <w:tcBorders>
                    <w:tl2br w:val="nil"/>
                    <w:tr2bl w:val="nil"/>
                  </w:tcBorders>
                  <w:noWrap w:val="0"/>
                  <w:vAlign w:val="center"/>
                </w:tcPr>
                <w:p w14:paraId="0B17F1B7">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10%</w:t>
                  </w:r>
                </w:p>
              </w:tc>
            </w:tr>
          </w:tbl>
          <w:p w14:paraId="5B7FEC0F">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14:textFill>
                  <w14:solidFill>
                    <w14:schemeClr w14:val="tx1"/>
                  </w14:solidFill>
                </w14:textFill>
              </w:rPr>
            </w:pPr>
          </w:p>
          <w:p w14:paraId="3D6B9090">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14:textFill>
                  <w14:solidFill>
                    <w14:schemeClr w14:val="tx1"/>
                  </w14:solidFill>
                </w14:textFill>
              </w:rPr>
            </w:pPr>
          </w:p>
          <w:p w14:paraId="45F14031">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14:textFill>
                  <w14:solidFill>
                    <w14:schemeClr w14:val="tx1"/>
                  </w14:solidFill>
                </w14:textFill>
              </w:rPr>
            </w:pPr>
          </w:p>
          <w:p w14:paraId="2767E4B4">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14:textFill>
                  <w14:solidFill>
                    <w14:schemeClr w14:val="tx1"/>
                  </w14:solidFill>
                </w14:textFill>
              </w:rPr>
            </w:pPr>
          </w:p>
          <w:p w14:paraId="4C99C927">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14:textFill>
                  <w14:solidFill>
                    <w14:schemeClr w14:val="tx1"/>
                  </w14:solidFill>
                </w14:textFill>
              </w:rPr>
            </w:pPr>
          </w:p>
          <w:p w14:paraId="54D397B5">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14:textFill>
                  <w14:solidFill>
                    <w14:schemeClr w14:val="tx1"/>
                  </w14:solidFill>
                </w14:textFill>
              </w:rPr>
            </w:pPr>
          </w:p>
          <w:p w14:paraId="7C6D6C1F">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14:textFill>
                  <w14:solidFill>
                    <w14:schemeClr w14:val="tx1"/>
                  </w14:solidFill>
                </w14:textFill>
              </w:rPr>
            </w:pPr>
          </w:p>
          <w:p w14:paraId="36D96380">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14:textFill>
                  <w14:solidFill>
                    <w14:schemeClr w14:val="tx1"/>
                  </w14:solidFill>
                </w14:textFill>
              </w:rPr>
            </w:pPr>
          </w:p>
          <w:p w14:paraId="58378F4B">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14:textFill>
                  <w14:solidFill>
                    <w14:schemeClr w14:val="tx1"/>
                  </w14:solidFill>
                </w14:textFill>
              </w:rPr>
              <w:t>表2-</w:t>
            </w:r>
            <w:r>
              <w:rPr>
                <w:rFonts w:hint="eastAsia"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5</w:t>
            </w:r>
            <w:r>
              <w:rPr>
                <w:rFonts w:hint="default" w:ascii="Times New Roman" w:hAnsi="Times New Roman" w:eastAsia="仿宋" w:cs="Times New Roman"/>
                <w:b/>
                <w:color w:val="000000" w:themeColor="text1"/>
                <w:sz w:val="21"/>
                <w:szCs w:val="21"/>
                <w:highlight w:val="none"/>
                <w:u w:val="none"/>
                <w14:textFill>
                  <w14:solidFill>
                    <w14:schemeClr w14:val="tx1"/>
                  </w14:solidFill>
                </w14:textFill>
              </w:rPr>
              <w:t>产品质量标准一览表</w:t>
            </w:r>
          </w:p>
          <w:tbl>
            <w:tblPr>
              <w:tblStyle w:val="78"/>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432"/>
              <w:gridCol w:w="2564"/>
              <w:gridCol w:w="2391"/>
            </w:tblGrid>
            <w:tr w14:paraId="6B61B6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046" w:type="pct"/>
                  <w:vMerge w:val="restart"/>
                  <w:tcBorders>
                    <w:tl2br w:val="nil"/>
                    <w:tr2bl w:val="nil"/>
                  </w:tcBorders>
                  <w:vAlign w:val="center"/>
                </w:tcPr>
                <w:p w14:paraId="37019AD2">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项目</w:t>
                  </w:r>
                </w:p>
              </w:tc>
              <w:tc>
                <w:tcPr>
                  <w:tcW w:w="2953" w:type="pct"/>
                  <w:gridSpan w:val="2"/>
                  <w:tcBorders>
                    <w:tl2br w:val="nil"/>
                    <w:tr2bl w:val="nil"/>
                  </w:tcBorders>
                  <w:vAlign w:val="center"/>
                </w:tcPr>
                <w:p w14:paraId="306CBC91">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颗粒状燃料</w:t>
                  </w:r>
                </w:p>
              </w:tc>
            </w:tr>
            <w:tr w14:paraId="24CEA8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046" w:type="pct"/>
                  <w:vMerge w:val="continue"/>
                  <w:tcBorders>
                    <w:tl2br w:val="nil"/>
                    <w:tr2bl w:val="nil"/>
                  </w:tcBorders>
                  <w:vAlign w:val="center"/>
                </w:tcPr>
                <w:p w14:paraId="4388C383">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p>
              </w:tc>
              <w:tc>
                <w:tcPr>
                  <w:tcW w:w="1528" w:type="pct"/>
                  <w:tcBorders>
                    <w:tl2br w:val="nil"/>
                    <w:tr2bl w:val="nil"/>
                  </w:tcBorders>
                  <w:vAlign w:val="center"/>
                </w:tcPr>
                <w:p w14:paraId="1791E30E">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主要原料为草本类</w:t>
                  </w:r>
                </w:p>
              </w:tc>
              <w:tc>
                <w:tcPr>
                  <w:tcW w:w="1425" w:type="pct"/>
                  <w:tcBorders>
                    <w:tl2br w:val="nil"/>
                    <w:tr2bl w:val="nil"/>
                  </w:tcBorders>
                  <w:vAlign w:val="center"/>
                </w:tcPr>
                <w:p w14:paraId="62978D52">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主要原料为木本类</w:t>
                  </w:r>
                </w:p>
              </w:tc>
            </w:tr>
            <w:tr w14:paraId="0D243A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046" w:type="pct"/>
                  <w:tcBorders>
                    <w:tl2br w:val="nil"/>
                    <w:tr2bl w:val="nil"/>
                  </w:tcBorders>
                  <w:vAlign w:val="center"/>
                </w:tcPr>
                <w:p w14:paraId="6491FC78">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直径或横截面最大尺寸</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D</w:t>
                  </w: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w:t>
                  </w: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mm</w:t>
                  </w:r>
                </w:p>
              </w:tc>
              <w:tc>
                <w:tcPr>
                  <w:tcW w:w="2953" w:type="pct"/>
                  <w:gridSpan w:val="2"/>
                  <w:tcBorders>
                    <w:tl2br w:val="nil"/>
                    <w:tr2bl w:val="nil"/>
                  </w:tcBorders>
                  <w:vAlign w:val="center"/>
                </w:tcPr>
                <w:p w14:paraId="224EB062">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≤25</w:t>
                  </w:r>
                </w:p>
              </w:tc>
            </w:tr>
            <w:tr w14:paraId="6BFD94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046" w:type="pct"/>
                  <w:tcBorders>
                    <w:tl2br w:val="nil"/>
                    <w:tr2bl w:val="nil"/>
                  </w:tcBorders>
                  <w:vAlign w:val="center"/>
                </w:tcPr>
                <w:p w14:paraId="12245184">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长度，mm</w:t>
                  </w:r>
                </w:p>
              </w:tc>
              <w:tc>
                <w:tcPr>
                  <w:tcW w:w="2953" w:type="pct"/>
                  <w:gridSpan w:val="2"/>
                  <w:tcBorders>
                    <w:tl2br w:val="nil"/>
                    <w:tr2bl w:val="nil"/>
                  </w:tcBorders>
                  <w:vAlign w:val="center"/>
                </w:tcPr>
                <w:p w14:paraId="27F3BC78">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≤4D</w:t>
                  </w:r>
                </w:p>
              </w:tc>
            </w:tr>
            <w:tr w14:paraId="49B96B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046" w:type="pct"/>
                  <w:tcBorders>
                    <w:tl2br w:val="nil"/>
                    <w:tr2bl w:val="nil"/>
                  </w:tcBorders>
                  <w:vAlign w:val="center"/>
                </w:tcPr>
                <w:p w14:paraId="783079CB">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vertAlign w:val="superscript"/>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成型燃料密度，kg/m</w:t>
                  </w:r>
                  <w:r>
                    <w:rPr>
                      <w:rFonts w:hint="eastAsia" w:ascii="Times New Roman" w:hAnsi="Times New Roman" w:eastAsia="仿宋" w:cs="Times New Roman"/>
                      <w:bCs/>
                      <w:color w:val="000000" w:themeColor="text1"/>
                      <w:szCs w:val="21"/>
                      <w:highlight w:val="none"/>
                      <w:u w:val="none"/>
                      <w:vertAlign w:val="superscript"/>
                      <w:lang w:val="en-US" w:eastAsia="zh-CN"/>
                      <w14:textFill>
                        <w14:solidFill>
                          <w14:schemeClr w14:val="tx1"/>
                        </w14:solidFill>
                      </w14:textFill>
                    </w:rPr>
                    <w:t>3</w:t>
                  </w:r>
                </w:p>
              </w:tc>
              <w:tc>
                <w:tcPr>
                  <w:tcW w:w="2953" w:type="pct"/>
                  <w:gridSpan w:val="2"/>
                  <w:tcBorders>
                    <w:tl2br w:val="nil"/>
                    <w:tr2bl w:val="nil"/>
                  </w:tcBorders>
                  <w:vAlign w:val="center"/>
                </w:tcPr>
                <w:p w14:paraId="7966F52C">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≥1000</w:t>
                  </w:r>
                </w:p>
              </w:tc>
            </w:tr>
            <w:tr w14:paraId="3F81ED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046" w:type="pct"/>
                  <w:tcBorders>
                    <w:tl2br w:val="nil"/>
                    <w:tr2bl w:val="nil"/>
                  </w:tcBorders>
                  <w:vAlign w:val="center"/>
                </w:tcPr>
                <w:p w14:paraId="65C8FEA8">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含水率，%</w:t>
                  </w:r>
                </w:p>
              </w:tc>
              <w:tc>
                <w:tcPr>
                  <w:tcW w:w="2953" w:type="pct"/>
                  <w:gridSpan w:val="2"/>
                  <w:tcBorders>
                    <w:tl2br w:val="nil"/>
                    <w:tr2bl w:val="nil"/>
                  </w:tcBorders>
                  <w:vAlign w:val="center"/>
                </w:tcPr>
                <w:p w14:paraId="41F29616">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≤13</w:t>
                  </w:r>
                </w:p>
              </w:tc>
            </w:tr>
            <w:tr w14:paraId="67598D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046" w:type="pct"/>
                  <w:tcBorders>
                    <w:tl2br w:val="nil"/>
                    <w:tr2bl w:val="nil"/>
                  </w:tcBorders>
                  <w:vAlign w:val="center"/>
                </w:tcPr>
                <w:p w14:paraId="3DC6C344">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灰分含量，%</w:t>
                  </w:r>
                </w:p>
              </w:tc>
              <w:tc>
                <w:tcPr>
                  <w:tcW w:w="1528" w:type="pct"/>
                  <w:tcBorders>
                    <w:tl2br w:val="nil"/>
                    <w:tr2bl w:val="nil"/>
                  </w:tcBorders>
                  <w:vAlign w:val="center"/>
                </w:tcPr>
                <w:p w14:paraId="61B2293F">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≤10</w:t>
                  </w:r>
                </w:p>
              </w:tc>
              <w:tc>
                <w:tcPr>
                  <w:tcW w:w="1425" w:type="pct"/>
                  <w:tcBorders>
                    <w:tl2br w:val="nil"/>
                    <w:tr2bl w:val="nil"/>
                  </w:tcBorders>
                  <w:vAlign w:val="center"/>
                </w:tcPr>
                <w:p w14:paraId="26F6417E">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≤6</w:t>
                  </w:r>
                </w:p>
              </w:tc>
            </w:tr>
            <w:tr w14:paraId="1E6E4A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046" w:type="pct"/>
                  <w:tcBorders>
                    <w:tl2br w:val="nil"/>
                    <w:tr2bl w:val="nil"/>
                  </w:tcBorders>
                  <w:vAlign w:val="center"/>
                </w:tcPr>
                <w:p w14:paraId="2D5A8A89">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低位发热量，MJ/kg</w:t>
                  </w:r>
                </w:p>
              </w:tc>
              <w:tc>
                <w:tcPr>
                  <w:tcW w:w="1528" w:type="pct"/>
                  <w:tcBorders>
                    <w:tl2br w:val="nil"/>
                    <w:tr2bl w:val="nil"/>
                  </w:tcBorders>
                  <w:vAlign w:val="center"/>
                </w:tcPr>
                <w:p w14:paraId="019F4135">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≥13.4</w:t>
                  </w:r>
                </w:p>
              </w:tc>
              <w:tc>
                <w:tcPr>
                  <w:tcW w:w="1425" w:type="pct"/>
                  <w:tcBorders>
                    <w:tl2br w:val="nil"/>
                    <w:tr2bl w:val="nil"/>
                  </w:tcBorders>
                  <w:vAlign w:val="center"/>
                </w:tcPr>
                <w:p w14:paraId="7EA8E31E">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≥16.9</w:t>
                  </w:r>
                </w:p>
              </w:tc>
            </w:tr>
            <w:tr w14:paraId="626C56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046" w:type="pct"/>
                  <w:tcBorders>
                    <w:tl2br w:val="nil"/>
                    <w:tr2bl w:val="nil"/>
                  </w:tcBorders>
                  <w:vAlign w:val="center"/>
                </w:tcPr>
                <w:p w14:paraId="3FFD6B9F">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破碎率%</w:t>
                  </w:r>
                  <w:r>
                    <w:rPr>
                      <w:rFonts w:hint="eastAsia" w:eastAsia="仿宋" w:cs="Times New Roman"/>
                      <w:bCs/>
                      <w:color w:val="000000" w:themeColor="text1"/>
                      <w:szCs w:val="21"/>
                      <w:highlight w:val="none"/>
                      <w:u w:val="none"/>
                      <w:lang w:val="en-US" w:eastAsia="zh-CN"/>
                      <w14:textFill>
                        <w14:solidFill>
                          <w14:schemeClr w14:val="tx1"/>
                        </w14:solidFill>
                      </w14:textFill>
                    </w:rPr>
                    <w:t>，</w:t>
                  </w:r>
                </w:p>
              </w:tc>
              <w:tc>
                <w:tcPr>
                  <w:tcW w:w="2953" w:type="pct"/>
                  <w:gridSpan w:val="2"/>
                  <w:tcBorders>
                    <w:tl2br w:val="nil"/>
                    <w:tr2bl w:val="nil"/>
                  </w:tcBorders>
                  <w:vAlign w:val="center"/>
                </w:tcPr>
                <w:p w14:paraId="7EAA9C63">
                  <w:pPr>
                    <w:adjustRightInd w:val="0"/>
                    <w:snapToGrid w:val="0"/>
                    <w:spacing w:before="48" w:beforeLines="20" w:line="288" w:lineRule="auto"/>
                    <w:jc w:val="cente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Cs w:val="21"/>
                      <w:highlight w:val="none"/>
                      <w:u w:val="none"/>
                      <w:lang w:val="en-US" w:eastAsia="zh-CN"/>
                      <w14:textFill>
                        <w14:solidFill>
                          <w14:schemeClr w14:val="tx1"/>
                        </w14:solidFill>
                      </w14:textFill>
                    </w:rPr>
                    <w:t>≤5</w:t>
                  </w:r>
                </w:p>
              </w:tc>
            </w:tr>
          </w:tbl>
          <w:p w14:paraId="00F7CB5C">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2" w:firstLineChars="200"/>
              <w:jc w:val="both"/>
              <w:textAlignment w:val="auto"/>
              <w:rPr>
                <w:rFonts w:hint="default" w:ascii="Times New Roman" w:hAnsi="Times New Roman" w:eastAsia="仿宋" w:cs="Times New Roman"/>
                <w:b/>
                <w:color w:val="000000" w:themeColor="text1"/>
                <w:sz w:val="24"/>
                <w:highlight w:val="none"/>
                <w:u w:val="none"/>
                <w14:textFill>
                  <w14:solidFill>
                    <w14:schemeClr w14:val="tx1"/>
                  </w14:solidFill>
                </w14:textFill>
              </w:rPr>
            </w:pPr>
            <w:r>
              <w:rPr>
                <w:rFonts w:hint="default" w:ascii="Times New Roman" w:hAnsi="Times New Roman" w:eastAsia="仿宋" w:cs="Times New Roman"/>
                <w:b/>
                <w:color w:val="000000" w:themeColor="text1"/>
                <w:sz w:val="24"/>
                <w:highlight w:val="none"/>
                <w:u w:val="none"/>
                <w:lang w:val="en-US" w:eastAsia="zh-CN"/>
                <w14:textFill>
                  <w14:solidFill>
                    <w14:schemeClr w14:val="tx1"/>
                  </w14:solidFill>
                </w14:textFill>
              </w:rPr>
              <w:t>5</w:t>
            </w:r>
            <w:r>
              <w:rPr>
                <w:rFonts w:hint="default" w:ascii="Times New Roman" w:hAnsi="Times New Roman" w:eastAsia="仿宋" w:cs="Times New Roman"/>
                <w:b/>
                <w:color w:val="000000" w:themeColor="text1"/>
                <w:sz w:val="24"/>
                <w:highlight w:val="none"/>
                <w:u w:val="none"/>
                <w14:textFill>
                  <w14:solidFill>
                    <w14:schemeClr w14:val="tx1"/>
                  </w14:solidFill>
                </w14:textFill>
              </w:rPr>
              <w:t>、公用工程</w:t>
            </w:r>
          </w:p>
          <w:p w14:paraId="589D7348">
            <w:pPr>
              <w:adjustRightInd w:val="0"/>
              <w:snapToGrid w:val="0"/>
              <w:spacing w:line="360" w:lineRule="auto"/>
              <w:ind w:firstLine="480" w:firstLineChars="200"/>
              <w:jc w:val="left"/>
              <w:rPr>
                <w:rFonts w:hint="default" w:ascii="Times New Roman" w:hAnsi="Times New Roman" w:eastAsia="仿宋" w:cs="Times New Roman"/>
                <w:bCs/>
                <w:color w:val="000000" w:themeColor="text1"/>
                <w:sz w:val="24"/>
                <w:highlight w:val="none"/>
                <w:u w:val="none"/>
                <w14:textFill>
                  <w14:solidFill>
                    <w14:schemeClr w14:val="tx1"/>
                  </w14:solidFill>
                </w14:textFill>
              </w:rPr>
            </w:pPr>
            <w:r>
              <w:rPr>
                <w:rFonts w:hint="default" w:ascii="Times New Roman" w:hAnsi="Times New Roman" w:eastAsia="仿宋" w:cs="Times New Roman"/>
                <w:bCs/>
                <w:color w:val="000000" w:themeColor="text1"/>
                <w:sz w:val="24"/>
                <w:highlight w:val="none"/>
                <w:u w:val="none"/>
                <w14:textFill>
                  <w14:solidFill>
                    <w14:schemeClr w14:val="tx1"/>
                  </w14:solidFill>
                </w14:textFill>
              </w:rPr>
              <w:t>供电工程：项目生产所需电源由市政电网供应。</w:t>
            </w:r>
          </w:p>
          <w:p w14:paraId="6CFFBCF8">
            <w:pPr>
              <w:adjustRightInd w:val="0"/>
              <w:snapToGrid w:val="0"/>
              <w:spacing w:line="360" w:lineRule="auto"/>
              <w:ind w:firstLine="480" w:firstLineChars="200"/>
              <w:jc w:val="left"/>
              <w:rPr>
                <w:rFonts w:hint="default" w:ascii="Times New Roman" w:hAnsi="Times New Roman" w:eastAsia="仿宋" w:cs="Times New Roman"/>
                <w:bCs/>
                <w:color w:val="000000" w:themeColor="text1"/>
                <w:sz w:val="24"/>
                <w:highlight w:val="none"/>
                <w:u w:val="none"/>
                <w14:textFill>
                  <w14:solidFill>
                    <w14:schemeClr w14:val="tx1"/>
                  </w14:solidFill>
                </w14:textFill>
              </w:rPr>
            </w:pPr>
            <w:r>
              <w:rPr>
                <w:rFonts w:hint="default" w:ascii="Times New Roman" w:hAnsi="Times New Roman" w:eastAsia="仿宋" w:cs="Times New Roman"/>
                <w:bCs/>
                <w:color w:val="000000" w:themeColor="text1"/>
                <w:sz w:val="24"/>
                <w:highlight w:val="none"/>
                <w:u w:val="none"/>
                <w14:textFill>
                  <w14:solidFill>
                    <w14:schemeClr w14:val="tx1"/>
                  </w14:solidFill>
                </w14:textFill>
              </w:rPr>
              <w:t>给水工程：</w:t>
            </w:r>
            <w:r>
              <w:rPr>
                <w:rFonts w:hint="eastAsia" w:eastAsia="仿宋" w:cs="Times New Roman"/>
                <w:color w:val="000000" w:themeColor="text1"/>
                <w:kern w:val="0"/>
                <w:sz w:val="24"/>
                <w:highlight w:val="none"/>
                <w:u w:val="none"/>
                <w:lang w:val="en-US" w:eastAsia="zh-CN"/>
                <w14:textFill>
                  <w14:solidFill>
                    <w14:schemeClr w14:val="tx1"/>
                  </w14:solidFill>
                </w14:textFill>
              </w:rPr>
              <w:t>饮用水采取外购桶装水，生产不需用水</w:t>
            </w:r>
            <w:r>
              <w:rPr>
                <w:rFonts w:hint="default" w:ascii="Times New Roman" w:hAnsi="Times New Roman" w:eastAsia="仿宋" w:cs="Times New Roman"/>
                <w:bCs/>
                <w:color w:val="000000" w:themeColor="text1"/>
                <w:sz w:val="24"/>
                <w:highlight w:val="none"/>
                <w:u w:val="none"/>
                <w14:textFill>
                  <w14:solidFill>
                    <w14:schemeClr w14:val="tx1"/>
                  </w14:solidFill>
                </w14:textFill>
              </w:rPr>
              <w:t>，主要为员工生活用水</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w:t>
            </w:r>
            <w:r>
              <w:rPr>
                <w:rFonts w:hint="default" w:ascii="Times New Roman" w:hAnsi="Times New Roman" w:eastAsia="仿宋" w:cs="Times New Roman"/>
                <w:bCs/>
                <w:color w:val="000000" w:themeColor="text1"/>
                <w:sz w:val="24"/>
                <w:highlight w:val="none"/>
                <w:u w:val="none"/>
                <w14:textFill>
                  <w14:solidFill>
                    <w14:schemeClr w14:val="tx1"/>
                  </w14:solidFill>
                </w14:textFill>
              </w:rPr>
              <w:t>年用水量</w:t>
            </w:r>
            <w:r>
              <w:rPr>
                <w:rFonts w:hint="eastAsia" w:ascii="Times New Roman" w:hAnsi="Times New Roman" w:eastAsia="仿宋" w:cs="Times New Roman"/>
                <w:bCs/>
                <w:color w:val="000000" w:themeColor="text1"/>
                <w:sz w:val="24"/>
                <w:highlight w:val="none"/>
                <w:u w:val="none"/>
                <w:lang w:val="en-US" w:eastAsia="zh-CN"/>
                <w14:textFill>
                  <w14:solidFill>
                    <w14:schemeClr w14:val="tx1"/>
                  </w14:solidFill>
                </w14:textFill>
              </w:rPr>
              <w:t>48</w:t>
            </w:r>
            <w:r>
              <w:rPr>
                <w:rFonts w:hint="default" w:ascii="Times New Roman" w:hAnsi="Times New Roman" w:eastAsia="仿宋" w:cs="Times New Roman"/>
                <w:bCs/>
                <w:color w:val="000000" w:themeColor="text1"/>
                <w:sz w:val="24"/>
                <w:highlight w:val="none"/>
                <w:u w:val="none"/>
                <w14:textFill>
                  <w14:solidFill>
                    <w14:schemeClr w14:val="tx1"/>
                  </w14:solidFill>
                </w14:textFill>
              </w:rPr>
              <w:t>m</w:t>
            </w:r>
            <w:r>
              <w:rPr>
                <w:rFonts w:hint="default" w:ascii="Times New Roman" w:hAnsi="Times New Roman" w:eastAsia="仿宋" w:cs="Times New Roman"/>
                <w:bCs/>
                <w:color w:val="000000" w:themeColor="text1"/>
                <w:sz w:val="24"/>
                <w:highlight w:val="none"/>
                <w:u w:val="none"/>
                <w:vertAlign w:val="superscript"/>
                <w14:textFill>
                  <w14:solidFill>
                    <w14:schemeClr w14:val="tx1"/>
                  </w14:solidFill>
                </w14:textFill>
              </w:rPr>
              <w:t>3</w:t>
            </w:r>
            <w:r>
              <w:rPr>
                <w:rFonts w:hint="default" w:ascii="Times New Roman" w:hAnsi="Times New Roman" w:eastAsia="仿宋" w:cs="Times New Roman"/>
                <w:bCs/>
                <w:color w:val="000000" w:themeColor="text1"/>
                <w:sz w:val="24"/>
                <w:highlight w:val="none"/>
                <w:u w:val="none"/>
                <w14:textFill>
                  <w14:solidFill>
                    <w14:schemeClr w14:val="tx1"/>
                  </w14:solidFill>
                </w14:textFill>
              </w:rPr>
              <w:t>/a。</w:t>
            </w:r>
          </w:p>
          <w:p w14:paraId="4D7739F5">
            <w:pPr>
              <w:adjustRightInd w:val="0"/>
              <w:snapToGrid w:val="0"/>
              <w:spacing w:line="360" w:lineRule="auto"/>
              <w:ind w:firstLine="480" w:firstLineChars="200"/>
              <w:jc w:val="left"/>
              <w:rPr>
                <w:rFonts w:hint="default" w:ascii="Times New Roman" w:hAnsi="Times New Roman" w:eastAsia="仿宋" w:cs="Times New Roman"/>
                <w:bCs/>
                <w:color w:val="000000" w:themeColor="text1"/>
                <w:sz w:val="24"/>
                <w:highlight w:val="none"/>
                <w:u w:val="none"/>
                <w14:textFill>
                  <w14:solidFill>
                    <w14:schemeClr w14:val="tx1"/>
                  </w14:solidFill>
                </w14:textFill>
              </w:rPr>
            </w:pPr>
            <w:r>
              <w:rPr>
                <w:rFonts w:hint="default" w:ascii="Times New Roman" w:hAnsi="Times New Roman" w:eastAsia="仿宋" w:cs="Times New Roman"/>
                <w:bCs/>
                <w:color w:val="000000" w:themeColor="text1"/>
                <w:sz w:val="24"/>
                <w:highlight w:val="none"/>
                <w:u w:val="none"/>
                <w14:textFill>
                  <w14:solidFill>
                    <w14:schemeClr w14:val="tx1"/>
                  </w14:solidFill>
                </w14:textFill>
              </w:rPr>
              <w:t>（1）给水</w:t>
            </w:r>
          </w:p>
          <w:p w14:paraId="6F37C7AD">
            <w:pPr>
              <w:adjustRightInd w:val="0"/>
              <w:snapToGrid w:val="0"/>
              <w:spacing w:line="360" w:lineRule="auto"/>
              <w:ind w:firstLine="480" w:firstLineChars="200"/>
              <w:jc w:val="left"/>
              <w:rPr>
                <w:rFonts w:hint="default" w:ascii="Times New Roman" w:hAnsi="Times New Roman" w:eastAsia="仿宋" w:cs="Times New Roman"/>
                <w:bCs/>
                <w:color w:val="000000" w:themeColor="text1"/>
                <w:sz w:val="24"/>
                <w:highlight w:val="none"/>
                <w:u w:val="none"/>
                <w14:textFill>
                  <w14:solidFill>
                    <w14:schemeClr w14:val="tx1"/>
                  </w14:solidFill>
                </w14:textFill>
              </w:rPr>
            </w:pPr>
            <w:r>
              <w:rPr>
                <w:rFonts w:hint="default" w:ascii="Times New Roman" w:hAnsi="Times New Roman" w:eastAsia="仿宋" w:cs="Times New Roman"/>
                <w:bCs/>
                <w:color w:val="000000" w:themeColor="text1"/>
                <w:sz w:val="24"/>
                <w:highlight w:val="none"/>
                <w:u w:val="none"/>
                <w14:textFill>
                  <w14:solidFill>
                    <w14:schemeClr w14:val="tx1"/>
                  </w14:solidFill>
                </w14:textFill>
              </w:rPr>
              <w:t>项目劳动定员</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6</w:t>
            </w:r>
            <w:r>
              <w:rPr>
                <w:rFonts w:hint="default" w:ascii="Times New Roman" w:hAnsi="Times New Roman" w:eastAsia="仿宋" w:cs="Times New Roman"/>
                <w:bCs/>
                <w:color w:val="000000" w:themeColor="text1"/>
                <w:sz w:val="24"/>
                <w:highlight w:val="none"/>
                <w:u w:val="none"/>
                <w14:textFill>
                  <w14:solidFill>
                    <w14:schemeClr w14:val="tx1"/>
                  </w14:solidFill>
                </w14:textFill>
              </w:rPr>
              <w:t>人，</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不在厂内食宿，年工作</w:t>
            </w:r>
            <w:r>
              <w:rPr>
                <w:rFonts w:hint="eastAsia" w:ascii="Times New Roman" w:hAnsi="Times New Roman" w:eastAsia="仿宋" w:cs="Times New Roman"/>
                <w:bCs/>
                <w:color w:val="000000" w:themeColor="text1"/>
                <w:sz w:val="24"/>
                <w:highlight w:val="none"/>
                <w:u w:val="none"/>
                <w:lang w:val="en-US" w:eastAsia="zh-CN"/>
                <w14:textFill>
                  <w14:solidFill>
                    <w14:schemeClr w14:val="tx1"/>
                  </w14:solidFill>
                </w14:textFill>
              </w:rPr>
              <w:t>100</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天。</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根据《用水定额》（黑龙江省地方标准DB23/T727-2021），取80L/人·d计算，则用水量为</w:t>
            </w:r>
            <w:r>
              <w:rPr>
                <w:rFonts w:hint="eastAsia" w:eastAsia="仿宋" w:cs="Times New Roman"/>
                <w:color w:val="000000" w:themeColor="text1"/>
                <w:sz w:val="24"/>
                <w:szCs w:val="24"/>
                <w:highlight w:val="none"/>
                <w:u w:val="none"/>
                <w:lang w:val="en-US" w:eastAsia="zh-CN"/>
                <w14:textFill>
                  <w14:solidFill>
                    <w14:schemeClr w14:val="tx1"/>
                  </w14:solidFill>
                </w14:textFill>
              </w:rPr>
              <w:t>0.48</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m</w:t>
            </w:r>
            <w:r>
              <w:rPr>
                <w:rFonts w:hint="default" w:ascii="Times New Roman" w:hAnsi="Times New Roman" w:eastAsia="仿宋" w:cs="Times New Roman"/>
                <w:color w:val="000000" w:themeColor="text1"/>
                <w:sz w:val="24"/>
                <w:szCs w:val="24"/>
                <w:highlight w:val="none"/>
                <w:u w:val="none"/>
                <w:vertAlign w:val="superscript"/>
                <w14:textFill>
                  <w14:solidFill>
                    <w14:schemeClr w14:val="tx1"/>
                  </w14:solidFill>
                </w14:textFill>
              </w:rPr>
              <w:t>3</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/d、</w:t>
            </w:r>
            <w:r>
              <w:rPr>
                <w:rFonts w:hint="eastAsia" w:eastAsia="仿宋" w:cs="Times New Roman"/>
                <w:color w:val="000000" w:themeColor="text1"/>
                <w:sz w:val="24"/>
                <w:szCs w:val="24"/>
                <w:highlight w:val="none"/>
                <w:u w:val="none"/>
                <w:lang w:val="en-US" w:eastAsia="zh-CN"/>
                <w14:textFill>
                  <w14:solidFill>
                    <w14:schemeClr w14:val="tx1"/>
                  </w14:solidFill>
                </w14:textFill>
              </w:rPr>
              <w:t>48</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m</w:t>
            </w:r>
            <w:r>
              <w:rPr>
                <w:rFonts w:hint="default" w:ascii="Times New Roman" w:hAnsi="Times New Roman" w:eastAsia="仿宋" w:cs="Times New Roman"/>
                <w:color w:val="000000" w:themeColor="text1"/>
                <w:sz w:val="24"/>
                <w:szCs w:val="24"/>
                <w:highlight w:val="none"/>
                <w:u w:val="none"/>
                <w:vertAlign w:val="superscript"/>
                <w14:textFill>
                  <w14:solidFill>
                    <w14:schemeClr w14:val="tx1"/>
                  </w14:solidFill>
                </w14:textFill>
              </w:rPr>
              <w:t>3</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/a。</w:t>
            </w:r>
          </w:p>
          <w:p w14:paraId="0C3EA4D5">
            <w:pPr>
              <w:adjustRightInd w:val="0"/>
              <w:snapToGrid w:val="0"/>
              <w:spacing w:line="360" w:lineRule="auto"/>
              <w:ind w:firstLine="480" w:firstLineChars="200"/>
              <w:jc w:val="left"/>
              <w:rPr>
                <w:rFonts w:hint="default" w:ascii="Times New Roman" w:hAnsi="Times New Roman" w:eastAsia="仿宋" w:cs="Times New Roman"/>
                <w:color w:val="000000" w:themeColor="text1"/>
                <w:sz w:val="24"/>
                <w:szCs w:val="24"/>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（2）排水</w:t>
            </w:r>
          </w:p>
          <w:p w14:paraId="1AF50048">
            <w:pPr>
              <w:adjustRightInd w:val="0"/>
              <w:snapToGrid w:val="0"/>
              <w:spacing w:line="360" w:lineRule="auto"/>
              <w:ind w:firstLine="480" w:firstLineChars="200"/>
              <w:jc w:val="left"/>
              <w:rPr>
                <w:rFonts w:hint="eastAsia" w:ascii="Times New Roman" w:hAnsi="Times New Roman" w:eastAsia="仿宋" w:cs="Times New Roman"/>
                <w:color w:val="000000" w:themeColor="text1"/>
                <w:sz w:val="24"/>
                <w:szCs w:val="24"/>
                <w:highlight w:val="none"/>
                <w:u w:val="none"/>
                <w:lang w:eastAsia="zh-CN"/>
                <w14:textFill>
                  <w14:solidFill>
                    <w14:schemeClr w14:val="tx1"/>
                  </w14:solidFill>
                </w14:textFill>
              </w:rPr>
            </w:pP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生活用水量为</w:t>
            </w: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48</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t/a，废水排放量按用水量的</w:t>
            </w: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80</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%计，则项目生活污水量为</w:t>
            </w: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38.4t</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/a（</w:t>
            </w:r>
            <w:r>
              <w:rPr>
                <w:rFonts w:hint="default"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0.</w:t>
            </w: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384</w:t>
            </w:r>
            <w:r>
              <w:rPr>
                <w:rFonts w:hint="default"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2</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t/d）</w:t>
            </w:r>
            <w:r>
              <w:rPr>
                <w:rFonts w:hint="default" w:ascii="Times New Roman" w:hAnsi="Times New Roman" w:eastAsia="仿宋"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本项目生活污水产生量小，生活污水经</w:t>
            </w: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防渗旱厕，定期清掏，外运堆肥。</w:t>
            </w:r>
          </w:p>
          <w:p w14:paraId="3B0150B3">
            <w:pPr>
              <w:adjustRightInd w:val="0"/>
              <w:snapToGrid w:val="0"/>
              <w:spacing w:line="360" w:lineRule="auto"/>
              <w:ind w:firstLine="482" w:firstLineChars="200"/>
              <w:jc w:val="left"/>
              <w:rPr>
                <w:rFonts w:hint="default" w:ascii="Times New Roman" w:hAnsi="Times New Roman" w:eastAsia="仿宋" w:cs="Times New Roman"/>
                <w:b/>
                <w:color w:val="000000" w:themeColor="text1"/>
                <w:sz w:val="24"/>
                <w:highlight w:val="none"/>
                <w:u w:val="none"/>
                <w14:textFill>
                  <w14:solidFill>
                    <w14:schemeClr w14:val="tx1"/>
                  </w14:solidFill>
                </w14:textFill>
              </w:rPr>
            </w:pPr>
            <w:bookmarkStart w:id="3" w:name="_Toc9567"/>
            <w:bookmarkStart w:id="4" w:name="_Toc532482179"/>
            <w:bookmarkStart w:id="5" w:name="_Toc14211"/>
            <w:r>
              <w:rPr>
                <w:rFonts w:hint="default" w:ascii="Times New Roman" w:hAnsi="Times New Roman" w:eastAsia="仿宋" w:cs="Times New Roman"/>
                <w:b/>
                <w:color w:val="000000" w:themeColor="text1"/>
                <w:sz w:val="24"/>
                <w:highlight w:val="none"/>
                <w:u w:val="none"/>
                <w14:textFill>
                  <w14:solidFill>
                    <w14:schemeClr w14:val="tx1"/>
                  </w14:solidFill>
                </w14:textFill>
              </w:rPr>
              <w:t>7、劳动定员及工作制度</w:t>
            </w:r>
            <w:bookmarkEnd w:id="3"/>
            <w:bookmarkEnd w:id="4"/>
            <w:bookmarkEnd w:id="5"/>
          </w:p>
          <w:p w14:paraId="19B7F829">
            <w:pPr>
              <w:adjustRightInd w:val="0"/>
              <w:snapToGrid w:val="0"/>
              <w:spacing w:line="360" w:lineRule="auto"/>
              <w:ind w:firstLine="480" w:firstLineChars="200"/>
              <w:jc w:val="left"/>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项目劳动定员6人，不在厂内食宿。年工作天数</w:t>
            </w:r>
            <w:r>
              <w:rPr>
                <w:rFonts w:hint="eastAsia" w:ascii="Times New Roman" w:hAnsi="Times New Roman" w:eastAsia="仿宋" w:cs="Times New Roman"/>
                <w:bCs/>
                <w:color w:val="000000" w:themeColor="text1"/>
                <w:sz w:val="24"/>
                <w:highlight w:val="none"/>
                <w:u w:val="none"/>
                <w:lang w:val="en-US" w:eastAsia="zh-CN"/>
                <w14:textFill>
                  <w14:solidFill>
                    <w14:schemeClr w14:val="tx1"/>
                  </w14:solidFill>
                </w14:textFill>
              </w:rPr>
              <w:t>100</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天，每天工作</w:t>
            </w:r>
            <w:r>
              <w:rPr>
                <w:rFonts w:hint="eastAsia" w:eastAsia="仿宋" w:cs="Times New Roman"/>
                <w:bCs/>
                <w:color w:val="000000" w:themeColor="text1"/>
                <w:sz w:val="24"/>
                <w:highlight w:val="none"/>
                <w:u w:val="none"/>
                <w:lang w:val="en-US" w:eastAsia="zh-CN"/>
                <w14:textFill>
                  <w14:solidFill>
                    <w14:schemeClr w14:val="tx1"/>
                  </w14:solidFill>
                </w14:textFill>
              </w:rPr>
              <w:t>8</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小时，夜间不生产</w:t>
            </w:r>
            <w:r>
              <w:rPr>
                <w:rFonts w:hint="default" w:ascii="Times New Roman" w:hAnsi="Times New Roman" w:eastAsia="仿宋" w:cs="Times New Roman"/>
                <w:bCs/>
                <w:color w:val="000000" w:themeColor="text1"/>
                <w:sz w:val="24"/>
                <w:highlight w:val="none"/>
                <w:u w:val="none"/>
                <w14:textFill>
                  <w14:solidFill>
                    <w14:schemeClr w14:val="tx1"/>
                  </w14:solidFill>
                </w14:textFill>
              </w:rPr>
              <w:t>。</w:t>
            </w:r>
          </w:p>
          <w:p w14:paraId="08DBEF39">
            <w:pPr>
              <w:adjustRightInd w:val="0"/>
              <w:snapToGrid w:val="0"/>
              <w:spacing w:line="360" w:lineRule="auto"/>
              <w:ind w:firstLine="480" w:firstLineChars="200"/>
              <w:rPr>
                <w:rFonts w:hint="default" w:ascii="Times New Roman" w:hAnsi="Times New Roman" w:eastAsia="仿宋" w:cs="Times New Roman"/>
                <w:bCs/>
                <w:color w:val="000000" w:themeColor="text1"/>
                <w:sz w:val="24"/>
                <w:highlight w:val="none"/>
                <w:u w:val="none"/>
                <w14:textFill>
                  <w14:solidFill>
                    <w14:schemeClr w14:val="tx1"/>
                  </w14:solidFill>
                </w14:textFill>
              </w:rPr>
            </w:pPr>
            <w:r>
              <w:rPr>
                <w:rFonts w:hint="default" w:ascii="Times New Roman" w:hAnsi="Times New Roman" w:eastAsia="仿宋" w:cs="Times New Roman"/>
                <w:bCs/>
                <w:color w:val="000000" w:themeColor="text1"/>
                <w:sz w:val="24"/>
                <w:highlight w:val="none"/>
                <w:u w:val="none"/>
                <w14:textFill>
                  <w14:solidFill>
                    <w14:schemeClr w14:val="tx1"/>
                  </w14:solidFill>
                </w14:textFill>
              </w:rPr>
              <w:t>8、总平面布置</w:t>
            </w:r>
          </w:p>
          <w:p w14:paraId="5EEB42FE">
            <w:pPr>
              <w:adjustRightInd w:val="0"/>
              <w:snapToGrid w:val="0"/>
              <w:spacing w:line="360" w:lineRule="auto"/>
              <w:ind w:firstLine="480" w:firstLineChars="200"/>
              <w:rPr>
                <w:rFonts w:hint="eastAsia" w:ascii="Times New Roman" w:hAnsi="Times New Roman" w:eastAsia="仿宋" w:cs="Times New Roman"/>
                <w:bCs/>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 w:val="24"/>
                <w:highlight w:val="none"/>
                <w:u w:val="none"/>
                <w14:textFill>
                  <w14:solidFill>
                    <w14:schemeClr w14:val="tx1"/>
                  </w14:solidFill>
                </w14:textFill>
              </w:rPr>
              <w:t>本项目占地</w:t>
            </w:r>
            <w:r>
              <w:rPr>
                <w:rFonts w:hint="eastAsia" w:ascii="Times New Roman" w:hAnsi="Times New Roman" w:eastAsia="仿宋" w:cs="Times New Roman"/>
                <w:bCs/>
                <w:color w:val="000000" w:themeColor="text1"/>
                <w:sz w:val="24"/>
                <w:highlight w:val="none"/>
                <w:u w:val="none"/>
                <w:lang w:val="en-US" w:eastAsia="zh-CN"/>
                <w14:textFill>
                  <w14:solidFill>
                    <w14:schemeClr w14:val="tx1"/>
                  </w14:solidFill>
                </w14:textFill>
              </w:rPr>
              <w:t>4284</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m</w:t>
            </w:r>
            <w:r>
              <w:rPr>
                <w:rFonts w:hint="default" w:ascii="Times New Roman" w:hAnsi="Times New Roman" w:eastAsia="仿宋" w:cs="Times New Roman"/>
                <w:bCs/>
                <w:color w:val="000000" w:themeColor="text1"/>
                <w:sz w:val="24"/>
                <w:highlight w:val="none"/>
                <w:u w:val="none"/>
                <w:vertAlign w:val="superscript"/>
                <w:lang w:val="en-US" w:eastAsia="zh-CN"/>
                <w14:textFill>
                  <w14:solidFill>
                    <w14:schemeClr w14:val="tx1"/>
                  </w14:solidFill>
                </w14:textFill>
              </w:rPr>
              <w:t>2</w:t>
            </w:r>
            <w:r>
              <w:rPr>
                <w:rFonts w:hint="default" w:ascii="Times New Roman" w:hAnsi="Times New Roman" w:eastAsia="仿宋" w:cs="Times New Roman"/>
                <w:bCs/>
                <w:color w:val="000000" w:themeColor="text1"/>
                <w:sz w:val="24"/>
                <w:highlight w:val="none"/>
                <w:u w:val="none"/>
                <w14:textFill>
                  <w14:solidFill>
                    <w14:schemeClr w14:val="tx1"/>
                  </w14:solidFill>
                </w14:textFill>
              </w:rPr>
              <w:t>，主要设置</w:t>
            </w:r>
            <w:r>
              <w:rPr>
                <w:rFonts w:hint="eastAsia" w:ascii="Times New Roman" w:hAnsi="Times New Roman" w:eastAsia="仿宋" w:cs="Times New Roman"/>
                <w:bCs/>
                <w:color w:val="000000" w:themeColor="text1"/>
                <w:sz w:val="24"/>
                <w:highlight w:val="none"/>
                <w:u w:val="none"/>
                <w:lang w:val="en-US" w:eastAsia="zh-CN"/>
                <w14:textFill>
                  <w14:solidFill>
                    <w14:schemeClr w14:val="tx1"/>
                  </w14:solidFill>
                </w14:textFill>
              </w:rPr>
              <w:t>车间内北侧设置成品厂，中部设置周转仓，南侧设置制粒机以及输送机。</w:t>
            </w:r>
            <w:r>
              <w:rPr>
                <w:rFonts w:hint="default" w:ascii="Times New Roman" w:hAnsi="Times New Roman" w:eastAsia="仿宋" w:cs="Times New Roman"/>
                <w:bCs/>
                <w:color w:val="000000" w:themeColor="text1"/>
                <w:sz w:val="24"/>
                <w:highlight w:val="none"/>
                <w:u w:val="none"/>
                <w14:textFill>
                  <w14:solidFill>
                    <w14:schemeClr w14:val="tx1"/>
                  </w14:solidFill>
                </w14:textFill>
              </w:rPr>
              <w:t>项目总平面布置各功能分区明确，在满足生产要求、安全的前提下，确保工艺流程顺畅、物料运输短捷，互不干扰又相互联系，项目平面布局合理可行。厂区平面布置详见附图2。</w:t>
            </w:r>
          </w:p>
        </w:tc>
      </w:tr>
      <w:tr w14:paraId="5A087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23" w:type="dxa"/>
            <w:noWrap w:val="0"/>
            <w:vAlign w:val="center"/>
          </w:tcPr>
          <w:p w14:paraId="5FF887B4">
            <w:pPr>
              <w:pStyle w:val="21"/>
              <w:adjustRightInd w:val="0"/>
              <w:snapToGrid w:val="0"/>
              <w:spacing w:before="0" w:beforeAutospacing="0" w:after="0" w:afterAutospacing="0"/>
              <w:jc w:val="cente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工艺流程和产排污环节</w:t>
            </w:r>
          </w:p>
        </w:tc>
        <w:tc>
          <w:tcPr>
            <w:tcW w:w="8161" w:type="dxa"/>
            <w:noWrap w:val="0"/>
            <w:vAlign w:val="top"/>
          </w:tcPr>
          <w:p w14:paraId="3D4FD36E">
            <w:pPr>
              <w:adjustRightInd w:val="0"/>
              <w:snapToGrid w:val="0"/>
              <w:spacing w:line="360" w:lineRule="auto"/>
              <w:ind w:firstLine="482" w:firstLineChars="200"/>
              <w:jc w:val="left"/>
              <w:rPr>
                <w:rFonts w:hint="default" w:ascii="Times New Roman" w:hAnsi="Times New Roman" w:eastAsia="仿宋" w:cs="Times New Roman"/>
                <w:b/>
                <w:bCs w:val="0"/>
                <w:color w:val="000000" w:themeColor="text1"/>
                <w:sz w:val="24"/>
                <w:highlight w:val="none"/>
                <w:u w:val="none"/>
                <w14:textFill>
                  <w14:solidFill>
                    <w14:schemeClr w14:val="tx1"/>
                  </w14:solidFill>
                </w14:textFill>
              </w:rPr>
            </w:pPr>
            <w:r>
              <w:rPr>
                <w:rFonts w:hint="default" w:ascii="Times New Roman" w:hAnsi="Times New Roman" w:eastAsia="仿宋" w:cs="Times New Roman"/>
                <w:b/>
                <w:bCs w:val="0"/>
                <w:color w:val="000000" w:themeColor="text1"/>
                <w:sz w:val="24"/>
                <w:highlight w:val="none"/>
                <w:u w:val="none"/>
                <w14:textFill>
                  <w14:solidFill>
                    <w14:schemeClr w14:val="tx1"/>
                  </w14:solidFill>
                </w14:textFill>
              </w:rPr>
              <w:t>一、项目工艺流程</w:t>
            </w:r>
          </w:p>
          <w:p w14:paraId="5C0A0FD3">
            <w:pPr>
              <w:adjustRightInd w:val="0"/>
              <w:snapToGrid w:val="0"/>
              <w:spacing w:line="360" w:lineRule="auto"/>
              <w:ind w:firstLine="480" w:firstLineChars="200"/>
              <w:jc w:val="left"/>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bCs/>
                <w:color w:val="000000" w:themeColor="text1"/>
                <w:sz w:val="24"/>
                <w:highlight w:val="none"/>
                <w:u w:val="none"/>
                <w14:textFill>
                  <w14:solidFill>
                    <w14:schemeClr w14:val="tx1"/>
                  </w14:solidFill>
                </w14:textFill>
              </w:rPr>
              <w:t>本项目主要生产生物质颗粒，设计年产</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成型</w:t>
            </w:r>
            <w:r>
              <w:rPr>
                <w:rFonts w:hint="default" w:ascii="Times New Roman" w:hAnsi="Times New Roman" w:eastAsia="仿宋" w:cs="Times New Roman"/>
                <w:bCs/>
                <w:color w:val="000000" w:themeColor="text1"/>
                <w:sz w:val="24"/>
                <w:highlight w:val="none"/>
                <w:u w:val="none"/>
                <w14:textFill>
                  <w14:solidFill>
                    <w14:schemeClr w14:val="tx1"/>
                  </w14:solidFill>
                </w14:textFill>
              </w:rPr>
              <w:t>生物质颗粒</w:t>
            </w:r>
            <w:r>
              <w:rPr>
                <w:rFonts w:hint="eastAsia"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216</w:t>
            </w:r>
            <w:r>
              <w:rPr>
                <w:rFonts w:hint="default"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00</w:t>
            </w:r>
            <w:r>
              <w:rPr>
                <w:rFonts w:hint="eastAsia"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t/a</w:t>
            </w:r>
            <w:r>
              <w:rPr>
                <w:rFonts w:hint="default" w:ascii="Times New Roman" w:hAnsi="Times New Roman" w:eastAsia="仿宋" w:cs="Times New Roman"/>
                <w:bCs/>
                <w:color w:val="000000" w:themeColor="text1"/>
                <w:sz w:val="24"/>
                <w:highlight w:val="none"/>
                <w:u w:val="none"/>
                <w14:textFill>
                  <w14:solidFill>
                    <w14:schemeClr w14:val="tx1"/>
                  </w14:solidFill>
                </w14:textFill>
              </w:rPr>
              <w:t>；主要生产工艺如下所述：</w:t>
            </w:r>
            <w:r>
              <w:rPr>
                <w:color w:val="000000" w:themeColor="text1"/>
                <w:highlight w:val="none"/>
                <w:u w:val="none"/>
                <w14:textFill>
                  <w14:solidFill>
                    <w14:schemeClr w14:val="tx1"/>
                  </w14:solidFill>
                </w14:textFill>
              </w:rPr>
              <w:drawing>
                <wp:inline distT="0" distB="0" distL="114300" distR="114300">
                  <wp:extent cx="5334635" cy="2075180"/>
                  <wp:effectExtent l="0" t="0" r="18415" b="127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14"/>
                          <a:stretch>
                            <a:fillRect/>
                          </a:stretch>
                        </pic:blipFill>
                        <pic:spPr>
                          <a:xfrm>
                            <a:off x="0" y="0"/>
                            <a:ext cx="5334635" cy="2075180"/>
                          </a:xfrm>
                          <a:prstGeom prst="rect">
                            <a:avLst/>
                          </a:prstGeom>
                          <a:noFill/>
                          <a:ln>
                            <a:noFill/>
                          </a:ln>
                        </pic:spPr>
                      </pic:pic>
                    </a:graphicData>
                  </a:graphic>
                </wp:inline>
              </w:drawing>
            </w:r>
          </w:p>
          <w:p w14:paraId="05121CB0">
            <w:pPr>
              <w:adjustRightInd w:val="0"/>
              <w:snapToGrid w:val="0"/>
              <w:spacing w:line="360" w:lineRule="auto"/>
              <w:jc w:val="both"/>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注：上述生产设备运营过程均产生噪声。</w:t>
            </w:r>
          </w:p>
          <w:p w14:paraId="50300585">
            <w:pPr>
              <w:tabs>
                <w:tab w:val="left" w:pos="1081"/>
              </w:tabs>
              <w:adjustRightInd w:val="0"/>
              <w:snapToGrid w:val="0"/>
              <w:spacing w:line="240" w:lineRule="auto"/>
              <w:jc w:val="center"/>
              <w:textAlignment w:val="baseline"/>
              <w:rPr>
                <w:rFonts w:hint="eastAsia" w:ascii="Times New Roman" w:hAnsi="Times New Roman" w:eastAsia="仿宋" w:cs="Times New Roman"/>
                <w:b/>
                <w:color w:val="000000" w:themeColor="text1"/>
                <w:sz w:val="21"/>
                <w:szCs w:val="21"/>
                <w:highlight w:val="none"/>
                <w:u w:val="none"/>
                <w:lang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14:textFill>
                  <w14:solidFill>
                    <w14:schemeClr w14:val="tx1"/>
                  </w14:solidFill>
                </w14:textFill>
              </w:rPr>
              <w:t>图2-1</w:t>
            </w: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本</w:t>
            </w:r>
            <w:r>
              <w:rPr>
                <w:rFonts w:hint="default" w:ascii="Times New Roman" w:hAnsi="Times New Roman" w:eastAsia="仿宋" w:cs="Times New Roman"/>
                <w:b/>
                <w:color w:val="000000" w:themeColor="text1"/>
                <w:sz w:val="21"/>
                <w:szCs w:val="21"/>
                <w:highlight w:val="none"/>
                <w:u w:val="none"/>
                <w14:textFill>
                  <w14:solidFill>
                    <w14:schemeClr w14:val="tx1"/>
                  </w14:solidFill>
                </w14:textFill>
              </w:rPr>
              <w:t>项目工艺流程及产污环节图</w:t>
            </w:r>
          </w:p>
          <w:p w14:paraId="293244E9">
            <w:pPr>
              <w:adjustRightInd w:val="0"/>
              <w:snapToGrid w:val="0"/>
              <w:spacing w:before="120" w:beforeLines="50" w:line="360" w:lineRule="auto"/>
              <w:ind w:firstLine="480" w:firstLineChars="200"/>
              <w:rPr>
                <w:rFonts w:hint="default" w:ascii="Times New Roman" w:hAnsi="Times New Roman" w:eastAsia="仿宋" w:cs="Times New Roman"/>
                <w:bCs/>
                <w:color w:val="000000" w:themeColor="text1"/>
                <w:sz w:val="24"/>
                <w:highlight w:val="none"/>
                <w:u w:val="none"/>
                <w14:textFill>
                  <w14:solidFill>
                    <w14:schemeClr w14:val="tx1"/>
                  </w14:solidFill>
                </w14:textFill>
              </w:rPr>
            </w:pP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成型</w:t>
            </w:r>
            <w:r>
              <w:rPr>
                <w:rFonts w:hint="default" w:ascii="Times New Roman" w:hAnsi="Times New Roman" w:eastAsia="仿宋" w:cs="Times New Roman"/>
                <w:bCs/>
                <w:color w:val="000000" w:themeColor="text1"/>
                <w:sz w:val="24"/>
                <w:highlight w:val="none"/>
                <w:u w:val="none"/>
                <w14:textFill>
                  <w14:solidFill>
                    <w14:schemeClr w14:val="tx1"/>
                  </w14:solidFill>
                </w14:textFill>
              </w:rPr>
              <w:t>生物质颗粒生产工艺流程简述：</w:t>
            </w:r>
          </w:p>
          <w:p w14:paraId="31E0F5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原料卸料转移：企业外购原料由汽车运至厂内原料</w:t>
            </w:r>
            <w:r>
              <w:rPr>
                <w:rFonts w:hint="eastAsia" w:ascii="Times New Roman" w:hAnsi="Times New Roman" w:eastAsia="仿宋" w:cs="Times New Roman"/>
                <w:bCs/>
                <w:color w:val="000000" w:themeColor="text1"/>
                <w:sz w:val="24"/>
                <w:highlight w:val="none"/>
                <w:u w:val="none"/>
                <w:lang w:val="en-US" w:eastAsia="zh-CN"/>
                <w14:textFill>
                  <w14:solidFill>
                    <w14:schemeClr w14:val="tx1"/>
                  </w14:solidFill>
                </w14:textFill>
              </w:rPr>
              <w:t>周转</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仓，生产加工时用铲车将原料铲</w:t>
            </w:r>
            <w:r>
              <w:rPr>
                <w:rFonts w:hint="eastAsia" w:ascii="Times New Roman" w:hAnsi="Times New Roman" w:eastAsia="仿宋" w:cs="Times New Roman"/>
                <w:bCs/>
                <w:color w:val="000000" w:themeColor="text1"/>
                <w:sz w:val="24"/>
                <w:highlight w:val="none"/>
                <w:u w:val="none"/>
                <w:lang w:val="en-US" w:eastAsia="zh-CN"/>
                <w14:textFill>
                  <w14:solidFill>
                    <w14:schemeClr w14:val="tx1"/>
                  </w14:solidFill>
                </w14:textFill>
              </w:rPr>
              <w:t>到</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制粒</w:t>
            </w:r>
            <w:r>
              <w:rPr>
                <w:rFonts w:hint="eastAsia" w:ascii="Times New Roman" w:hAnsi="Times New Roman" w:eastAsia="仿宋" w:cs="Times New Roman"/>
                <w:bCs/>
                <w:color w:val="000000" w:themeColor="text1"/>
                <w:sz w:val="24"/>
                <w:highlight w:val="none"/>
                <w:u w:val="none"/>
                <w:lang w:val="en-US" w:eastAsia="zh-CN"/>
                <w14:textFill>
                  <w14:solidFill>
                    <w14:schemeClr w14:val="tx1"/>
                  </w14:solidFill>
                </w14:textFill>
              </w:rPr>
              <w:t>机</w:t>
            </w:r>
            <w:r>
              <w:rPr>
                <w:rFonts w:hint="default" w:ascii="Times New Roman" w:hAnsi="Times New Roman" w:eastAsia="仿宋" w:cs="Times New Roman"/>
                <w:bCs/>
                <w:color w:val="000000" w:themeColor="text1"/>
                <w:sz w:val="24"/>
                <w:highlight w:val="none"/>
                <w:u w:val="none"/>
                <w14:textFill>
                  <w14:solidFill>
                    <w14:schemeClr w14:val="tx1"/>
                  </w14:solidFill>
                </w14:textFill>
              </w:rPr>
              <w:t>：</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原料经制粒</w:t>
            </w:r>
            <w:r>
              <w:rPr>
                <w:rFonts w:hint="default" w:ascii="Times New Roman" w:hAnsi="Times New Roman" w:eastAsia="仿宋" w:cs="Times New Roman"/>
                <w:bCs/>
                <w:color w:val="000000" w:themeColor="text1"/>
                <w:sz w:val="24"/>
                <w:highlight w:val="none"/>
                <w:u w:val="none"/>
                <w14:textFill>
                  <w14:solidFill>
                    <w14:schemeClr w14:val="tx1"/>
                  </w14:solidFill>
                </w14:textFill>
              </w:rPr>
              <w:t>机通过挤压成型制成成品，挤压过程为物理过程，不添加任何胶黏剂，不发生化学反应，造粒过程不需要加热。成型的生物质颗粒通过皮带输送机进入成品仓库暂存。此工序主要产生噪声、</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制粒</w:t>
            </w:r>
            <w:r>
              <w:rPr>
                <w:rFonts w:hint="default" w:ascii="Times New Roman" w:hAnsi="Times New Roman" w:eastAsia="仿宋" w:cs="Times New Roman"/>
                <w:bCs/>
                <w:color w:val="000000" w:themeColor="text1"/>
                <w:sz w:val="24"/>
                <w:highlight w:val="none"/>
                <w:u w:val="none"/>
                <w14:textFill>
                  <w14:solidFill>
                    <w14:schemeClr w14:val="tx1"/>
                  </w14:solidFill>
                </w14:textFill>
              </w:rPr>
              <w:t>粉尘。</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产生的粉尘</w:t>
            </w:r>
            <w:r>
              <w:rPr>
                <w:rFonts w:hint="default" w:ascii="Times New Roman" w:hAnsi="Times New Roman" w:eastAsia="仿宋" w:cs="Times New Roman"/>
                <w:bCs/>
                <w:color w:val="000000" w:themeColor="text1"/>
                <w:sz w:val="24"/>
                <w:highlight w:val="none"/>
                <w:u w:val="none"/>
                <w14:textFill>
                  <w14:solidFill>
                    <w14:schemeClr w14:val="tx1"/>
                  </w14:solidFill>
                </w14:textFill>
              </w:rPr>
              <w:t>行收集</w:t>
            </w:r>
            <w:r>
              <w:rPr>
                <w:rFonts w:hint="default" w:ascii="Times New Roman" w:hAnsi="Times New Roman" w:eastAsia="仿宋" w:cs="Times New Roman"/>
                <w:bCs/>
                <w:color w:val="000000" w:themeColor="text1"/>
                <w:sz w:val="24"/>
                <w:highlight w:val="none"/>
                <w:u w:val="none"/>
                <w:lang w:eastAsia="zh-CN"/>
                <w14:textFill>
                  <w14:solidFill>
                    <w14:schemeClr w14:val="tx1"/>
                  </w14:solidFill>
                </w14:textFill>
              </w:rPr>
              <w:t>，</w:t>
            </w:r>
            <w:r>
              <w:rPr>
                <w:rFonts w:hint="eastAsia" w:eastAsia="仿宋" w:cs="Times New Roman"/>
                <w:bCs/>
                <w:color w:val="000000" w:themeColor="text1"/>
                <w:sz w:val="24"/>
                <w:highlight w:val="none"/>
                <w:u w:val="none"/>
                <w:lang w:val="en-US" w:eastAsia="zh-CN"/>
                <w14:textFill>
                  <w14:solidFill>
                    <w14:schemeClr w14:val="tx1"/>
                  </w14:solidFill>
                </w14:textFill>
              </w:rPr>
              <w:t>公用一套</w:t>
            </w:r>
            <w:r>
              <w:rPr>
                <w:rFonts w:hint="default" w:ascii="Times New Roman" w:hAnsi="Times New Roman" w:eastAsia="仿宋" w:cs="Times New Roman"/>
                <w:bCs/>
                <w:color w:val="000000" w:themeColor="text1"/>
                <w:sz w:val="24"/>
                <w:highlight w:val="none"/>
                <w:u w:val="none"/>
                <w14:textFill>
                  <w14:solidFill>
                    <w14:schemeClr w14:val="tx1"/>
                  </w14:solidFill>
                </w14:textFill>
              </w:rPr>
              <w:t>布袋</w:t>
            </w:r>
            <w:r>
              <w:rPr>
                <w:rFonts w:hint="eastAsia" w:ascii="Times New Roman" w:hAnsi="Times New Roman" w:eastAsia="仿宋" w:cs="Times New Roman"/>
                <w:bCs/>
                <w:color w:val="000000" w:themeColor="text1"/>
                <w:sz w:val="24"/>
                <w:highlight w:val="none"/>
                <w:u w:val="none"/>
                <w:lang w:val="en-US" w:eastAsia="zh-CN"/>
                <w14:textFill>
                  <w14:solidFill>
                    <w14:schemeClr w14:val="tx1"/>
                  </w14:solidFill>
                </w14:textFill>
              </w:rPr>
              <w:t>除尘器</w:t>
            </w:r>
            <w:r>
              <w:rPr>
                <w:rFonts w:hint="default" w:ascii="Times New Roman" w:hAnsi="Times New Roman" w:eastAsia="仿宋" w:cs="Times New Roman"/>
                <w:bCs/>
                <w:color w:val="000000" w:themeColor="text1"/>
                <w:sz w:val="24"/>
                <w:highlight w:val="none"/>
                <w:u w:val="none"/>
                <w14:textFill>
                  <w14:solidFill>
                    <w14:schemeClr w14:val="tx1"/>
                  </w14:solidFill>
                </w14:textFill>
              </w:rPr>
              <w:t>处理后</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通过</w:t>
            </w:r>
            <w:r>
              <w:rPr>
                <w:rFonts w:hint="eastAsia" w:eastAsia="仿宋" w:cs="Times New Roman"/>
                <w:bCs/>
                <w:color w:val="000000" w:themeColor="text1"/>
                <w:sz w:val="24"/>
                <w:highlight w:val="none"/>
                <w:u w:val="none"/>
                <w:lang w:eastAsia="zh-CN"/>
                <w14:textFill>
                  <w14:solidFill>
                    <w14:schemeClr w14:val="tx1"/>
                  </w14:solidFill>
                </w14:textFill>
              </w:rPr>
              <w:t>16m</w:t>
            </w:r>
            <w:r>
              <w:rPr>
                <w:rFonts w:hint="default" w:ascii="Times New Roman" w:hAnsi="Times New Roman" w:eastAsia="仿宋" w:cs="Times New Roman"/>
                <w:bCs/>
                <w:color w:val="000000" w:themeColor="text1"/>
                <w:sz w:val="24"/>
                <w:highlight w:val="none"/>
                <w:u w:val="none"/>
                <w14:textFill>
                  <w14:solidFill>
                    <w14:schemeClr w14:val="tx1"/>
                  </w14:solidFill>
                </w14:textFill>
              </w:rPr>
              <w:t>高排气筒（DA001）排放。</w:t>
            </w:r>
            <w:r>
              <w:rPr>
                <w:rFonts w:hint="eastAsia" w:eastAsia="仿宋" w:cs="Times New Roman"/>
                <w:bCs/>
                <w:color w:val="000000" w:themeColor="text1"/>
                <w:sz w:val="24"/>
                <w:highlight w:val="none"/>
                <w:u w:val="none"/>
                <w:lang w:val="en-US" w:eastAsia="zh-CN"/>
                <w14:textFill>
                  <w14:solidFill>
                    <w14:schemeClr w14:val="tx1"/>
                  </w14:solidFill>
                </w14:textFill>
              </w:rPr>
              <w:t>本项目不涉及包装，成品进入库房，直接运输出厂。</w:t>
            </w:r>
            <w:r>
              <w:rPr>
                <w:rFonts w:hint="default"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本项目</w:t>
            </w:r>
            <w:r>
              <w:rPr>
                <w:rFonts w:hint="eastAsia"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每</w:t>
            </w:r>
            <w:r>
              <w:rPr>
                <w:rFonts w:hint="default"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台制粒机最大产能为6t/h，</w:t>
            </w:r>
            <w:r>
              <w:rPr>
                <w:rFonts w:hint="eastAsia" w:eastAsia="仿宋" w:cs="Times New Roman"/>
                <w:b w:val="0"/>
                <w:bCs/>
                <w:color w:val="000000" w:themeColor="text1"/>
                <w:sz w:val="24"/>
                <w:highlight w:val="none"/>
                <w:u w:val="none"/>
                <w:lang w:val="en-US" w:eastAsia="zh-CN"/>
                <w14:textFill>
                  <w14:solidFill>
                    <w14:schemeClr w14:val="tx1"/>
                  </w14:solidFill>
                </w14:textFill>
              </w:rPr>
              <w:t>，每两台制粒机公用一台输送机，</w:t>
            </w:r>
            <w:r>
              <w:rPr>
                <w:rFonts w:hint="default"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则本项目</w:t>
            </w:r>
            <w:r>
              <w:rPr>
                <w:rFonts w:hint="eastAsia"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年设备运行时间900h</w:t>
            </w:r>
            <w:r>
              <w:rPr>
                <w:rFonts w:hint="default" w:ascii="Times New Roman" w:hAnsi="Times New Roman" w:eastAsia="仿宋" w:cs="Times New Roman"/>
                <w:b w:val="0"/>
                <w:bCs/>
                <w:color w:val="000000" w:themeColor="text1"/>
                <w:sz w:val="24"/>
                <w:highlight w:val="none"/>
                <w:u w:val="none"/>
                <w:lang w:val="en-US" w:eastAsia="zh-CN"/>
                <w14:textFill>
                  <w14:solidFill>
                    <w14:schemeClr w14:val="tx1"/>
                  </w14:solidFill>
                </w14:textFill>
              </w:rPr>
              <w:t>；</w:t>
            </w:r>
          </w:p>
          <w:p w14:paraId="36AC57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环评要求</w:t>
            </w:r>
            <w:r>
              <w:rPr>
                <w:rFonts w:hint="default" w:ascii="Times New Roman" w:hAnsi="Times New Roman" w:eastAsia="仿宋" w:cs="Times New Roman"/>
                <w:bCs/>
                <w:color w:val="000000" w:themeColor="text1"/>
                <w:sz w:val="24"/>
                <w:highlight w:val="none"/>
                <w:u w:val="none"/>
                <w14:textFill>
                  <w14:solidFill>
                    <w14:schemeClr w14:val="tx1"/>
                  </w14:solidFill>
                </w14:textFill>
              </w:rPr>
              <w:t>本项目必须加强运输车辆管理，运输须采用帆布覆盖，原料卸料须在原料仓库内进行，不得露天卸料。原料转移过程中严禁物料超出铲斗箱板，大风天气停止原料铲运或采取铲斗加盖篷布措施防治粉尘外逸，同时对转移路线、车间内落地粉尘定期进行打扫清理，保持地面清洁。</w:t>
            </w:r>
          </w:p>
          <w:p w14:paraId="59C70E22">
            <w:pPr>
              <w:adjustRightInd w:val="0"/>
              <w:snapToGrid w:val="0"/>
              <w:spacing w:line="360" w:lineRule="auto"/>
              <w:ind w:firstLine="482" w:firstLineChars="200"/>
              <w:jc w:val="left"/>
              <w:rPr>
                <w:rFonts w:hint="default" w:ascii="Times New Roman" w:hAnsi="Times New Roman" w:eastAsia="仿宋" w:cs="Times New Roman"/>
                <w:b/>
                <w:bCs w:val="0"/>
                <w:color w:val="000000" w:themeColor="text1"/>
                <w:sz w:val="24"/>
                <w:highlight w:val="none"/>
                <w:u w:val="none"/>
                <w14:textFill>
                  <w14:solidFill>
                    <w14:schemeClr w14:val="tx1"/>
                  </w14:solidFill>
                </w14:textFill>
              </w:rPr>
            </w:pPr>
            <w:r>
              <w:rPr>
                <w:rFonts w:hint="default" w:ascii="Times New Roman" w:hAnsi="Times New Roman" w:eastAsia="仿宋" w:cs="Times New Roman"/>
                <w:b/>
                <w:bCs w:val="0"/>
                <w:color w:val="000000" w:themeColor="text1"/>
                <w:sz w:val="24"/>
                <w:highlight w:val="none"/>
                <w:u w:val="none"/>
                <w14:textFill>
                  <w14:solidFill>
                    <w14:schemeClr w14:val="tx1"/>
                  </w14:solidFill>
                </w14:textFill>
              </w:rPr>
              <w:t>二、项目产污环节</w:t>
            </w:r>
          </w:p>
          <w:p w14:paraId="318CDCE7">
            <w:pPr>
              <w:adjustRightInd w:val="0"/>
              <w:snapToGrid w:val="0"/>
              <w:spacing w:before="120" w:beforeLines="50" w:line="360" w:lineRule="auto"/>
              <w:ind w:firstLine="480" w:firstLineChars="200"/>
              <w:rPr>
                <w:rFonts w:hint="eastAsia" w:ascii="Times New Roman" w:hAnsi="Times New Roman" w:eastAsia="仿宋" w:cs="Times New Roman"/>
                <w:bCs/>
                <w:color w:val="000000" w:themeColor="text1"/>
                <w:sz w:val="24"/>
                <w:highlight w:val="none"/>
                <w:u w:val="none"/>
                <w:lang w:eastAsia="zh-CN"/>
                <w14:textFill>
                  <w14:solidFill>
                    <w14:schemeClr w14:val="tx1"/>
                  </w14:solidFill>
                </w14:textFill>
              </w:rPr>
            </w:pPr>
            <w:r>
              <w:rPr>
                <w:rFonts w:hint="default" w:ascii="Times New Roman" w:hAnsi="Times New Roman" w:eastAsia="仿宋" w:cs="Times New Roman"/>
                <w:bCs/>
                <w:color w:val="000000" w:themeColor="text1"/>
                <w:sz w:val="24"/>
                <w:highlight w:val="none"/>
                <w:u w:val="none"/>
                <w14:textFill>
                  <w14:solidFill>
                    <w14:schemeClr w14:val="tx1"/>
                  </w14:solidFill>
                </w14:textFill>
              </w:rPr>
              <w:t>根据上述工艺流程分析说明，项目主要污染工序如下：</w:t>
            </w:r>
          </w:p>
          <w:p w14:paraId="7AF9885E">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14:textFill>
                  <w14:solidFill>
                    <w14:schemeClr w14:val="tx1"/>
                  </w14:solidFill>
                </w14:textFill>
              </w:rPr>
            </w:pPr>
          </w:p>
          <w:p w14:paraId="46A39C80">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14:textFill>
                  <w14:solidFill>
                    <w14:schemeClr w14:val="tx1"/>
                  </w14:solidFill>
                </w14:textFill>
              </w:rPr>
            </w:pPr>
          </w:p>
          <w:p w14:paraId="18534F03">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14:textFill>
                  <w14:solidFill>
                    <w14:schemeClr w14:val="tx1"/>
                  </w14:solidFill>
                </w14:textFill>
              </w:rPr>
            </w:pPr>
          </w:p>
          <w:p w14:paraId="09E4C6BD">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14:textFill>
                  <w14:solidFill>
                    <w14:schemeClr w14:val="tx1"/>
                  </w14:solidFill>
                </w14:textFill>
              </w:rPr>
            </w:pPr>
          </w:p>
          <w:p w14:paraId="41D22C99">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14:textFill>
                  <w14:solidFill>
                    <w14:schemeClr w14:val="tx1"/>
                  </w14:solidFill>
                </w14:textFill>
              </w:rPr>
              <w:t>表2-</w:t>
            </w: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6</w:t>
            </w:r>
            <w:r>
              <w:rPr>
                <w:rFonts w:hint="default" w:ascii="Times New Roman" w:hAnsi="Times New Roman" w:eastAsia="仿宋" w:cs="Times New Roman"/>
                <w:b/>
                <w:color w:val="000000" w:themeColor="text1"/>
                <w:sz w:val="21"/>
                <w:szCs w:val="21"/>
                <w:highlight w:val="none"/>
                <w:u w:val="none"/>
                <w14:textFill>
                  <w14:solidFill>
                    <w14:schemeClr w14:val="tx1"/>
                  </w14:solidFill>
                </w14:textFill>
              </w:rPr>
              <w:t>项目产排污环节情况一览表</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636"/>
              <w:gridCol w:w="1553"/>
              <w:gridCol w:w="2016"/>
              <w:gridCol w:w="3176"/>
            </w:tblGrid>
            <w:tr w14:paraId="5F29E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6" w:type="pct"/>
                  <w:gridSpan w:val="2"/>
                  <w:tcBorders>
                    <w:tl2br w:val="nil"/>
                    <w:tr2bl w:val="nil"/>
                  </w:tcBorders>
                  <w:noWrap w:val="0"/>
                  <w:vAlign w:val="center"/>
                </w:tcPr>
                <w:p w14:paraId="40332FED">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主要污染物</w:t>
                  </w:r>
                </w:p>
              </w:tc>
              <w:tc>
                <w:tcPr>
                  <w:tcW w:w="926" w:type="pct"/>
                  <w:tcBorders>
                    <w:tl2br w:val="nil"/>
                    <w:tr2bl w:val="nil"/>
                  </w:tcBorders>
                  <w:noWrap w:val="0"/>
                  <w:vAlign w:val="center"/>
                </w:tcPr>
                <w:p w14:paraId="489E2EF3">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来源</w:t>
                  </w:r>
                </w:p>
              </w:tc>
              <w:tc>
                <w:tcPr>
                  <w:tcW w:w="1202" w:type="pct"/>
                  <w:tcBorders>
                    <w:tl2br w:val="nil"/>
                    <w:tr2bl w:val="nil"/>
                  </w:tcBorders>
                  <w:noWrap w:val="0"/>
                  <w:vAlign w:val="center"/>
                </w:tcPr>
                <w:p w14:paraId="47CCD022">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污染物名称</w:t>
                  </w:r>
                </w:p>
              </w:tc>
              <w:tc>
                <w:tcPr>
                  <w:tcW w:w="1894" w:type="pct"/>
                  <w:tcBorders>
                    <w:tl2br w:val="nil"/>
                    <w:tr2bl w:val="nil"/>
                  </w:tcBorders>
                  <w:noWrap w:val="0"/>
                  <w:vAlign w:val="center"/>
                </w:tcPr>
                <w:p w14:paraId="741D53BD">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排产污节点</w:t>
                  </w:r>
                </w:p>
              </w:tc>
            </w:tr>
            <w:tr w14:paraId="5A694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97" w:type="pct"/>
                  <w:vMerge w:val="restart"/>
                  <w:tcBorders>
                    <w:tl2br w:val="nil"/>
                    <w:tr2bl w:val="nil"/>
                  </w:tcBorders>
                  <w:noWrap w:val="0"/>
                  <w:vAlign w:val="center"/>
                </w:tcPr>
                <w:p w14:paraId="2876E252">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t>营运期</w:t>
                  </w:r>
                </w:p>
              </w:tc>
              <w:tc>
                <w:tcPr>
                  <w:tcW w:w="378" w:type="pct"/>
                  <w:vMerge w:val="restart"/>
                  <w:tcBorders>
                    <w:tl2br w:val="nil"/>
                    <w:tr2bl w:val="nil"/>
                  </w:tcBorders>
                  <w:noWrap w:val="0"/>
                  <w:vAlign w:val="center"/>
                </w:tcPr>
                <w:p w14:paraId="71ED08CA">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废气</w:t>
                  </w:r>
                </w:p>
              </w:tc>
              <w:tc>
                <w:tcPr>
                  <w:tcW w:w="926" w:type="pct"/>
                  <w:tcBorders>
                    <w:tl2br w:val="nil"/>
                    <w:tr2bl w:val="nil"/>
                  </w:tcBorders>
                  <w:noWrap w:val="0"/>
                  <w:vAlign w:val="center"/>
                </w:tcPr>
                <w:p w14:paraId="3CE64827">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原料仓库</w:t>
                  </w:r>
                </w:p>
              </w:tc>
              <w:tc>
                <w:tcPr>
                  <w:tcW w:w="1202" w:type="pct"/>
                  <w:vMerge w:val="restart"/>
                  <w:tcBorders>
                    <w:tl2br w:val="nil"/>
                    <w:tr2bl w:val="nil"/>
                  </w:tcBorders>
                  <w:noWrap w:val="0"/>
                  <w:vAlign w:val="center"/>
                </w:tcPr>
                <w:p w14:paraId="4DF7D45A">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颗粒物</w:t>
                  </w:r>
                </w:p>
              </w:tc>
              <w:tc>
                <w:tcPr>
                  <w:tcW w:w="1894" w:type="pct"/>
                  <w:tcBorders>
                    <w:tl2br w:val="nil"/>
                    <w:tr2bl w:val="nil"/>
                  </w:tcBorders>
                  <w:noWrap w:val="0"/>
                  <w:vAlign w:val="center"/>
                </w:tcPr>
                <w:p w14:paraId="6907024E">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卸料</w:t>
                  </w:r>
                </w:p>
              </w:tc>
            </w:tr>
            <w:tr w14:paraId="7AC62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597" w:type="pct"/>
                  <w:vMerge w:val="continue"/>
                  <w:tcBorders>
                    <w:tl2br w:val="nil"/>
                    <w:tr2bl w:val="nil"/>
                  </w:tcBorders>
                  <w:noWrap w:val="0"/>
                  <w:vAlign w:val="center"/>
                </w:tcPr>
                <w:p w14:paraId="27452B89">
                  <w:pPr>
                    <w:pStyle w:val="50"/>
                    <w:keepNext w:val="0"/>
                    <w:keepLines w:val="0"/>
                    <w:pageBreakBefore w:val="0"/>
                    <w:widowControl/>
                    <w:kinsoku/>
                    <w:wordWrap/>
                    <w:overflowPunct/>
                    <w:topLinePunct w:val="0"/>
                    <w:autoSpaceDE/>
                    <w:autoSpaceDN/>
                    <w:bidi w:val="0"/>
                    <w:adjustRightInd w:val="0"/>
                    <w:snapToGrid w:val="0"/>
                    <w:spacing w:before="120" w:line="240" w:lineRule="auto"/>
                    <w:ind w:right="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p>
              </w:tc>
              <w:tc>
                <w:tcPr>
                  <w:tcW w:w="378" w:type="pct"/>
                  <w:vMerge w:val="continue"/>
                  <w:tcBorders>
                    <w:tl2br w:val="nil"/>
                    <w:tr2bl w:val="nil"/>
                  </w:tcBorders>
                  <w:noWrap w:val="0"/>
                  <w:vAlign w:val="center"/>
                </w:tcPr>
                <w:p w14:paraId="5A84E143">
                  <w:pPr>
                    <w:pStyle w:val="50"/>
                    <w:keepNext w:val="0"/>
                    <w:keepLines w:val="0"/>
                    <w:pageBreakBefore w:val="0"/>
                    <w:widowControl/>
                    <w:kinsoku/>
                    <w:wordWrap/>
                    <w:overflowPunct/>
                    <w:topLinePunct w:val="0"/>
                    <w:autoSpaceDE/>
                    <w:autoSpaceDN/>
                    <w:bidi w:val="0"/>
                    <w:adjustRightInd w:val="0"/>
                    <w:snapToGrid w:val="0"/>
                    <w:spacing w:before="120" w:line="240" w:lineRule="auto"/>
                    <w:ind w:right="0"/>
                    <w:jc w:val="center"/>
                    <w:textAlignment w:val="auto"/>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p>
              </w:tc>
              <w:tc>
                <w:tcPr>
                  <w:tcW w:w="926" w:type="pct"/>
                  <w:tcBorders>
                    <w:tl2br w:val="nil"/>
                    <w:tr2bl w:val="nil"/>
                  </w:tcBorders>
                  <w:noWrap w:val="0"/>
                  <w:vAlign w:val="center"/>
                </w:tcPr>
                <w:p w14:paraId="010554E7">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制粒</w:t>
                  </w:r>
                </w:p>
              </w:tc>
              <w:tc>
                <w:tcPr>
                  <w:tcW w:w="1202" w:type="pct"/>
                  <w:vMerge w:val="continue"/>
                  <w:tcBorders>
                    <w:tl2br w:val="nil"/>
                    <w:tr2bl w:val="nil"/>
                  </w:tcBorders>
                  <w:noWrap w:val="0"/>
                  <w:vAlign w:val="center"/>
                </w:tcPr>
                <w:p w14:paraId="33218D1E">
                  <w:pPr>
                    <w:pStyle w:val="50"/>
                    <w:keepNext w:val="0"/>
                    <w:keepLines w:val="0"/>
                    <w:pageBreakBefore w:val="0"/>
                    <w:widowControl/>
                    <w:kinsoku/>
                    <w:wordWrap/>
                    <w:overflowPunct/>
                    <w:topLinePunct w:val="0"/>
                    <w:autoSpaceDE/>
                    <w:autoSpaceDN/>
                    <w:bidi w:val="0"/>
                    <w:adjustRightInd w:val="0"/>
                    <w:snapToGrid w:val="0"/>
                    <w:spacing w:before="120" w:line="240" w:lineRule="auto"/>
                    <w:ind w:right="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p>
              </w:tc>
              <w:tc>
                <w:tcPr>
                  <w:tcW w:w="1894" w:type="pct"/>
                  <w:tcBorders>
                    <w:tl2br w:val="nil"/>
                    <w:tr2bl w:val="nil"/>
                  </w:tcBorders>
                  <w:noWrap w:val="0"/>
                  <w:vAlign w:val="center"/>
                </w:tcPr>
                <w:p w14:paraId="55716325">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制粒工序</w:t>
                  </w:r>
                </w:p>
              </w:tc>
            </w:tr>
            <w:tr w14:paraId="24B63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7" w:type="pct"/>
                  <w:vMerge w:val="continue"/>
                  <w:tcBorders>
                    <w:tl2br w:val="nil"/>
                    <w:tr2bl w:val="nil"/>
                  </w:tcBorders>
                  <w:noWrap w:val="0"/>
                  <w:vAlign w:val="center"/>
                </w:tcPr>
                <w:p w14:paraId="6829CF4B">
                  <w:pPr>
                    <w:pStyle w:val="50"/>
                    <w:keepNext w:val="0"/>
                    <w:keepLines w:val="0"/>
                    <w:pageBreakBefore w:val="0"/>
                    <w:widowControl/>
                    <w:kinsoku/>
                    <w:wordWrap/>
                    <w:overflowPunct/>
                    <w:topLinePunct w:val="0"/>
                    <w:autoSpaceDE/>
                    <w:autoSpaceDN/>
                    <w:bidi w:val="0"/>
                    <w:adjustRightInd w:val="0"/>
                    <w:snapToGrid w:val="0"/>
                    <w:spacing w:before="120" w:line="240" w:lineRule="auto"/>
                    <w:ind w:right="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p>
              </w:tc>
              <w:tc>
                <w:tcPr>
                  <w:tcW w:w="378" w:type="pct"/>
                  <w:vMerge w:val="continue"/>
                  <w:tcBorders>
                    <w:tl2br w:val="nil"/>
                    <w:tr2bl w:val="nil"/>
                  </w:tcBorders>
                  <w:noWrap w:val="0"/>
                  <w:vAlign w:val="center"/>
                </w:tcPr>
                <w:p w14:paraId="21DD2105">
                  <w:pPr>
                    <w:pStyle w:val="50"/>
                    <w:keepNext w:val="0"/>
                    <w:keepLines w:val="0"/>
                    <w:pageBreakBefore w:val="0"/>
                    <w:widowControl/>
                    <w:kinsoku/>
                    <w:wordWrap/>
                    <w:overflowPunct/>
                    <w:topLinePunct w:val="0"/>
                    <w:autoSpaceDE/>
                    <w:autoSpaceDN/>
                    <w:bidi w:val="0"/>
                    <w:adjustRightInd w:val="0"/>
                    <w:snapToGrid w:val="0"/>
                    <w:spacing w:before="120" w:line="240" w:lineRule="auto"/>
                    <w:ind w:right="0"/>
                    <w:jc w:val="center"/>
                    <w:textAlignment w:val="auto"/>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p>
              </w:tc>
              <w:tc>
                <w:tcPr>
                  <w:tcW w:w="926" w:type="pct"/>
                  <w:tcBorders>
                    <w:tl2br w:val="nil"/>
                    <w:tr2bl w:val="nil"/>
                  </w:tcBorders>
                  <w:noWrap w:val="0"/>
                  <w:vAlign w:val="center"/>
                </w:tcPr>
                <w:p w14:paraId="168051C8">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出料</w:t>
                  </w:r>
                </w:p>
              </w:tc>
              <w:tc>
                <w:tcPr>
                  <w:tcW w:w="1202" w:type="pct"/>
                  <w:tcBorders>
                    <w:tl2br w:val="nil"/>
                    <w:tr2bl w:val="nil"/>
                  </w:tcBorders>
                  <w:noWrap w:val="0"/>
                  <w:vAlign w:val="center"/>
                </w:tcPr>
                <w:p w14:paraId="46EBEA51">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颗粒物</w:t>
                  </w:r>
                </w:p>
              </w:tc>
              <w:tc>
                <w:tcPr>
                  <w:tcW w:w="1894" w:type="pct"/>
                  <w:tcBorders>
                    <w:tl2br w:val="nil"/>
                    <w:tr2bl w:val="nil"/>
                  </w:tcBorders>
                  <w:noWrap w:val="0"/>
                  <w:vAlign w:val="center"/>
                </w:tcPr>
                <w:p w14:paraId="5993C1A9">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出料</w:t>
                  </w:r>
                </w:p>
              </w:tc>
            </w:tr>
            <w:tr w14:paraId="73297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7" w:type="pct"/>
                  <w:vMerge w:val="continue"/>
                  <w:tcBorders>
                    <w:tl2br w:val="nil"/>
                    <w:tr2bl w:val="nil"/>
                  </w:tcBorders>
                  <w:noWrap w:val="0"/>
                  <w:vAlign w:val="center"/>
                </w:tcPr>
                <w:p w14:paraId="0BF5ED51">
                  <w:pPr>
                    <w:pStyle w:val="50"/>
                    <w:keepNext w:val="0"/>
                    <w:keepLines w:val="0"/>
                    <w:pageBreakBefore w:val="0"/>
                    <w:widowControl/>
                    <w:kinsoku/>
                    <w:wordWrap/>
                    <w:overflowPunct/>
                    <w:topLinePunct w:val="0"/>
                    <w:autoSpaceDE/>
                    <w:autoSpaceDN/>
                    <w:bidi w:val="0"/>
                    <w:adjustRightInd w:val="0"/>
                    <w:snapToGrid w:val="0"/>
                    <w:spacing w:before="120" w:line="240" w:lineRule="auto"/>
                    <w:ind w:right="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p>
              </w:tc>
              <w:tc>
                <w:tcPr>
                  <w:tcW w:w="378" w:type="pct"/>
                  <w:tcBorders>
                    <w:tl2br w:val="nil"/>
                    <w:tr2bl w:val="nil"/>
                  </w:tcBorders>
                  <w:noWrap w:val="0"/>
                  <w:vAlign w:val="center"/>
                </w:tcPr>
                <w:p w14:paraId="74793530">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噪声</w:t>
                  </w:r>
                </w:p>
              </w:tc>
              <w:tc>
                <w:tcPr>
                  <w:tcW w:w="926" w:type="pct"/>
                  <w:tcBorders>
                    <w:tl2br w:val="nil"/>
                    <w:tr2bl w:val="nil"/>
                  </w:tcBorders>
                  <w:noWrap w:val="0"/>
                  <w:vAlign w:val="center"/>
                </w:tcPr>
                <w:p w14:paraId="13E47B2A">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机械设备</w:t>
                  </w:r>
                </w:p>
              </w:tc>
              <w:tc>
                <w:tcPr>
                  <w:tcW w:w="1202" w:type="pct"/>
                  <w:tcBorders>
                    <w:tl2br w:val="nil"/>
                    <w:tr2bl w:val="nil"/>
                  </w:tcBorders>
                  <w:noWrap w:val="0"/>
                  <w:vAlign w:val="center"/>
                </w:tcPr>
                <w:p w14:paraId="4355F567">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连续等效A声级</w:t>
                  </w:r>
                </w:p>
              </w:tc>
              <w:tc>
                <w:tcPr>
                  <w:tcW w:w="1894" w:type="pct"/>
                  <w:tcBorders>
                    <w:tl2br w:val="nil"/>
                    <w:tr2bl w:val="nil"/>
                  </w:tcBorders>
                  <w:noWrap w:val="0"/>
                  <w:vAlign w:val="center"/>
                </w:tcPr>
                <w:p w14:paraId="5A452328">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制粒</w:t>
                  </w: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机、皮带输送机</w:t>
                  </w:r>
                </w:p>
              </w:tc>
            </w:tr>
            <w:tr w14:paraId="37CD8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pct"/>
                  <w:vMerge w:val="continue"/>
                  <w:tcBorders>
                    <w:tl2br w:val="nil"/>
                    <w:tr2bl w:val="nil"/>
                  </w:tcBorders>
                  <w:noWrap w:val="0"/>
                  <w:vAlign w:val="center"/>
                </w:tcPr>
                <w:p w14:paraId="1B952970">
                  <w:pPr>
                    <w:pStyle w:val="50"/>
                    <w:keepNext w:val="0"/>
                    <w:keepLines w:val="0"/>
                    <w:pageBreakBefore w:val="0"/>
                    <w:widowControl/>
                    <w:kinsoku/>
                    <w:wordWrap/>
                    <w:overflowPunct/>
                    <w:topLinePunct w:val="0"/>
                    <w:autoSpaceDE/>
                    <w:autoSpaceDN/>
                    <w:bidi w:val="0"/>
                    <w:adjustRightInd w:val="0"/>
                    <w:snapToGrid w:val="0"/>
                    <w:spacing w:before="120" w:line="240" w:lineRule="auto"/>
                    <w:ind w:right="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p>
              </w:tc>
              <w:tc>
                <w:tcPr>
                  <w:tcW w:w="378" w:type="pct"/>
                  <w:vMerge w:val="restart"/>
                  <w:tcBorders>
                    <w:tl2br w:val="nil"/>
                    <w:tr2bl w:val="nil"/>
                  </w:tcBorders>
                  <w:noWrap w:val="0"/>
                  <w:vAlign w:val="center"/>
                </w:tcPr>
                <w:p w14:paraId="2D4E93E0">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固体废物</w:t>
                  </w:r>
                </w:p>
              </w:tc>
              <w:tc>
                <w:tcPr>
                  <w:tcW w:w="926" w:type="pct"/>
                  <w:tcBorders>
                    <w:tl2br w:val="nil"/>
                    <w:tr2bl w:val="nil"/>
                  </w:tcBorders>
                  <w:noWrap w:val="0"/>
                  <w:vAlign w:val="center"/>
                </w:tcPr>
                <w:p w14:paraId="0806FA0B">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布袋除尘器</w:t>
                  </w:r>
                </w:p>
              </w:tc>
              <w:tc>
                <w:tcPr>
                  <w:tcW w:w="1202" w:type="pct"/>
                  <w:tcBorders>
                    <w:tl2br w:val="nil"/>
                    <w:tr2bl w:val="nil"/>
                  </w:tcBorders>
                  <w:noWrap w:val="0"/>
                  <w:vAlign w:val="center"/>
                </w:tcPr>
                <w:p w14:paraId="3E09495E">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除尘设施收集的粉尘</w:t>
                  </w:r>
                </w:p>
              </w:tc>
              <w:tc>
                <w:tcPr>
                  <w:tcW w:w="1894" w:type="pct"/>
                  <w:tcBorders>
                    <w:tl2br w:val="nil"/>
                    <w:tr2bl w:val="nil"/>
                  </w:tcBorders>
                  <w:noWrap w:val="0"/>
                  <w:vAlign w:val="center"/>
                </w:tcPr>
                <w:p w14:paraId="6738701A">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废气处理设备</w:t>
                  </w:r>
                </w:p>
              </w:tc>
            </w:tr>
            <w:tr w14:paraId="23DF2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7" w:type="pct"/>
                  <w:vMerge w:val="continue"/>
                  <w:tcBorders>
                    <w:tl2br w:val="nil"/>
                    <w:tr2bl w:val="nil"/>
                  </w:tcBorders>
                  <w:noWrap w:val="0"/>
                  <w:vAlign w:val="center"/>
                </w:tcPr>
                <w:p w14:paraId="7331B8B0">
                  <w:pPr>
                    <w:pStyle w:val="50"/>
                    <w:keepNext w:val="0"/>
                    <w:keepLines w:val="0"/>
                    <w:pageBreakBefore w:val="0"/>
                    <w:widowControl/>
                    <w:kinsoku/>
                    <w:wordWrap/>
                    <w:overflowPunct/>
                    <w:topLinePunct w:val="0"/>
                    <w:autoSpaceDE/>
                    <w:autoSpaceDN/>
                    <w:bidi w:val="0"/>
                    <w:adjustRightInd w:val="0"/>
                    <w:snapToGrid w:val="0"/>
                    <w:spacing w:before="120" w:line="240" w:lineRule="auto"/>
                    <w:ind w:right="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p>
              </w:tc>
              <w:tc>
                <w:tcPr>
                  <w:tcW w:w="378" w:type="pct"/>
                  <w:vMerge w:val="continue"/>
                  <w:tcBorders>
                    <w:tl2br w:val="nil"/>
                    <w:tr2bl w:val="nil"/>
                  </w:tcBorders>
                  <w:noWrap w:val="0"/>
                  <w:vAlign w:val="center"/>
                </w:tcPr>
                <w:p w14:paraId="2C3DB692">
                  <w:pPr>
                    <w:pStyle w:val="50"/>
                    <w:keepNext w:val="0"/>
                    <w:keepLines w:val="0"/>
                    <w:pageBreakBefore w:val="0"/>
                    <w:widowControl/>
                    <w:kinsoku/>
                    <w:wordWrap/>
                    <w:overflowPunct/>
                    <w:topLinePunct w:val="0"/>
                    <w:autoSpaceDE/>
                    <w:autoSpaceDN/>
                    <w:bidi w:val="0"/>
                    <w:adjustRightInd w:val="0"/>
                    <w:snapToGrid w:val="0"/>
                    <w:spacing w:before="120" w:line="240" w:lineRule="auto"/>
                    <w:ind w:right="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p>
              </w:tc>
              <w:tc>
                <w:tcPr>
                  <w:tcW w:w="926" w:type="pct"/>
                  <w:tcBorders>
                    <w:tl2br w:val="nil"/>
                    <w:tr2bl w:val="nil"/>
                  </w:tcBorders>
                  <w:noWrap w:val="0"/>
                  <w:vAlign w:val="center"/>
                </w:tcPr>
                <w:p w14:paraId="50631957">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员工生活</w:t>
                  </w:r>
                </w:p>
              </w:tc>
              <w:tc>
                <w:tcPr>
                  <w:tcW w:w="1202" w:type="pct"/>
                  <w:tcBorders>
                    <w:tl2br w:val="nil"/>
                    <w:tr2bl w:val="nil"/>
                  </w:tcBorders>
                  <w:noWrap w:val="0"/>
                  <w:vAlign w:val="center"/>
                </w:tcPr>
                <w:p w14:paraId="6D4F7271">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生活垃圾</w:t>
                  </w:r>
                </w:p>
              </w:tc>
              <w:tc>
                <w:tcPr>
                  <w:tcW w:w="1894" w:type="pct"/>
                  <w:tcBorders>
                    <w:tl2br w:val="nil"/>
                    <w:tr2bl w:val="nil"/>
                  </w:tcBorders>
                  <w:noWrap w:val="0"/>
                  <w:vAlign w:val="center"/>
                </w:tcPr>
                <w:p w14:paraId="30FE04BE">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员工生活</w:t>
                  </w:r>
                </w:p>
              </w:tc>
            </w:tr>
            <w:tr w14:paraId="3F95B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7" w:type="pct"/>
                  <w:vMerge w:val="continue"/>
                  <w:tcBorders>
                    <w:tl2br w:val="nil"/>
                    <w:tr2bl w:val="nil"/>
                  </w:tcBorders>
                  <w:noWrap w:val="0"/>
                  <w:vAlign w:val="center"/>
                </w:tcPr>
                <w:p w14:paraId="72698196">
                  <w:pPr>
                    <w:pStyle w:val="50"/>
                    <w:keepNext w:val="0"/>
                    <w:keepLines w:val="0"/>
                    <w:pageBreakBefore w:val="0"/>
                    <w:widowControl/>
                    <w:kinsoku/>
                    <w:wordWrap/>
                    <w:overflowPunct/>
                    <w:topLinePunct w:val="0"/>
                    <w:autoSpaceDE/>
                    <w:autoSpaceDN/>
                    <w:bidi w:val="0"/>
                    <w:adjustRightInd w:val="0"/>
                    <w:snapToGrid w:val="0"/>
                    <w:spacing w:before="120" w:line="240" w:lineRule="auto"/>
                    <w:ind w:right="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p>
              </w:tc>
              <w:tc>
                <w:tcPr>
                  <w:tcW w:w="378" w:type="pct"/>
                  <w:vMerge w:val="continue"/>
                  <w:tcBorders>
                    <w:tl2br w:val="nil"/>
                    <w:tr2bl w:val="nil"/>
                  </w:tcBorders>
                  <w:noWrap w:val="0"/>
                  <w:vAlign w:val="center"/>
                </w:tcPr>
                <w:p w14:paraId="5B7F3CBA">
                  <w:pPr>
                    <w:pStyle w:val="50"/>
                    <w:keepNext w:val="0"/>
                    <w:keepLines w:val="0"/>
                    <w:pageBreakBefore w:val="0"/>
                    <w:widowControl/>
                    <w:kinsoku/>
                    <w:wordWrap/>
                    <w:overflowPunct/>
                    <w:topLinePunct w:val="0"/>
                    <w:autoSpaceDE/>
                    <w:autoSpaceDN/>
                    <w:bidi w:val="0"/>
                    <w:adjustRightInd w:val="0"/>
                    <w:snapToGrid w:val="0"/>
                    <w:spacing w:before="120" w:line="240" w:lineRule="auto"/>
                    <w:ind w:right="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p>
              </w:tc>
              <w:tc>
                <w:tcPr>
                  <w:tcW w:w="926" w:type="pct"/>
                  <w:tcBorders>
                    <w:tl2br w:val="nil"/>
                    <w:tr2bl w:val="nil"/>
                  </w:tcBorders>
                  <w:noWrap w:val="0"/>
                  <w:vAlign w:val="center"/>
                </w:tcPr>
                <w:p w14:paraId="05DB9885">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val="0"/>
                      <w:bCs/>
                      <w:color w:val="000000" w:themeColor="text1"/>
                      <w:sz w:val="21"/>
                      <w:szCs w:val="21"/>
                      <w:highlight w:val="none"/>
                      <w:lang w:val="en-US" w:eastAsia="zh-CN"/>
                      <w14:textFill>
                        <w14:solidFill>
                          <w14:schemeClr w14:val="tx1"/>
                        </w14:solidFill>
                      </w14:textFill>
                    </w:rPr>
                    <w:t>设备维修</w:t>
                  </w:r>
                </w:p>
              </w:tc>
              <w:tc>
                <w:tcPr>
                  <w:tcW w:w="1202" w:type="pct"/>
                  <w:tcBorders>
                    <w:tl2br w:val="nil"/>
                    <w:tr2bl w:val="nil"/>
                  </w:tcBorders>
                  <w:noWrap w:val="0"/>
                  <w:vAlign w:val="center"/>
                </w:tcPr>
                <w:p w14:paraId="35344AEB">
                  <w:pPr>
                    <w:keepNext w:val="0"/>
                    <w:keepLines w:val="0"/>
                    <w:suppressLineNumbers w:val="0"/>
                    <w:spacing w:before="0" w:beforeAutospacing="0" w:after="0" w:afterAutospacing="0" w:line="240" w:lineRule="auto"/>
                    <w:ind w:right="0"/>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val="0"/>
                      <w:bCs/>
                      <w:color w:val="000000" w:themeColor="text1"/>
                      <w:sz w:val="21"/>
                      <w:szCs w:val="21"/>
                      <w:highlight w:val="none"/>
                      <w:lang w:val="en-US" w:eastAsia="zh-CN"/>
                      <w14:textFill>
                        <w14:solidFill>
                          <w14:schemeClr w14:val="tx1"/>
                        </w14:solidFill>
                      </w14:textFill>
                    </w:rPr>
                    <w:t>废润滑油</w:t>
                  </w:r>
                  <w:r>
                    <w:rPr>
                      <w:rFonts w:hint="eastAsia" w:ascii="Times New Roman" w:hAnsi="Times New Roman" w:eastAsia="仿宋" w:cs="Times New Roman"/>
                      <w:b w:val="0"/>
                      <w:bCs/>
                      <w:color w:val="000000" w:themeColor="text1"/>
                      <w:sz w:val="21"/>
                      <w:szCs w:val="21"/>
                      <w:highlight w:val="none"/>
                      <w:lang w:val="en-US" w:eastAsia="zh-CN"/>
                      <w14:textFill>
                        <w14:solidFill>
                          <w14:schemeClr w14:val="tx1"/>
                        </w14:solidFill>
                      </w14:textFill>
                    </w:rPr>
                    <w:t>（废机油）</w:t>
                  </w:r>
                </w:p>
              </w:tc>
              <w:tc>
                <w:tcPr>
                  <w:tcW w:w="1894" w:type="pct"/>
                  <w:tcBorders>
                    <w:tl2br w:val="nil"/>
                    <w:tr2bl w:val="nil"/>
                  </w:tcBorders>
                  <w:noWrap w:val="0"/>
                  <w:vAlign w:val="center"/>
                </w:tcPr>
                <w:p w14:paraId="1ED2E986">
                  <w:pPr>
                    <w:pStyle w:val="50"/>
                    <w:keepNext w:val="0"/>
                    <w:keepLines w:val="0"/>
                    <w:pageBreakBefore w:val="0"/>
                    <w:widowControl/>
                    <w:kinsoku/>
                    <w:wordWrap/>
                    <w:overflowPunct/>
                    <w:topLinePunct w:val="0"/>
                    <w:autoSpaceDE/>
                    <w:autoSpaceDN/>
                    <w:bidi w:val="0"/>
                    <w:adjustRightInd w:val="0"/>
                    <w:snapToGrid w:val="0"/>
                    <w:spacing w:before="120" w:line="240" w:lineRule="auto"/>
                    <w:ind w:left="0" w:leftChars="0" w:right="0"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val="0"/>
                      <w:bCs/>
                      <w:color w:val="000000" w:themeColor="text1"/>
                      <w:sz w:val="21"/>
                      <w:szCs w:val="21"/>
                      <w:highlight w:val="none"/>
                      <w:lang w:val="en-US" w:eastAsia="zh-CN"/>
                      <w14:textFill>
                        <w14:solidFill>
                          <w14:schemeClr w14:val="tx1"/>
                        </w14:solidFill>
                      </w14:textFill>
                    </w:rPr>
                    <w:t>设备维修</w:t>
                  </w:r>
                </w:p>
              </w:tc>
            </w:tr>
          </w:tbl>
          <w:p w14:paraId="5C4F998A">
            <w:pPr>
              <w:pStyle w:val="59"/>
              <w:jc w:val="both"/>
              <w:rPr>
                <w:rFonts w:hint="default" w:ascii="Times New Roman" w:hAnsi="Times New Roman" w:eastAsia="仿宋" w:cs="Times New Roman"/>
                <w:color w:val="000000" w:themeColor="text1"/>
                <w:szCs w:val="20"/>
                <w:highlight w:val="none"/>
                <w:u w:val="none"/>
                <w:lang w:val="en-US" w:eastAsia="zh-CN"/>
                <w14:textFill>
                  <w14:solidFill>
                    <w14:schemeClr w14:val="tx1"/>
                  </w14:solidFill>
                </w14:textFill>
              </w:rPr>
            </w:pPr>
            <w:r>
              <w:rPr>
                <w:rFonts w:hint="default" w:ascii="Times New Roman" w:hAnsi="Times New Roman" w:eastAsia="仿宋" w:cs="Times New Roman"/>
                <w:b/>
                <w:bCs w:val="0"/>
                <w:color w:val="000000" w:themeColor="text1"/>
                <w:kern w:val="2"/>
                <w:sz w:val="24"/>
                <w:szCs w:val="24"/>
                <w:highlight w:val="none"/>
                <w:u w:val="none"/>
                <w:lang w:val="en-US" w:eastAsia="zh-CN" w:bidi="ar-SA"/>
                <w14:textFill>
                  <w14:solidFill>
                    <w14:schemeClr w14:val="tx1"/>
                  </w14:solidFill>
                </w14:textFill>
              </w:rPr>
              <w:t>三、物料平衡</w:t>
            </w:r>
          </w:p>
          <w:p w14:paraId="4BE50178">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14:textFill>
                  <w14:solidFill>
                    <w14:schemeClr w14:val="tx1"/>
                  </w14:solidFill>
                </w14:textFill>
              </w:rPr>
              <w:t>表2-</w:t>
            </w: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7</w:t>
            </w:r>
            <w:r>
              <w:rPr>
                <w:rFonts w:hint="default" w:ascii="Times New Roman" w:hAnsi="Times New Roman" w:eastAsia="仿宋" w:cs="Times New Roman"/>
                <w:b/>
                <w:color w:val="000000" w:themeColor="text1"/>
                <w:sz w:val="21"/>
                <w:szCs w:val="21"/>
                <w:highlight w:val="none"/>
                <w:u w:val="none"/>
                <w14:textFill>
                  <w14:solidFill>
                    <w14:schemeClr w14:val="tx1"/>
                  </w14:solidFill>
                </w14:textFill>
              </w:rPr>
              <w:t>物料平衡表</w:t>
            </w:r>
          </w:p>
          <w:tbl>
            <w:tblPr>
              <w:tblStyle w:val="24"/>
              <w:tblW w:w="4999"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70"/>
              <w:gridCol w:w="1874"/>
              <w:gridCol w:w="2235"/>
              <w:gridCol w:w="2208"/>
            </w:tblGrid>
            <w:tr w14:paraId="26101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51" w:type="pct"/>
                  <w:gridSpan w:val="2"/>
                  <w:tcBorders>
                    <w:tl2br w:val="nil"/>
                    <w:tr2bl w:val="nil"/>
                  </w:tcBorders>
                  <w:noWrap w:val="0"/>
                  <w:vAlign w:val="top"/>
                </w:tcPr>
                <w:p w14:paraId="28ACD394">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投入</w:t>
                  </w:r>
                </w:p>
              </w:tc>
              <w:tc>
                <w:tcPr>
                  <w:tcW w:w="2648" w:type="pct"/>
                  <w:gridSpan w:val="2"/>
                  <w:tcBorders>
                    <w:tl2br w:val="nil"/>
                    <w:tr2bl w:val="nil"/>
                  </w:tcBorders>
                  <w:noWrap w:val="0"/>
                  <w:vAlign w:val="top"/>
                </w:tcPr>
                <w:p w14:paraId="17F90350">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产出</w:t>
                  </w:r>
                </w:p>
              </w:tc>
            </w:tr>
            <w:tr w14:paraId="45F70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4" w:type="pct"/>
                  <w:tcBorders>
                    <w:tl2br w:val="nil"/>
                    <w:tr2bl w:val="nil"/>
                  </w:tcBorders>
                  <w:noWrap w:val="0"/>
                  <w:vAlign w:val="center"/>
                </w:tcPr>
                <w:p w14:paraId="7B8FE55F">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原料</w:t>
                  </w:r>
                </w:p>
              </w:tc>
              <w:tc>
                <w:tcPr>
                  <w:tcW w:w="1116" w:type="pct"/>
                  <w:tcBorders>
                    <w:tl2br w:val="nil"/>
                    <w:tr2bl w:val="nil"/>
                  </w:tcBorders>
                  <w:noWrap w:val="0"/>
                  <w:vAlign w:val="center"/>
                </w:tcPr>
                <w:p w14:paraId="49C62AFB">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用量（t）</w:t>
                  </w:r>
                </w:p>
              </w:tc>
              <w:tc>
                <w:tcPr>
                  <w:tcW w:w="1332" w:type="pct"/>
                  <w:tcBorders>
                    <w:tl2br w:val="nil"/>
                    <w:tr2bl w:val="nil"/>
                  </w:tcBorders>
                  <w:noWrap w:val="0"/>
                  <w:vAlign w:val="center"/>
                </w:tcPr>
                <w:p w14:paraId="59AEFCE9">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产品</w:t>
                  </w:r>
                </w:p>
              </w:tc>
              <w:tc>
                <w:tcPr>
                  <w:tcW w:w="1316" w:type="pct"/>
                  <w:tcBorders>
                    <w:tl2br w:val="nil"/>
                    <w:tr2bl w:val="nil"/>
                  </w:tcBorders>
                  <w:noWrap w:val="0"/>
                  <w:vAlign w:val="center"/>
                </w:tcPr>
                <w:p w14:paraId="26BB1631">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产出量（t）</w:t>
                  </w:r>
                </w:p>
              </w:tc>
            </w:tr>
            <w:tr w14:paraId="622FF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4" w:type="pct"/>
                  <w:tcBorders>
                    <w:tl2br w:val="nil"/>
                    <w:tr2bl w:val="nil"/>
                  </w:tcBorders>
                  <w:noWrap w:val="0"/>
                  <w:vAlign w:val="center"/>
                </w:tcPr>
                <w:p w14:paraId="3F0232C3">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r>
                    <w:rPr>
                      <w:rFonts w:hint="eastAsia" w:ascii="Times New Roman" w:hAnsi="Times New Roman" w:eastAsia="仿宋" w:cs="Times New Roman"/>
                      <w:bCs/>
                      <w:color w:val="000000" w:themeColor="text1"/>
                      <w:szCs w:val="21"/>
                      <w:highlight w:val="none"/>
                      <w:u w:val="none"/>
                      <w:lang w:val="en-US" w:eastAsia="zh-CN"/>
                      <w14:textFill>
                        <w14:solidFill>
                          <w14:schemeClr w14:val="tx1"/>
                        </w14:solidFill>
                      </w14:textFill>
                    </w:rPr>
                    <w:t>稻壳</w:t>
                  </w:r>
                </w:p>
              </w:tc>
              <w:tc>
                <w:tcPr>
                  <w:tcW w:w="1116" w:type="pct"/>
                  <w:tcBorders>
                    <w:tl2br w:val="nil"/>
                    <w:tr2bl w:val="nil"/>
                  </w:tcBorders>
                  <w:noWrap w:val="0"/>
                  <w:vAlign w:val="center"/>
                </w:tcPr>
                <w:p w14:paraId="07A1B6E2">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lang w:val="en-US"/>
                      <w14:textFill>
                        <w14:solidFill>
                          <w14:schemeClr w14:val="tx1"/>
                        </w14:solidFill>
                      </w14:textFill>
                    </w:rPr>
                  </w:pPr>
                  <w:r>
                    <w:rPr>
                      <w:rFonts w:hint="eastAsia" w:ascii="Times New Roman" w:hAnsi="Times New Roman" w:eastAsia="仿宋" w:cs="Times New Roman"/>
                      <w:color w:val="000000" w:themeColor="text1"/>
                      <w:highlight w:val="none"/>
                      <w:u w:val="none"/>
                      <w:lang w:val="en-US" w:eastAsia="zh-CN"/>
                      <w14:textFill>
                        <w14:solidFill>
                          <w14:schemeClr w14:val="tx1"/>
                        </w14:solidFill>
                      </w14:textFill>
                    </w:rPr>
                    <w:t>21602</w:t>
                  </w:r>
                </w:p>
              </w:tc>
              <w:tc>
                <w:tcPr>
                  <w:tcW w:w="1332" w:type="pct"/>
                  <w:tcBorders>
                    <w:tl2br w:val="nil"/>
                    <w:tr2bl w:val="nil"/>
                  </w:tcBorders>
                  <w:noWrap w:val="0"/>
                  <w:vAlign w:val="center"/>
                </w:tcPr>
                <w:p w14:paraId="54780CD2">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成型生物质颗粒</w:t>
                  </w:r>
                </w:p>
              </w:tc>
              <w:tc>
                <w:tcPr>
                  <w:tcW w:w="1316" w:type="pct"/>
                  <w:tcBorders>
                    <w:tl2br w:val="nil"/>
                    <w:tr2bl w:val="nil"/>
                  </w:tcBorders>
                  <w:noWrap w:val="0"/>
                  <w:vAlign w:val="center"/>
                </w:tcPr>
                <w:p w14:paraId="4733ABA8">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highlight w:val="none"/>
                      <w:u w:val="none"/>
                      <w:lang w:val="en-US" w:eastAsia="zh-CN"/>
                      <w14:textFill>
                        <w14:solidFill>
                          <w14:schemeClr w14:val="tx1"/>
                        </w14:solidFill>
                      </w14:textFill>
                    </w:rPr>
                    <w:t>21600</w:t>
                  </w:r>
                </w:p>
              </w:tc>
            </w:tr>
            <w:tr w14:paraId="43751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4" w:type="pct"/>
                  <w:tcBorders>
                    <w:tl2br w:val="nil"/>
                    <w:tr2bl w:val="nil"/>
                  </w:tcBorders>
                  <w:noWrap w:val="0"/>
                  <w:vAlign w:val="center"/>
                </w:tcPr>
                <w:p w14:paraId="42A84F88">
                  <w:pPr>
                    <w:pStyle w:val="56"/>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回用收集的粉尘</w:t>
                  </w:r>
                  <w:r>
                    <w:rPr>
                      <w:rFonts w:hint="eastAsia" w:ascii="Times New Roman" w:hAnsi="Times New Roman" w:eastAsia="仿宋" w:cs="Times New Roman"/>
                      <w:color w:val="000000" w:themeColor="text1"/>
                      <w:highlight w:val="none"/>
                      <w:u w:val="none"/>
                      <w:lang w:eastAsia="zh-CN"/>
                      <w14:textFill>
                        <w14:solidFill>
                          <w14:schemeClr w14:val="tx1"/>
                        </w14:solidFill>
                      </w14:textFill>
                    </w:rPr>
                    <w:t>（</w:t>
                  </w:r>
                  <w:r>
                    <w:rPr>
                      <w:rFonts w:hint="eastAsia" w:ascii="Times New Roman" w:hAnsi="Times New Roman" w:eastAsia="仿宋" w:cs="Times New Roman"/>
                      <w:color w:val="000000" w:themeColor="text1"/>
                      <w:highlight w:val="none"/>
                      <w:u w:val="none"/>
                      <w:lang w:val="en-US" w:eastAsia="zh-CN"/>
                      <w14:textFill>
                        <w14:solidFill>
                          <w14:schemeClr w14:val="tx1"/>
                        </w14:solidFill>
                      </w14:textFill>
                    </w:rPr>
                    <w:t>包括少量无组织回收粉尘</w:t>
                  </w:r>
                  <w:r>
                    <w:rPr>
                      <w:rFonts w:hint="eastAsia" w:ascii="Times New Roman" w:hAnsi="Times New Roman" w:eastAsia="仿宋" w:cs="Times New Roman"/>
                      <w:color w:val="000000" w:themeColor="text1"/>
                      <w:highlight w:val="none"/>
                      <w:u w:val="none"/>
                      <w:lang w:eastAsia="zh-CN"/>
                      <w14:textFill>
                        <w14:solidFill>
                          <w14:schemeClr w14:val="tx1"/>
                        </w14:solidFill>
                      </w14:textFill>
                    </w:rPr>
                    <w:t>）</w:t>
                  </w:r>
                </w:p>
              </w:tc>
              <w:tc>
                <w:tcPr>
                  <w:tcW w:w="1116" w:type="pct"/>
                  <w:tcBorders>
                    <w:tl2br w:val="nil"/>
                    <w:tr2bl w:val="nil"/>
                  </w:tcBorders>
                  <w:noWrap w:val="0"/>
                  <w:vAlign w:val="center"/>
                </w:tcPr>
                <w:p w14:paraId="4CB921BE">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lang w:val="en-US"/>
                      <w14:textFill>
                        <w14:solidFill>
                          <w14:schemeClr w14:val="tx1"/>
                        </w14:solidFill>
                      </w14:textFill>
                    </w:rPr>
                  </w:pPr>
                  <w:r>
                    <w:rPr>
                      <w:rFonts w:hint="eastAsia" w:ascii="Times New Roman" w:hAnsi="Times New Roman" w:eastAsia="仿宋" w:cs="Times New Roman"/>
                      <w:color w:val="000000" w:themeColor="text1"/>
                      <w:highlight w:val="none"/>
                      <w:u w:val="none"/>
                      <w:lang w:val="en-US" w:eastAsia="zh-CN"/>
                      <w14:textFill>
                        <w14:solidFill>
                          <w14:schemeClr w14:val="tx1"/>
                        </w14:solidFill>
                      </w14:textFill>
                    </w:rPr>
                    <w:t>12.917</w:t>
                  </w:r>
                </w:p>
              </w:tc>
              <w:tc>
                <w:tcPr>
                  <w:tcW w:w="1332" w:type="pct"/>
                  <w:tcBorders>
                    <w:tl2br w:val="nil"/>
                    <w:tr2bl w:val="nil"/>
                  </w:tcBorders>
                  <w:noWrap w:val="0"/>
                  <w:vAlign w:val="center"/>
                </w:tcPr>
                <w:p w14:paraId="25511137">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有组织粉尘排放量</w:t>
                  </w:r>
                </w:p>
              </w:tc>
              <w:tc>
                <w:tcPr>
                  <w:tcW w:w="1316" w:type="pct"/>
                  <w:tcBorders>
                    <w:tl2br w:val="nil"/>
                    <w:tr2bl w:val="nil"/>
                  </w:tcBorders>
                  <w:noWrap w:val="0"/>
                  <w:vAlign w:val="center"/>
                </w:tcPr>
                <w:p w14:paraId="6D64F005">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highlight w:val="none"/>
                      <w:u w:val="none"/>
                      <w:lang w:val="en-US" w:eastAsia="zh-CN"/>
                      <w14:textFill>
                        <w14:solidFill>
                          <w14:schemeClr w14:val="tx1"/>
                        </w14:solidFill>
                      </w14:textFill>
                    </w:rPr>
                    <w:t>1.1</w:t>
                  </w:r>
                </w:p>
              </w:tc>
            </w:tr>
            <w:tr w14:paraId="5BE70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4" w:type="pct"/>
                  <w:tcBorders>
                    <w:tl2br w:val="nil"/>
                    <w:tr2bl w:val="nil"/>
                  </w:tcBorders>
                  <w:noWrap w:val="0"/>
                  <w:vAlign w:val="center"/>
                </w:tcPr>
                <w:p w14:paraId="5D497D12">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p>
              </w:tc>
              <w:tc>
                <w:tcPr>
                  <w:tcW w:w="1116" w:type="pct"/>
                  <w:tcBorders>
                    <w:tl2br w:val="nil"/>
                    <w:tr2bl w:val="nil"/>
                  </w:tcBorders>
                  <w:noWrap w:val="0"/>
                  <w:vAlign w:val="center"/>
                </w:tcPr>
                <w:p w14:paraId="0B18CDB5">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p>
              </w:tc>
              <w:tc>
                <w:tcPr>
                  <w:tcW w:w="1332" w:type="pct"/>
                  <w:tcBorders>
                    <w:tl2br w:val="nil"/>
                    <w:tr2bl w:val="nil"/>
                  </w:tcBorders>
                  <w:noWrap w:val="0"/>
                  <w:vAlign w:val="center"/>
                </w:tcPr>
                <w:p w14:paraId="667FB2AF">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无组织粉尘排放量</w:t>
                  </w:r>
                </w:p>
              </w:tc>
              <w:tc>
                <w:tcPr>
                  <w:tcW w:w="1316" w:type="pct"/>
                  <w:tcBorders>
                    <w:tl2br w:val="nil"/>
                    <w:tr2bl w:val="nil"/>
                  </w:tcBorders>
                  <w:noWrap w:val="0"/>
                  <w:vAlign w:val="center"/>
                </w:tcPr>
                <w:p w14:paraId="0B196748">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highlight w:val="none"/>
                      <w:u w:val="none"/>
                      <w:lang w:val="en-US" w:eastAsia="zh-CN"/>
                      <w14:textFill>
                        <w14:solidFill>
                          <w14:schemeClr w14:val="tx1"/>
                        </w14:solidFill>
                      </w14:textFill>
                    </w:rPr>
                    <w:t>0.187</w:t>
                  </w:r>
                </w:p>
              </w:tc>
            </w:tr>
            <w:tr w14:paraId="2F2DF8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4" w:type="pct"/>
                  <w:tcBorders>
                    <w:tl2br w:val="nil"/>
                    <w:tr2bl w:val="nil"/>
                  </w:tcBorders>
                  <w:noWrap w:val="0"/>
                  <w:vAlign w:val="center"/>
                </w:tcPr>
                <w:p w14:paraId="556237D2">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p>
              </w:tc>
              <w:tc>
                <w:tcPr>
                  <w:tcW w:w="1116" w:type="pct"/>
                  <w:tcBorders>
                    <w:tl2br w:val="nil"/>
                    <w:tr2bl w:val="nil"/>
                  </w:tcBorders>
                  <w:noWrap w:val="0"/>
                  <w:vAlign w:val="center"/>
                </w:tcPr>
                <w:p w14:paraId="63CF41EF">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p>
              </w:tc>
              <w:tc>
                <w:tcPr>
                  <w:tcW w:w="1332" w:type="pct"/>
                  <w:tcBorders>
                    <w:tl2br w:val="nil"/>
                    <w:tr2bl w:val="nil"/>
                  </w:tcBorders>
                  <w:noWrap w:val="0"/>
                  <w:vAlign w:val="center"/>
                </w:tcPr>
                <w:p w14:paraId="125D0931">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r>
                    <w:rPr>
                      <w:rFonts w:hint="eastAsia" w:ascii="Times New Roman" w:hAnsi="Times New Roman" w:eastAsia="仿宋" w:cs="Times New Roman"/>
                      <w:color w:val="000000" w:themeColor="text1"/>
                      <w:highlight w:val="none"/>
                      <w:u w:val="none"/>
                      <w:lang w:val="en-US" w:eastAsia="zh-CN"/>
                      <w14:textFill>
                        <w14:solidFill>
                          <w14:schemeClr w14:val="tx1"/>
                        </w14:solidFill>
                      </w14:textFill>
                    </w:rPr>
                    <w:t>有组织</w:t>
                  </w:r>
                  <w:r>
                    <w:rPr>
                      <w:rFonts w:hint="default" w:ascii="Times New Roman" w:hAnsi="Times New Roman" w:eastAsia="仿宋" w:cs="Times New Roman"/>
                      <w:color w:val="000000" w:themeColor="text1"/>
                      <w:highlight w:val="none"/>
                      <w:u w:val="none"/>
                      <w14:textFill>
                        <w14:solidFill>
                          <w14:schemeClr w14:val="tx1"/>
                        </w14:solidFill>
                      </w14:textFill>
                    </w:rPr>
                    <w:t>收集的粉尘</w:t>
                  </w:r>
                </w:p>
              </w:tc>
              <w:tc>
                <w:tcPr>
                  <w:tcW w:w="1316" w:type="pct"/>
                  <w:tcBorders>
                    <w:tl2br w:val="nil"/>
                    <w:tr2bl w:val="nil"/>
                  </w:tcBorders>
                  <w:noWrap w:val="0"/>
                  <w:vAlign w:val="center"/>
                </w:tcPr>
                <w:p w14:paraId="41D37CC0">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highlight w:val="none"/>
                      <w:u w:val="none"/>
                      <w:lang w:val="en-US" w:eastAsia="zh-CN"/>
                      <w14:textFill>
                        <w14:solidFill>
                          <w14:schemeClr w14:val="tx1"/>
                        </w14:solidFill>
                      </w14:textFill>
                    </w:rPr>
                    <w:t>12.63</w:t>
                  </w:r>
                </w:p>
              </w:tc>
            </w:tr>
            <w:tr w14:paraId="41C3F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4" w:type="pct"/>
                  <w:tcBorders>
                    <w:tl2br w:val="nil"/>
                    <w:tr2bl w:val="nil"/>
                  </w:tcBorders>
                  <w:noWrap w:val="0"/>
                  <w:vAlign w:val="center"/>
                </w:tcPr>
                <w:p w14:paraId="7112AE58">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合计</w:t>
                  </w:r>
                </w:p>
              </w:tc>
              <w:tc>
                <w:tcPr>
                  <w:tcW w:w="1116" w:type="pct"/>
                  <w:tcBorders>
                    <w:tl2br w:val="nil"/>
                    <w:tr2bl w:val="nil"/>
                  </w:tcBorders>
                  <w:noWrap w:val="0"/>
                  <w:vAlign w:val="center"/>
                </w:tcPr>
                <w:p w14:paraId="77B37F3E">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highlight w:val="none"/>
                      <w:u w:val="none"/>
                      <w:lang w:val="en-US" w:eastAsia="zh-CN"/>
                      <w14:textFill>
                        <w14:solidFill>
                          <w14:schemeClr w14:val="tx1"/>
                        </w14:solidFill>
                      </w14:textFill>
                    </w:rPr>
                    <w:t>21614.917</w:t>
                  </w:r>
                </w:p>
              </w:tc>
              <w:tc>
                <w:tcPr>
                  <w:tcW w:w="1332" w:type="pct"/>
                  <w:tcBorders>
                    <w:tl2br w:val="nil"/>
                    <w:tr2bl w:val="nil"/>
                  </w:tcBorders>
                  <w:noWrap w:val="0"/>
                  <w:vAlign w:val="center"/>
                </w:tcPr>
                <w:p w14:paraId="31363B5A">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合计</w:t>
                  </w:r>
                </w:p>
              </w:tc>
              <w:tc>
                <w:tcPr>
                  <w:tcW w:w="1316" w:type="pct"/>
                  <w:tcBorders>
                    <w:tl2br w:val="nil"/>
                    <w:tr2bl w:val="nil"/>
                  </w:tcBorders>
                  <w:noWrap w:val="0"/>
                  <w:vAlign w:val="center"/>
                </w:tcPr>
                <w:p w14:paraId="2486CAAF">
                  <w:pPr>
                    <w:pStyle w:val="56"/>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highlight w:val="none"/>
                      <w:u w:val="none"/>
                      <w:lang w:val="en-US" w:eastAsia="zh-CN"/>
                      <w14:textFill>
                        <w14:solidFill>
                          <w14:schemeClr w14:val="tx1"/>
                        </w14:solidFill>
                      </w14:textFill>
                    </w:rPr>
                    <w:t>21614.917</w:t>
                  </w:r>
                </w:p>
              </w:tc>
            </w:tr>
          </w:tbl>
          <w:p w14:paraId="38E37A74">
            <w:pPr>
              <w:adjustRightInd w:val="0"/>
              <w:snapToGrid w:val="0"/>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p>
        </w:tc>
      </w:tr>
      <w:tr w14:paraId="64FEC2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67" w:hRule="atLeast"/>
          <w:jc w:val="center"/>
        </w:trPr>
        <w:tc>
          <w:tcPr>
            <w:tcW w:w="823" w:type="dxa"/>
            <w:noWrap w:val="0"/>
            <w:vAlign w:val="center"/>
          </w:tcPr>
          <w:p w14:paraId="5AB18477">
            <w:pPr>
              <w:pStyle w:val="21"/>
              <w:adjustRightInd w:val="0"/>
              <w:snapToGrid w:val="0"/>
              <w:spacing w:before="0" w:beforeAutospacing="0" w:after="0" w:afterAutospacing="0"/>
              <w:jc w:val="cente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kern w:val="2"/>
                <w:sz w:val="21"/>
                <w:szCs w:val="21"/>
                <w:highlight w:val="none"/>
                <w:u w:val="none"/>
                <w:lang w:val="en-US" w:eastAsia="zh-CN"/>
                <w14:textFill>
                  <w14:solidFill>
                    <w14:schemeClr w14:val="tx1"/>
                  </w14:solidFill>
                </w14:textFill>
              </w:rPr>
              <w:t>与项目有关的原有环境污染问题</w:t>
            </w:r>
          </w:p>
        </w:tc>
        <w:tc>
          <w:tcPr>
            <w:tcW w:w="8161" w:type="dxa"/>
            <w:noWrap w:val="0"/>
            <w:vAlign w:val="center"/>
          </w:tcPr>
          <w:p w14:paraId="76D1514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本项目为新建项目，根据现场勘察，无与本项目有关的原有污染源及主要环境问题。</w:t>
            </w:r>
          </w:p>
        </w:tc>
      </w:tr>
    </w:tbl>
    <w:p w14:paraId="73FE27C8">
      <w:pPr>
        <w:pStyle w:val="21"/>
        <w:jc w:val="center"/>
        <w:rPr>
          <w:rFonts w:hint="default" w:ascii="Times New Roman" w:hAnsi="Times New Roman" w:eastAsia="仿宋" w:cs="Times New Roman"/>
          <w:snapToGrid w:val="0"/>
          <w:color w:val="000000" w:themeColor="text1"/>
          <w:sz w:val="36"/>
          <w:szCs w:val="36"/>
          <w:highlight w:val="none"/>
          <w:u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D22DE63">
      <w:pPr>
        <w:pStyle w:val="21"/>
        <w:jc w:val="center"/>
        <w:outlineLvl w:val="0"/>
        <w:rPr>
          <w:rFonts w:hint="default" w:ascii="Times New Roman" w:hAnsi="Times New Roman" w:eastAsia="仿宋" w:cs="Times New Roman"/>
          <w:snapToGrid w:val="0"/>
          <w:color w:val="000000" w:themeColor="text1"/>
          <w:sz w:val="30"/>
          <w:szCs w:val="30"/>
          <w:highlight w:val="none"/>
          <w:u w:val="none"/>
          <w14:textFill>
            <w14:solidFill>
              <w14:schemeClr w14:val="tx1"/>
            </w14:solidFill>
          </w14:textFill>
        </w:rPr>
      </w:pPr>
      <w:bookmarkStart w:id="6" w:name="_Toc28952"/>
      <w:r>
        <w:rPr>
          <w:rFonts w:hint="default" w:ascii="Times New Roman" w:hAnsi="Times New Roman" w:eastAsia="仿宋" w:cs="Times New Roman"/>
          <w:snapToGrid w:val="0"/>
          <w:color w:val="000000" w:themeColor="text1"/>
          <w:sz w:val="30"/>
          <w:szCs w:val="30"/>
          <w:highlight w:val="none"/>
          <w:u w:val="none"/>
          <w14:textFill>
            <w14:solidFill>
              <w14:schemeClr w14:val="tx1"/>
            </w14:solidFill>
          </w14:textFill>
        </w:rPr>
        <w:t>三、区域环境质量现状、环境保护目标及评价标准</w:t>
      </w:r>
      <w:bookmarkEnd w:id="6"/>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29B49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800" w:type="dxa"/>
            <w:noWrap w:val="0"/>
            <w:vAlign w:val="center"/>
          </w:tcPr>
          <w:p w14:paraId="6BF35CCD">
            <w:pPr>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区域</w:t>
            </w:r>
          </w:p>
          <w:p w14:paraId="6BF5859D">
            <w:pPr>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环境</w:t>
            </w:r>
          </w:p>
          <w:p w14:paraId="48BBBEE4">
            <w:pPr>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质量</w:t>
            </w:r>
          </w:p>
          <w:p w14:paraId="1086D91A">
            <w:pPr>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现状</w:t>
            </w:r>
          </w:p>
        </w:tc>
        <w:tc>
          <w:tcPr>
            <w:tcW w:w="8190" w:type="dxa"/>
            <w:noWrap w:val="0"/>
            <w:vAlign w:val="center"/>
          </w:tcPr>
          <w:p w14:paraId="3A9D718C">
            <w:pPr>
              <w:spacing w:line="360" w:lineRule="auto"/>
              <w:ind w:firstLine="482" w:firstLineChars="200"/>
              <w:rPr>
                <w:rFonts w:hint="default" w:ascii="Times New Roman" w:hAnsi="Times New Roman" w:eastAsia="仿宋" w:cs="Times New Roman"/>
                <w:b/>
                <w:bCs/>
                <w:color w:val="000000" w:themeColor="text1"/>
                <w:sz w:val="24"/>
                <w:highlight w:val="none"/>
                <w:u w:val="none"/>
                <w14:textFill>
                  <w14:solidFill>
                    <w14:schemeClr w14:val="tx1"/>
                  </w14:solidFill>
                </w14:textFill>
              </w:rPr>
            </w:pPr>
            <w:r>
              <w:rPr>
                <w:rFonts w:hint="default" w:ascii="Times New Roman" w:hAnsi="Times New Roman" w:eastAsia="仿宋" w:cs="Times New Roman"/>
                <w:b/>
                <w:bCs/>
                <w:color w:val="000000" w:themeColor="text1"/>
                <w:sz w:val="24"/>
                <w:highlight w:val="none"/>
                <w:u w:val="none"/>
                <w14:textFill>
                  <w14:solidFill>
                    <w14:schemeClr w14:val="tx1"/>
                  </w14:solidFill>
                </w14:textFill>
              </w:rPr>
              <w:t>一、环境空气质量现状调查与评价</w:t>
            </w:r>
          </w:p>
          <w:p w14:paraId="180C9DE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（1）基本污染物</w:t>
            </w:r>
          </w:p>
          <w:p w14:paraId="72AD168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根据《2023年鸡西市环境质量状况》，2023年鸡西市各项污染物年均浓度综合情况见下表3-1。</w:t>
            </w:r>
          </w:p>
          <w:p w14:paraId="3C35C0B1">
            <w:pPr>
              <w:adjustRightInd w:val="0"/>
              <w:snapToGrid w:val="0"/>
              <w:spacing w:line="240" w:lineRule="auto"/>
              <w:jc w:val="center"/>
              <w:rPr>
                <w:rFonts w:hint="default" w:ascii="Times New Roman" w:hAnsi="Times New Roman" w:eastAsia="仿宋" w:cs="Times New Roman"/>
                <w:b/>
                <w:color w:val="000000" w:themeColor="text1"/>
                <w:szCs w:val="20"/>
                <w:highlight w:val="none"/>
                <w:u w:val="none"/>
                <w14:textFill>
                  <w14:solidFill>
                    <w14:schemeClr w14:val="tx1"/>
                  </w14:solidFill>
                </w14:textFill>
              </w:rPr>
            </w:pPr>
            <w:r>
              <w:rPr>
                <w:rFonts w:hint="default" w:ascii="Times New Roman" w:hAnsi="Times New Roman" w:eastAsia="仿宋" w:cs="Times New Roman"/>
                <w:b/>
                <w:color w:val="000000" w:themeColor="text1"/>
                <w:szCs w:val="20"/>
                <w:highlight w:val="none"/>
                <w:u w:val="none"/>
                <w14:textFill>
                  <w14:solidFill>
                    <w14:schemeClr w14:val="tx1"/>
                  </w14:solidFill>
                </w14:textFill>
              </w:rPr>
              <w:t>表3-1</w:t>
            </w:r>
            <w:r>
              <w:rPr>
                <w:rFonts w:hint="eastAsia" w:eastAsia="仿宋" w:cs="Times New Roman"/>
                <w:b/>
                <w:color w:val="000000" w:themeColor="text1"/>
                <w:szCs w:val="20"/>
                <w:highlight w:val="none"/>
                <w:u w:val="none"/>
                <w:lang w:val="en-US" w:eastAsia="zh-CN"/>
                <w14:textFill>
                  <w14:solidFill>
                    <w14:schemeClr w14:val="tx1"/>
                  </w14:solidFill>
                </w14:textFill>
              </w:rPr>
              <w:t xml:space="preserve">  </w:t>
            </w:r>
            <w:r>
              <w:rPr>
                <w:rFonts w:hint="default" w:ascii="Times New Roman" w:hAnsi="Times New Roman" w:eastAsia="仿宋" w:cs="Times New Roman"/>
                <w:b/>
                <w:color w:val="000000" w:themeColor="text1"/>
                <w:szCs w:val="20"/>
                <w:highlight w:val="none"/>
                <w:u w:val="none"/>
                <w14:textFill>
                  <w14:solidFill>
                    <w14:schemeClr w14:val="tx1"/>
                  </w14:solidFill>
                </w14:textFill>
              </w:rPr>
              <w:t>20</w:t>
            </w:r>
            <w:r>
              <w:rPr>
                <w:rFonts w:hint="eastAsia" w:ascii="Times New Roman" w:hAnsi="Times New Roman" w:eastAsia="仿宋" w:cs="Times New Roman"/>
                <w:b/>
                <w:color w:val="000000" w:themeColor="text1"/>
                <w:szCs w:val="20"/>
                <w:highlight w:val="none"/>
                <w:u w:val="none"/>
                <w:lang w:val="en-US" w:eastAsia="zh-CN"/>
                <w14:textFill>
                  <w14:solidFill>
                    <w14:schemeClr w14:val="tx1"/>
                  </w14:solidFill>
                </w14:textFill>
              </w:rPr>
              <w:t>23</w:t>
            </w:r>
            <w:r>
              <w:rPr>
                <w:rFonts w:hint="default" w:ascii="Times New Roman" w:hAnsi="Times New Roman" w:eastAsia="仿宋" w:cs="Times New Roman"/>
                <w:b/>
                <w:color w:val="000000" w:themeColor="text1"/>
                <w:szCs w:val="20"/>
                <w:highlight w:val="none"/>
                <w:u w:val="none"/>
                <w14:textFill>
                  <w14:solidFill>
                    <w14:schemeClr w14:val="tx1"/>
                  </w14:solidFill>
                </w14:textFill>
              </w:rPr>
              <w:t>年</w:t>
            </w:r>
            <w:r>
              <w:rPr>
                <w:rFonts w:hint="default" w:ascii="Times New Roman" w:hAnsi="Times New Roman" w:eastAsia="仿宋" w:cs="Times New Roman"/>
                <w:b/>
                <w:color w:val="000000" w:themeColor="text1"/>
                <w:szCs w:val="20"/>
                <w:highlight w:val="none"/>
                <w:u w:val="none"/>
                <w:lang w:val="en-US" w:eastAsia="zh-CN"/>
                <w14:textFill>
                  <w14:solidFill>
                    <w14:schemeClr w14:val="tx1"/>
                  </w14:solidFill>
                </w14:textFill>
              </w:rPr>
              <w:t>鸡西市</w:t>
            </w:r>
            <w:r>
              <w:rPr>
                <w:rFonts w:hint="default" w:ascii="Times New Roman" w:hAnsi="Times New Roman" w:eastAsia="仿宋" w:cs="Times New Roman"/>
                <w:b/>
                <w:color w:val="000000" w:themeColor="text1"/>
                <w:szCs w:val="20"/>
                <w:highlight w:val="none"/>
                <w:u w:val="none"/>
                <w14:textFill>
                  <w14:solidFill>
                    <w14:schemeClr w14:val="tx1"/>
                  </w14:solidFill>
                </w14:textFill>
              </w:rPr>
              <w:t>环境空气污染物监测数据</w:t>
            </w:r>
          </w:p>
          <w:tbl>
            <w:tblPr>
              <w:tblStyle w:val="78"/>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4"/>
              <w:gridCol w:w="2926"/>
              <w:gridCol w:w="966"/>
              <w:gridCol w:w="966"/>
              <w:gridCol w:w="956"/>
              <w:gridCol w:w="1074"/>
            </w:tblGrid>
            <w:tr w14:paraId="75301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74" w:type="pct"/>
                  <w:tcBorders>
                    <w:top w:val="single" w:color="000000" w:sz="12" w:space="0"/>
                    <w:left w:val="single" w:color="000000" w:sz="2" w:space="0"/>
                  </w:tcBorders>
                  <w:noWrap w:val="0"/>
                  <w:vAlign w:val="center"/>
                </w:tcPr>
                <w:p w14:paraId="0AE38D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污染物</w:t>
                  </w:r>
                </w:p>
              </w:tc>
              <w:tc>
                <w:tcPr>
                  <w:tcW w:w="1836" w:type="pct"/>
                  <w:tcBorders>
                    <w:top w:val="single" w:color="000000" w:sz="12" w:space="0"/>
                  </w:tcBorders>
                  <w:noWrap w:val="0"/>
                  <w:vAlign w:val="center"/>
                </w:tcPr>
                <w:p w14:paraId="4E5E84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年评价指标</w:t>
                  </w:r>
                </w:p>
              </w:tc>
              <w:tc>
                <w:tcPr>
                  <w:tcW w:w="606" w:type="pct"/>
                  <w:tcBorders>
                    <w:top w:val="single" w:color="000000" w:sz="12" w:space="0"/>
                  </w:tcBorders>
                  <w:noWrap w:val="0"/>
                  <w:vAlign w:val="center"/>
                </w:tcPr>
                <w:p w14:paraId="466172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现状浓度</w:t>
                  </w:r>
                  <w:r>
                    <w:rPr>
                      <w:rFonts w:hint="eastAsia" w:eastAsia="仿宋" w:cs="Times New Roman"/>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μg/m</w:t>
                  </w:r>
                  <w:r>
                    <w:rPr>
                      <w:rFonts w:hint="default" w:ascii="Times New Roman" w:hAnsi="Times New Roman" w:eastAsia="仿宋" w:cs="Times New Roman"/>
                      <w:color w:val="000000" w:themeColor="text1"/>
                      <w:sz w:val="21"/>
                      <w:szCs w:val="21"/>
                      <w:highlight w:val="none"/>
                      <w:u w:val="none"/>
                      <w:vertAlign w:val="superscript"/>
                      <w14:textFill>
                        <w14:solidFill>
                          <w14:schemeClr w14:val="tx1"/>
                        </w14:solidFill>
                      </w14:textFill>
                    </w:rPr>
                    <w:t>3</w:t>
                  </w: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w:t>
                  </w:r>
                </w:p>
              </w:tc>
              <w:tc>
                <w:tcPr>
                  <w:tcW w:w="606" w:type="pct"/>
                  <w:tcBorders>
                    <w:top w:val="single" w:color="000000" w:sz="12" w:space="0"/>
                  </w:tcBorders>
                  <w:noWrap w:val="0"/>
                  <w:vAlign w:val="center"/>
                </w:tcPr>
                <w:p w14:paraId="36A375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标准值</w:t>
                  </w:r>
                  <w:r>
                    <w:rPr>
                      <w:rFonts w:hint="eastAsia" w:eastAsia="仿宋" w:cs="Times New Roman"/>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μg/m</w:t>
                  </w:r>
                  <w:r>
                    <w:rPr>
                      <w:rFonts w:hint="default" w:ascii="Times New Roman" w:hAnsi="Times New Roman" w:eastAsia="仿宋" w:cs="Times New Roman"/>
                      <w:color w:val="000000" w:themeColor="text1"/>
                      <w:sz w:val="21"/>
                      <w:szCs w:val="21"/>
                      <w:highlight w:val="none"/>
                      <w:u w:val="none"/>
                      <w:vertAlign w:val="superscript"/>
                      <w14:textFill>
                        <w14:solidFill>
                          <w14:schemeClr w14:val="tx1"/>
                        </w14:solidFill>
                      </w14:textFill>
                    </w:rPr>
                    <w:t>3</w:t>
                  </w: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w:t>
                  </w:r>
                </w:p>
              </w:tc>
              <w:tc>
                <w:tcPr>
                  <w:tcW w:w="600" w:type="pct"/>
                  <w:tcBorders>
                    <w:top w:val="single" w:color="000000" w:sz="12" w:space="0"/>
                  </w:tcBorders>
                  <w:noWrap w:val="0"/>
                  <w:vAlign w:val="center"/>
                </w:tcPr>
                <w:p w14:paraId="25B17E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占标率（%）</w:t>
                  </w:r>
                </w:p>
              </w:tc>
              <w:tc>
                <w:tcPr>
                  <w:tcW w:w="674" w:type="pct"/>
                  <w:tcBorders>
                    <w:top w:val="single" w:color="000000" w:sz="12" w:space="0"/>
                    <w:right w:val="nil"/>
                  </w:tcBorders>
                  <w:noWrap w:val="0"/>
                  <w:vAlign w:val="center"/>
                </w:tcPr>
                <w:p w14:paraId="330F74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达标情况</w:t>
                  </w:r>
                </w:p>
              </w:tc>
            </w:tr>
            <w:tr w14:paraId="05E19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74" w:type="pct"/>
                  <w:tcBorders>
                    <w:left w:val="nil"/>
                  </w:tcBorders>
                  <w:noWrap w:val="0"/>
                  <w:vAlign w:val="center"/>
                </w:tcPr>
                <w:p w14:paraId="5C023B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PM</w:t>
                  </w:r>
                  <w:r>
                    <w:rPr>
                      <w:rFonts w:hint="default" w:ascii="Times New Roman" w:hAnsi="Times New Roman" w:eastAsia="仿宋" w:cs="Times New Roman"/>
                      <w:color w:val="000000" w:themeColor="text1"/>
                      <w:sz w:val="21"/>
                      <w:szCs w:val="21"/>
                      <w:highlight w:val="none"/>
                      <w:u w:val="none"/>
                      <w:vertAlign w:val="subscript"/>
                      <w14:textFill>
                        <w14:solidFill>
                          <w14:schemeClr w14:val="tx1"/>
                        </w14:solidFill>
                      </w14:textFill>
                    </w:rPr>
                    <w:t>2.5</w:t>
                  </w:r>
                </w:p>
              </w:tc>
              <w:tc>
                <w:tcPr>
                  <w:tcW w:w="1836" w:type="pct"/>
                  <w:noWrap w:val="0"/>
                  <w:vAlign w:val="center"/>
                </w:tcPr>
                <w:p w14:paraId="1D98BA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年平均质量浓度</w:t>
                  </w:r>
                </w:p>
              </w:tc>
              <w:tc>
                <w:tcPr>
                  <w:tcW w:w="606" w:type="pct"/>
                  <w:noWrap w:val="0"/>
                  <w:vAlign w:val="center"/>
                </w:tcPr>
                <w:p w14:paraId="2842FD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28</w:t>
                  </w:r>
                </w:p>
              </w:tc>
              <w:tc>
                <w:tcPr>
                  <w:tcW w:w="606" w:type="pct"/>
                  <w:noWrap w:val="0"/>
                  <w:vAlign w:val="center"/>
                </w:tcPr>
                <w:p w14:paraId="6E3140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35</w:t>
                  </w:r>
                </w:p>
              </w:tc>
              <w:tc>
                <w:tcPr>
                  <w:tcW w:w="600" w:type="pct"/>
                  <w:noWrap w:val="0"/>
                  <w:vAlign w:val="center"/>
                </w:tcPr>
                <w:p w14:paraId="3FC9B2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80</w:t>
                  </w:r>
                </w:p>
              </w:tc>
              <w:tc>
                <w:tcPr>
                  <w:tcW w:w="674" w:type="pct"/>
                  <w:tcBorders>
                    <w:right w:val="nil"/>
                  </w:tcBorders>
                  <w:noWrap w:val="0"/>
                  <w:vAlign w:val="center"/>
                </w:tcPr>
                <w:p w14:paraId="031ED5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达标</w:t>
                  </w:r>
                </w:p>
              </w:tc>
            </w:tr>
            <w:tr w14:paraId="493AC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74" w:type="pct"/>
                  <w:tcBorders>
                    <w:left w:val="nil"/>
                  </w:tcBorders>
                  <w:noWrap w:val="0"/>
                  <w:vAlign w:val="center"/>
                </w:tcPr>
                <w:p w14:paraId="7F8359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PM</w:t>
                  </w:r>
                  <w:r>
                    <w:rPr>
                      <w:rFonts w:hint="default" w:ascii="Times New Roman" w:hAnsi="Times New Roman" w:eastAsia="仿宋" w:cs="Times New Roman"/>
                      <w:color w:val="000000" w:themeColor="text1"/>
                      <w:sz w:val="21"/>
                      <w:szCs w:val="21"/>
                      <w:highlight w:val="none"/>
                      <w:u w:val="none"/>
                      <w:vertAlign w:val="subscript"/>
                      <w14:textFill>
                        <w14:solidFill>
                          <w14:schemeClr w14:val="tx1"/>
                        </w14:solidFill>
                      </w14:textFill>
                    </w:rPr>
                    <w:t>10</w:t>
                  </w:r>
                </w:p>
              </w:tc>
              <w:tc>
                <w:tcPr>
                  <w:tcW w:w="1836" w:type="pct"/>
                  <w:noWrap w:val="0"/>
                  <w:vAlign w:val="center"/>
                </w:tcPr>
                <w:p w14:paraId="714883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年平均质量浓度</w:t>
                  </w:r>
                </w:p>
              </w:tc>
              <w:tc>
                <w:tcPr>
                  <w:tcW w:w="606" w:type="pct"/>
                  <w:noWrap w:val="0"/>
                  <w:vAlign w:val="center"/>
                </w:tcPr>
                <w:p w14:paraId="175F9D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50</w:t>
                  </w:r>
                </w:p>
              </w:tc>
              <w:tc>
                <w:tcPr>
                  <w:tcW w:w="606" w:type="pct"/>
                  <w:noWrap w:val="0"/>
                  <w:vAlign w:val="center"/>
                </w:tcPr>
                <w:p w14:paraId="6FA04F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70</w:t>
                  </w:r>
                </w:p>
              </w:tc>
              <w:tc>
                <w:tcPr>
                  <w:tcW w:w="600" w:type="pct"/>
                  <w:noWrap w:val="0"/>
                  <w:vAlign w:val="center"/>
                </w:tcPr>
                <w:p w14:paraId="1CDDD2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71.4</w:t>
                  </w:r>
                </w:p>
              </w:tc>
              <w:tc>
                <w:tcPr>
                  <w:tcW w:w="674" w:type="pct"/>
                  <w:tcBorders>
                    <w:right w:val="nil"/>
                  </w:tcBorders>
                  <w:noWrap w:val="0"/>
                  <w:vAlign w:val="center"/>
                </w:tcPr>
                <w:p w14:paraId="5B9947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达标</w:t>
                  </w:r>
                </w:p>
              </w:tc>
            </w:tr>
            <w:tr w14:paraId="06C5C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74" w:type="pct"/>
                  <w:tcBorders>
                    <w:left w:val="nil"/>
                  </w:tcBorders>
                  <w:noWrap w:val="0"/>
                  <w:vAlign w:val="center"/>
                </w:tcPr>
                <w:p w14:paraId="3BE052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SO</w:t>
                  </w:r>
                  <w:r>
                    <w:rPr>
                      <w:rFonts w:hint="default" w:ascii="Times New Roman" w:hAnsi="Times New Roman" w:eastAsia="仿宋" w:cs="Times New Roman"/>
                      <w:color w:val="000000" w:themeColor="text1"/>
                      <w:sz w:val="21"/>
                      <w:szCs w:val="21"/>
                      <w:highlight w:val="none"/>
                      <w:u w:val="none"/>
                      <w:vertAlign w:val="subscript"/>
                      <w14:textFill>
                        <w14:solidFill>
                          <w14:schemeClr w14:val="tx1"/>
                        </w14:solidFill>
                      </w14:textFill>
                    </w:rPr>
                    <w:t>2</w:t>
                  </w:r>
                </w:p>
              </w:tc>
              <w:tc>
                <w:tcPr>
                  <w:tcW w:w="1836" w:type="pct"/>
                  <w:noWrap w:val="0"/>
                  <w:vAlign w:val="center"/>
                </w:tcPr>
                <w:p w14:paraId="063157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年平均质量浓度</w:t>
                  </w:r>
                </w:p>
              </w:tc>
              <w:tc>
                <w:tcPr>
                  <w:tcW w:w="606" w:type="pct"/>
                  <w:noWrap w:val="0"/>
                  <w:vAlign w:val="center"/>
                </w:tcPr>
                <w:p w14:paraId="0170F7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8</w:t>
                  </w:r>
                </w:p>
              </w:tc>
              <w:tc>
                <w:tcPr>
                  <w:tcW w:w="606" w:type="pct"/>
                  <w:noWrap w:val="0"/>
                  <w:vAlign w:val="center"/>
                </w:tcPr>
                <w:p w14:paraId="4BAB02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40</w:t>
                  </w:r>
                </w:p>
              </w:tc>
              <w:tc>
                <w:tcPr>
                  <w:tcW w:w="600" w:type="pct"/>
                  <w:noWrap w:val="0"/>
                  <w:vAlign w:val="center"/>
                </w:tcPr>
                <w:p w14:paraId="7B6DB9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20</w:t>
                  </w:r>
                </w:p>
              </w:tc>
              <w:tc>
                <w:tcPr>
                  <w:tcW w:w="674" w:type="pct"/>
                  <w:tcBorders>
                    <w:right w:val="nil"/>
                  </w:tcBorders>
                  <w:noWrap w:val="0"/>
                  <w:vAlign w:val="center"/>
                </w:tcPr>
                <w:p w14:paraId="587FBE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达标</w:t>
                  </w:r>
                </w:p>
              </w:tc>
            </w:tr>
            <w:tr w14:paraId="1495D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74" w:type="pct"/>
                  <w:tcBorders>
                    <w:left w:val="nil"/>
                  </w:tcBorders>
                  <w:noWrap w:val="0"/>
                  <w:vAlign w:val="center"/>
                </w:tcPr>
                <w:p w14:paraId="4BD114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NO</w:t>
                  </w:r>
                  <w:r>
                    <w:rPr>
                      <w:rFonts w:hint="default" w:ascii="Times New Roman" w:hAnsi="Times New Roman" w:eastAsia="仿宋" w:cs="Times New Roman"/>
                      <w:color w:val="000000" w:themeColor="text1"/>
                      <w:sz w:val="21"/>
                      <w:szCs w:val="21"/>
                      <w:highlight w:val="none"/>
                      <w:u w:val="none"/>
                      <w:vertAlign w:val="subscript"/>
                      <w14:textFill>
                        <w14:solidFill>
                          <w14:schemeClr w14:val="tx1"/>
                        </w14:solidFill>
                      </w14:textFill>
                    </w:rPr>
                    <w:t>2</w:t>
                  </w:r>
                </w:p>
              </w:tc>
              <w:tc>
                <w:tcPr>
                  <w:tcW w:w="1836" w:type="pct"/>
                  <w:noWrap w:val="0"/>
                  <w:vAlign w:val="center"/>
                </w:tcPr>
                <w:p w14:paraId="5E41F4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年平均质量浓度</w:t>
                  </w:r>
                </w:p>
              </w:tc>
              <w:tc>
                <w:tcPr>
                  <w:tcW w:w="606" w:type="pct"/>
                  <w:noWrap w:val="0"/>
                  <w:vAlign w:val="center"/>
                </w:tcPr>
                <w:p w14:paraId="7906A3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20</w:t>
                  </w:r>
                </w:p>
              </w:tc>
              <w:tc>
                <w:tcPr>
                  <w:tcW w:w="606" w:type="pct"/>
                  <w:noWrap w:val="0"/>
                  <w:vAlign w:val="center"/>
                </w:tcPr>
                <w:p w14:paraId="61EF64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60</w:t>
                  </w:r>
                </w:p>
              </w:tc>
              <w:tc>
                <w:tcPr>
                  <w:tcW w:w="600" w:type="pct"/>
                  <w:noWrap w:val="0"/>
                  <w:vAlign w:val="center"/>
                </w:tcPr>
                <w:p w14:paraId="41C0E5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33.3</w:t>
                  </w:r>
                </w:p>
              </w:tc>
              <w:tc>
                <w:tcPr>
                  <w:tcW w:w="674" w:type="pct"/>
                  <w:tcBorders>
                    <w:right w:val="nil"/>
                  </w:tcBorders>
                  <w:noWrap w:val="0"/>
                  <w:vAlign w:val="center"/>
                </w:tcPr>
                <w:p w14:paraId="3B34B0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达标</w:t>
                  </w:r>
                </w:p>
              </w:tc>
            </w:tr>
            <w:tr w14:paraId="6F51F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74" w:type="pct"/>
                  <w:tcBorders>
                    <w:left w:val="nil"/>
                  </w:tcBorders>
                  <w:noWrap w:val="0"/>
                  <w:vAlign w:val="center"/>
                </w:tcPr>
                <w:p w14:paraId="1E9E1B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CO</w:t>
                  </w:r>
                </w:p>
              </w:tc>
              <w:tc>
                <w:tcPr>
                  <w:tcW w:w="1836" w:type="pct"/>
                  <w:noWrap w:val="0"/>
                  <w:vAlign w:val="center"/>
                </w:tcPr>
                <w:p w14:paraId="5ADF3E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第95百分位数日平均浓度（mg/m</w:t>
                  </w:r>
                  <w:r>
                    <w:rPr>
                      <w:rFonts w:hint="default" w:ascii="Times New Roman" w:hAnsi="Times New Roman" w:eastAsia="仿宋" w:cs="Times New Roman"/>
                      <w:color w:val="000000" w:themeColor="text1"/>
                      <w:sz w:val="21"/>
                      <w:szCs w:val="21"/>
                      <w:highlight w:val="none"/>
                      <w:u w:val="none"/>
                      <w:vertAlign w:val="superscript"/>
                      <w14:textFill>
                        <w14:solidFill>
                          <w14:schemeClr w14:val="tx1"/>
                        </w14:solidFill>
                      </w14:textFill>
                    </w:rPr>
                    <w:t>3</w:t>
                  </w: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w:t>
                  </w:r>
                </w:p>
              </w:tc>
              <w:tc>
                <w:tcPr>
                  <w:tcW w:w="606" w:type="pct"/>
                  <w:noWrap w:val="0"/>
                  <w:vAlign w:val="center"/>
                </w:tcPr>
                <w:p w14:paraId="09C81F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1.0</w:t>
                  </w:r>
                </w:p>
              </w:tc>
              <w:tc>
                <w:tcPr>
                  <w:tcW w:w="606" w:type="pct"/>
                  <w:noWrap w:val="0"/>
                  <w:vAlign w:val="center"/>
                </w:tcPr>
                <w:p w14:paraId="7FEEBF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4</w:t>
                  </w:r>
                </w:p>
              </w:tc>
              <w:tc>
                <w:tcPr>
                  <w:tcW w:w="600" w:type="pct"/>
                  <w:noWrap w:val="0"/>
                  <w:vAlign w:val="center"/>
                </w:tcPr>
                <w:p w14:paraId="229C45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25</w:t>
                  </w:r>
                </w:p>
              </w:tc>
              <w:tc>
                <w:tcPr>
                  <w:tcW w:w="674" w:type="pct"/>
                  <w:tcBorders>
                    <w:right w:val="nil"/>
                  </w:tcBorders>
                  <w:noWrap w:val="0"/>
                  <w:vAlign w:val="center"/>
                </w:tcPr>
                <w:p w14:paraId="13E0BE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达标</w:t>
                  </w:r>
                </w:p>
              </w:tc>
            </w:tr>
            <w:tr w14:paraId="0FFC6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74" w:type="pct"/>
                  <w:tcBorders>
                    <w:left w:val="nil"/>
                    <w:bottom w:val="single" w:color="000000" w:sz="12" w:space="0"/>
                  </w:tcBorders>
                  <w:noWrap w:val="0"/>
                  <w:vAlign w:val="center"/>
                </w:tcPr>
                <w:p w14:paraId="5663BF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O</w:t>
                  </w:r>
                  <w:r>
                    <w:rPr>
                      <w:rFonts w:hint="default" w:ascii="Times New Roman" w:hAnsi="Times New Roman" w:eastAsia="仿宋" w:cs="Times New Roman"/>
                      <w:color w:val="000000" w:themeColor="text1"/>
                      <w:sz w:val="21"/>
                      <w:szCs w:val="21"/>
                      <w:highlight w:val="none"/>
                      <w:u w:val="none"/>
                      <w:vertAlign w:val="subscript"/>
                      <w14:textFill>
                        <w14:solidFill>
                          <w14:schemeClr w14:val="tx1"/>
                        </w14:solidFill>
                      </w14:textFill>
                    </w:rPr>
                    <w:t>3</w:t>
                  </w:r>
                </w:p>
              </w:tc>
              <w:tc>
                <w:tcPr>
                  <w:tcW w:w="1836" w:type="pct"/>
                  <w:tcBorders>
                    <w:bottom w:val="single" w:color="000000" w:sz="12" w:space="0"/>
                  </w:tcBorders>
                  <w:noWrap w:val="0"/>
                  <w:vAlign w:val="center"/>
                </w:tcPr>
                <w:p w14:paraId="588BC2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第90百分位数8h平均质量浓度</w:t>
                  </w:r>
                </w:p>
              </w:tc>
              <w:tc>
                <w:tcPr>
                  <w:tcW w:w="606" w:type="pct"/>
                  <w:tcBorders>
                    <w:bottom w:val="single" w:color="000000" w:sz="12" w:space="0"/>
                  </w:tcBorders>
                  <w:noWrap w:val="0"/>
                  <w:vAlign w:val="center"/>
                </w:tcPr>
                <w:p w14:paraId="38F520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98</w:t>
                  </w:r>
                </w:p>
              </w:tc>
              <w:tc>
                <w:tcPr>
                  <w:tcW w:w="606" w:type="pct"/>
                  <w:tcBorders>
                    <w:bottom w:val="single" w:color="000000" w:sz="12" w:space="0"/>
                  </w:tcBorders>
                  <w:noWrap w:val="0"/>
                  <w:vAlign w:val="center"/>
                </w:tcPr>
                <w:p w14:paraId="6E1A84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160</w:t>
                  </w:r>
                </w:p>
              </w:tc>
              <w:tc>
                <w:tcPr>
                  <w:tcW w:w="600" w:type="pct"/>
                  <w:tcBorders>
                    <w:bottom w:val="single" w:color="000000" w:sz="12" w:space="0"/>
                  </w:tcBorders>
                  <w:noWrap w:val="0"/>
                  <w:vAlign w:val="center"/>
                </w:tcPr>
                <w:p w14:paraId="2C4CF1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61.2</w:t>
                  </w:r>
                </w:p>
              </w:tc>
              <w:tc>
                <w:tcPr>
                  <w:tcW w:w="674" w:type="pct"/>
                  <w:tcBorders>
                    <w:bottom w:val="single" w:color="000000" w:sz="12" w:space="0"/>
                    <w:right w:val="nil"/>
                  </w:tcBorders>
                  <w:noWrap w:val="0"/>
                  <w:vAlign w:val="center"/>
                </w:tcPr>
                <w:p w14:paraId="30CDEF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达标</w:t>
                  </w:r>
                </w:p>
              </w:tc>
            </w:tr>
          </w:tbl>
          <w:p w14:paraId="07F72B0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由表3-1可知，2023年鸡西市各项基本污染物年均质量浓度均符合《环境空气质量标准》（GB3095-2012）中的二级标准，因此判定本项目区域环境空气质量为达标区。</w:t>
            </w:r>
          </w:p>
          <w:p w14:paraId="5DE3B81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（2）其他污染物环境质量现状</w:t>
            </w:r>
          </w:p>
          <w:p w14:paraId="20BD7FF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依据《建设项目环境影响报告表编制技术指南（污染影响类）》（试行）中要求：排放国家、地方环境空气质量标准中有标准限值要求的特征污染物时，引用建设项目周边5km范围内近3年的现有监测数据，无相关数据的选择当季主导下风向1个点位补充不少于3天的监测数据。</w:t>
            </w:r>
          </w:p>
          <w:p w14:paraId="526480D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本项目特征因子为</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TSP</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总悬浮颗粒物</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），由于在评价范围内未调查到相关监测数据，本公司委托黑龙江省吉瑞达检测科技有限公司对</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颗粒物</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进行补充检测。监测日期</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202</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5</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年</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02</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月</w:t>
            </w:r>
            <w:r>
              <w:rPr>
                <w:rFonts w:hint="eastAsia" w:eastAsia="仿宋" w:cs="Times New Roman"/>
                <w:color w:val="000000" w:themeColor="text1"/>
                <w:sz w:val="24"/>
                <w:szCs w:val="32"/>
                <w:highlight w:val="none"/>
                <w:u w:val="none"/>
                <w:lang w:val="en-US" w:eastAsia="zh-CN"/>
                <w14:textFill>
                  <w14:solidFill>
                    <w14:schemeClr w14:val="tx1"/>
                  </w14:solidFill>
                </w14:textFill>
              </w:rPr>
              <w:t>1</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3</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日</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202</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5</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年</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02</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月</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15</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日；监测报告见附件8，监测点信息见表3-2，监测结果见表3-3。</w:t>
            </w:r>
          </w:p>
          <w:p w14:paraId="707A072A">
            <w:pPr>
              <w:adjustRightInd w:val="0"/>
              <w:snapToGrid w:val="0"/>
              <w:spacing w:line="240" w:lineRule="auto"/>
              <w:ind w:left="0" w:leftChars="0" w:firstLine="0" w:firstLineChars="0"/>
              <w:jc w:val="center"/>
              <w:rPr>
                <w:rFonts w:hint="default" w:ascii="Times New Roman" w:hAnsi="Times New Roman" w:eastAsia="仿宋" w:cs="Times New Roman"/>
                <w:b/>
                <w:color w:val="000000" w:themeColor="text1"/>
                <w:szCs w:val="20"/>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Cs w:val="20"/>
                <w:highlight w:val="none"/>
                <w:u w:val="none"/>
                <w:lang w:val="en-US" w:eastAsia="zh-CN"/>
                <w14:textFill>
                  <w14:solidFill>
                    <w14:schemeClr w14:val="tx1"/>
                  </w14:solidFill>
                </w14:textFill>
              </w:rPr>
              <w:t>表3-2大气特征污染物补充监测点位基本信息</w:t>
            </w:r>
          </w:p>
          <w:p w14:paraId="6369D114">
            <w:pPr>
              <w:spacing w:line="15" w:lineRule="exact"/>
              <w:rPr>
                <w:color w:val="000000" w:themeColor="text1"/>
                <w:highlight w:val="none"/>
                <w:u w:val="none"/>
                <w14:textFill>
                  <w14:solidFill>
                    <w14:schemeClr w14:val="tx1"/>
                  </w14:solidFill>
                </w14:textFill>
              </w:rPr>
            </w:pPr>
          </w:p>
          <w:tbl>
            <w:tblPr>
              <w:tblStyle w:val="7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97"/>
              <w:gridCol w:w="1334"/>
              <w:gridCol w:w="1292"/>
              <w:gridCol w:w="1848"/>
              <w:gridCol w:w="816"/>
              <w:gridCol w:w="874"/>
            </w:tblGrid>
            <w:tr w14:paraId="3DCFC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28" w:type="pct"/>
                  <w:vMerge w:val="restart"/>
                  <w:tcBorders>
                    <w:top w:val="single" w:color="000000" w:sz="10" w:space="0"/>
                    <w:left w:val="nil"/>
                    <w:bottom w:val="nil"/>
                  </w:tcBorders>
                  <w:noWrap w:val="0"/>
                  <w:vAlign w:val="center"/>
                </w:tcPr>
                <w:p w14:paraId="16FDA2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监测点名称</w:t>
                  </w:r>
                </w:p>
              </w:tc>
              <w:tc>
                <w:tcPr>
                  <w:tcW w:w="1648" w:type="pct"/>
                  <w:gridSpan w:val="2"/>
                  <w:tcBorders>
                    <w:top w:val="single" w:color="000000" w:sz="10" w:space="0"/>
                  </w:tcBorders>
                  <w:noWrap w:val="0"/>
                  <w:vAlign w:val="center"/>
                </w:tcPr>
                <w:p w14:paraId="12C88A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监测点坐标</w:t>
                  </w:r>
                </w:p>
              </w:tc>
              <w:tc>
                <w:tcPr>
                  <w:tcW w:w="1160" w:type="pct"/>
                  <w:vMerge w:val="restart"/>
                  <w:tcBorders>
                    <w:top w:val="single" w:color="000000" w:sz="10" w:space="0"/>
                    <w:bottom w:val="nil"/>
                  </w:tcBorders>
                  <w:noWrap w:val="0"/>
                  <w:vAlign w:val="center"/>
                </w:tcPr>
                <w:p w14:paraId="593B86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监测因子</w:t>
                  </w:r>
                </w:p>
              </w:tc>
              <w:tc>
                <w:tcPr>
                  <w:tcW w:w="512" w:type="pct"/>
                  <w:vMerge w:val="restart"/>
                  <w:tcBorders>
                    <w:top w:val="single" w:color="000000" w:sz="10" w:space="0"/>
                    <w:bottom w:val="nil"/>
                  </w:tcBorders>
                  <w:noWrap w:val="0"/>
                  <w:vAlign w:val="center"/>
                </w:tcPr>
                <w:p w14:paraId="52C019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相对厂址位置</w:t>
                  </w:r>
                </w:p>
              </w:tc>
              <w:tc>
                <w:tcPr>
                  <w:tcW w:w="548" w:type="pct"/>
                  <w:vMerge w:val="restart"/>
                  <w:tcBorders>
                    <w:top w:val="single" w:color="000000" w:sz="10" w:space="0"/>
                    <w:bottom w:val="nil"/>
                    <w:right w:val="nil"/>
                  </w:tcBorders>
                  <w:noWrap w:val="0"/>
                  <w:vAlign w:val="center"/>
                </w:tcPr>
                <w:p w14:paraId="66A41D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相对厂界距离/m</w:t>
                  </w:r>
                </w:p>
              </w:tc>
            </w:tr>
            <w:tr w14:paraId="1E91B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28" w:type="pct"/>
                  <w:vMerge w:val="continue"/>
                  <w:tcBorders>
                    <w:top w:val="nil"/>
                    <w:left w:val="nil"/>
                  </w:tcBorders>
                  <w:noWrap w:val="0"/>
                  <w:vAlign w:val="center"/>
                </w:tcPr>
                <w:p w14:paraId="17B7B4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p>
              </w:tc>
              <w:tc>
                <w:tcPr>
                  <w:tcW w:w="837" w:type="pct"/>
                  <w:noWrap w:val="0"/>
                  <w:vAlign w:val="center"/>
                </w:tcPr>
                <w:p w14:paraId="6D68F3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东经</w:t>
                  </w:r>
                </w:p>
              </w:tc>
              <w:tc>
                <w:tcPr>
                  <w:tcW w:w="810" w:type="pct"/>
                  <w:noWrap w:val="0"/>
                  <w:vAlign w:val="center"/>
                </w:tcPr>
                <w:p w14:paraId="66EAB9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北纬</w:t>
                  </w:r>
                </w:p>
              </w:tc>
              <w:tc>
                <w:tcPr>
                  <w:tcW w:w="1160" w:type="pct"/>
                  <w:vMerge w:val="continue"/>
                  <w:tcBorders>
                    <w:top w:val="nil"/>
                  </w:tcBorders>
                  <w:noWrap w:val="0"/>
                  <w:vAlign w:val="center"/>
                </w:tcPr>
                <w:p w14:paraId="480B69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p>
              </w:tc>
              <w:tc>
                <w:tcPr>
                  <w:tcW w:w="512" w:type="pct"/>
                  <w:vMerge w:val="continue"/>
                  <w:tcBorders>
                    <w:top w:val="nil"/>
                  </w:tcBorders>
                  <w:noWrap w:val="0"/>
                  <w:vAlign w:val="center"/>
                </w:tcPr>
                <w:p w14:paraId="1C2630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p>
              </w:tc>
              <w:tc>
                <w:tcPr>
                  <w:tcW w:w="548" w:type="pct"/>
                  <w:vMerge w:val="continue"/>
                  <w:tcBorders>
                    <w:top w:val="nil"/>
                    <w:right w:val="nil"/>
                  </w:tcBorders>
                  <w:noWrap w:val="0"/>
                  <w:vAlign w:val="center"/>
                </w:tcPr>
                <w:p w14:paraId="69B3C2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p>
              </w:tc>
            </w:tr>
            <w:tr w14:paraId="764EE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128" w:type="pct"/>
                  <w:tcBorders>
                    <w:left w:val="nil"/>
                    <w:bottom w:val="single" w:color="000000" w:sz="10" w:space="0"/>
                  </w:tcBorders>
                  <w:noWrap w:val="0"/>
                  <w:vAlign w:val="center"/>
                </w:tcPr>
                <w:p w14:paraId="42F120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厂界下风向</w:t>
                  </w:r>
                </w:p>
              </w:tc>
              <w:tc>
                <w:tcPr>
                  <w:tcW w:w="837" w:type="pct"/>
                  <w:tcBorders>
                    <w:bottom w:val="single" w:color="000000" w:sz="10" w:space="0"/>
                  </w:tcBorders>
                  <w:noWrap w:val="0"/>
                  <w:vAlign w:val="center"/>
                </w:tcPr>
                <w:p w14:paraId="64B3AD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131.499352</w:t>
                  </w:r>
                </w:p>
              </w:tc>
              <w:tc>
                <w:tcPr>
                  <w:tcW w:w="810" w:type="pct"/>
                  <w:tcBorders>
                    <w:bottom w:val="single" w:color="000000" w:sz="10" w:space="0"/>
                  </w:tcBorders>
                  <w:noWrap w:val="0"/>
                  <w:vAlign w:val="center"/>
                </w:tcPr>
                <w:p w14:paraId="59E32C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eastAsia"/>
                      <w:color w:val="000000" w:themeColor="text1"/>
                      <w:highlight w:val="none"/>
                      <w:u w:val="none"/>
                      <w14:textFill>
                        <w14:solidFill>
                          <w14:schemeClr w14:val="tx1"/>
                        </w14:solidFill>
                      </w14:textFill>
                    </w:rPr>
                    <w:t>45.272954</w:t>
                  </w:r>
                </w:p>
              </w:tc>
              <w:tc>
                <w:tcPr>
                  <w:tcW w:w="1160" w:type="pct"/>
                  <w:tcBorders>
                    <w:bottom w:val="single" w:color="000000" w:sz="10" w:space="0"/>
                  </w:tcBorders>
                  <w:noWrap w:val="0"/>
                  <w:vAlign w:val="center"/>
                </w:tcPr>
                <w:p w14:paraId="5D128A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颗粒物</w:t>
                  </w:r>
                </w:p>
              </w:tc>
              <w:tc>
                <w:tcPr>
                  <w:tcW w:w="512" w:type="pct"/>
                  <w:tcBorders>
                    <w:bottom w:val="single" w:color="000000" w:sz="10" w:space="0"/>
                  </w:tcBorders>
                  <w:noWrap w:val="0"/>
                  <w:vAlign w:val="center"/>
                </w:tcPr>
                <w:p w14:paraId="199C6E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下风向</w:t>
                  </w:r>
                </w:p>
              </w:tc>
              <w:tc>
                <w:tcPr>
                  <w:tcW w:w="548" w:type="pct"/>
                  <w:tcBorders>
                    <w:bottom w:val="single" w:color="000000" w:sz="10" w:space="0"/>
                    <w:right w:val="nil"/>
                  </w:tcBorders>
                  <w:noWrap w:val="0"/>
                  <w:vAlign w:val="center"/>
                </w:tcPr>
                <w:p w14:paraId="757AD3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100</w:t>
                  </w:r>
                </w:p>
              </w:tc>
            </w:tr>
          </w:tbl>
          <w:p w14:paraId="46FFD015">
            <w:pPr>
              <w:adjustRightInd w:val="0"/>
              <w:snapToGrid w:val="0"/>
              <w:spacing w:line="240" w:lineRule="auto"/>
              <w:ind w:left="0" w:leftChars="0" w:firstLine="0" w:firstLineChars="0"/>
              <w:jc w:val="center"/>
              <w:rPr>
                <w:rFonts w:hint="default" w:ascii="Times New Roman" w:hAnsi="Times New Roman" w:eastAsia="仿宋" w:cs="Times New Roman"/>
                <w:b/>
                <w:color w:val="000000" w:themeColor="text1"/>
                <w:szCs w:val="20"/>
                <w:highlight w:val="none"/>
                <w:u w:val="none"/>
                <w:lang w:val="en-US" w:eastAsia="zh-CN"/>
                <w14:textFill>
                  <w14:solidFill>
                    <w14:schemeClr w14:val="tx1"/>
                  </w14:solidFill>
                </w14:textFill>
              </w:rPr>
            </w:pPr>
          </w:p>
          <w:p w14:paraId="68F6A101">
            <w:pPr>
              <w:adjustRightInd w:val="0"/>
              <w:snapToGrid w:val="0"/>
              <w:spacing w:line="240" w:lineRule="auto"/>
              <w:ind w:left="0" w:leftChars="0" w:firstLine="0" w:firstLineChars="0"/>
              <w:jc w:val="center"/>
              <w:rPr>
                <w:rFonts w:hint="default" w:ascii="Times New Roman" w:hAnsi="Times New Roman" w:eastAsia="仿宋" w:cs="Times New Roman"/>
                <w:b/>
                <w:color w:val="000000" w:themeColor="text1"/>
                <w:szCs w:val="20"/>
                <w:highlight w:val="none"/>
                <w:u w:val="none"/>
                <w:lang w:val="en-US" w:eastAsia="zh-CN"/>
                <w14:textFill>
                  <w14:solidFill>
                    <w14:schemeClr w14:val="tx1"/>
                  </w14:solidFill>
                </w14:textFill>
              </w:rPr>
            </w:pPr>
          </w:p>
          <w:p w14:paraId="37DE37CC">
            <w:pPr>
              <w:adjustRightInd w:val="0"/>
              <w:snapToGrid w:val="0"/>
              <w:spacing w:line="240" w:lineRule="auto"/>
              <w:ind w:left="0" w:leftChars="0" w:firstLine="0" w:firstLineChars="0"/>
              <w:jc w:val="center"/>
              <w:rPr>
                <w:rFonts w:hint="default" w:ascii="Times New Roman" w:hAnsi="Times New Roman" w:eastAsia="仿宋" w:cs="Times New Roman"/>
                <w:b/>
                <w:color w:val="000000" w:themeColor="text1"/>
                <w:szCs w:val="20"/>
                <w:highlight w:val="none"/>
                <w:u w:val="none"/>
                <w:lang w:val="en-US" w:eastAsia="zh-CN"/>
                <w14:textFill>
                  <w14:solidFill>
                    <w14:schemeClr w14:val="tx1"/>
                  </w14:solidFill>
                </w14:textFill>
              </w:rPr>
            </w:pPr>
          </w:p>
          <w:p w14:paraId="01D010E2">
            <w:pPr>
              <w:adjustRightInd w:val="0"/>
              <w:snapToGrid w:val="0"/>
              <w:spacing w:line="240" w:lineRule="auto"/>
              <w:ind w:left="0" w:leftChars="0" w:firstLine="0" w:firstLineChars="0"/>
              <w:jc w:val="center"/>
              <w:rPr>
                <w:color w:val="000000" w:themeColor="text1"/>
                <w:highlight w:val="none"/>
                <w:u w:val="none"/>
                <w14:textFill>
                  <w14:solidFill>
                    <w14:schemeClr w14:val="tx1"/>
                  </w14:solidFill>
                </w14:textFill>
              </w:rPr>
            </w:pPr>
            <w:r>
              <w:rPr>
                <w:rFonts w:hint="default" w:ascii="Times New Roman" w:hAnsi="Times New Roman" w:eastAsia="仿宋" w:cs="Times New Roman"/>
                <w:b/>
                <w:color w:val="000000" w:themeColor="text1"/>
                <w:szCs w:val="20"/>
                <w:highlight w:val="none"/>
                <w:u w:val="none"/>
                <w:lang w:val="en-US" w:eastAsia="zh-CN"/>
                <w14:textFill>
                  <w14:solidFill>
                    <w14:schemeClr w14:val="tx1"/>
                  </w14:solidFill>
                </w14:textFill>
              </w:rPr>
              <w:t>表3-3大气特征污染物环境质量现状（监测结果）表</w:t>
            </w:r>
          </w:p>
          <w:tbl>
            <w:tblPr>
              <w:tblStyle w:val="78"/>
              <w:tblW w:w="499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9"/>
              <w:gridCol w:w="939"/>
              <w:gridCol w:w="1465"/>
              <w:gridCol w:w="1613"/>
              <w:gridCol w:w="1138"/>
              <w:gridCol w:w="839"/>
              <w:gridCol w:w="837"/>
            </w:tblGrid>
            <w:tr w14:paraId="03E06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03" w:type="pct"/>
                  <w:tcBorders>
                    <w:top w:val="single" w:color="000000" w:sz="10" w:space="0"/>
                    <w:left w:val="nil"/>
                  </w:tcBorders>
                  <w:noWrap w:val="0"/>
                  <w:vAlign w:val="center"/>
                </w:tcPr>
                <w:p w14:paraId="3AA472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监测点位名称</w:t>
                  </w:r>
                </w:p>
              </w:tc>
              <w:tc>
                <w:tcPr>
                  <w:tcW w:w="590" w:type="pct"/>
                  <w:tcBorders>
                    <w:top w:val="single" w:color="000000" w:sz="10" w:space="0"/>
                  </w:tcBorders>
                  <w:noWrap w:val="0"/>
                  <w:vAlign w:val="center"/>
                </w:tcPr>
                <w:p w14:paraId="15EFC2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污染物</w:t>
                  </w:r>
                </w:p>
              </w:tc>
              <w:tc>
                <w:tcPr>
                  <w:tcW w:w="921" w:type="pct"/>
                  <w:tcBorders>
                    <w:top w:val="single" w:color="000000" w:sz="10" w:space="0"/>
                  </w:tcBorders>
                  <w:noWrap w:val="0"/>
                  <w:vAlign w:val="center"/>
                </w:tcPr>
                <w:p w14:paraId="397E49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评价标准</w:t>
                  </w:r>
                  <w:r>
                    <w:rPr>
                      <w:rFonts w:hint="eastAsia" w:eastAsia="仿宋" w:cs="Times New Roman"/>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μg/m</w:t>
                  </w:r>
                  <w:r>
                    <w:rPr>
                      <w:rFonts w:hint="default" w:ascii="Times New Roman" w:hAnsi="Times New Roman" w:eastAsia="仿宋" w:cs="Times New Roman"/>
                      <w:color w:val="000000" w:themeColor="text1"/>
                      <w:sz w:val="21"/>
                      <w:szCs w:val="21"/>
                      <w:highlight w:val="none"/>
                      <w:u w:val="none"/>
                      <w:vertAlign w:val="superscript"/>
                      <w14:textFill>
                        <w14:solidFill>
                          <w14:schemeClr w14:val="tx1"/>
                        </w14:solidFill>
                      </w14:textFill>
                    </w:rPr>
                    <w:t>3</w:t>
                  </w: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w:t>
                  </w:r>
                </w:p>
              </w:tc>
              <w:tc>
                <w:tcPr>
                  <w:tcW w:w="1014" w:type="pct"/>
                  <w:tcBorders>
                    <w:top w:val="single" w:color="000000" w:sz="10" w:space="0"/>
                  </w:tcBorders>
                  <w:noWrap w:val="0"/>
                  <w:vAlign w:val="center"/>
                </w:tcPr>
                <w:p w14:paraId="684D3D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监测浓度范围</w:t>
                  </w:r>
                </w:p>
                <w:p w14:paraId="178B47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eastAsia" w:eastAsia="仿宋" w:cs="Times New Roman"/>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μg/m</w:t>
                  </w:r>
                  <w:r>
                    <w:rPr>
                      <w:rFonts w:hint="default" w:ascii="Times New Roman" w:hAnsi="Times New Roman" w:eastAsia="仿宋" w:cs="Times New Roman"/>
                      <w:color w:val="000000" w:themeColor="text1"/>
                      <w:sz w:val="21"/>
                      <w:szCs w:val="21"/>
                      <w:highlight w:val="none"/>
                      <w:u w:val="none"/>
                      <w:vertAlign w:val="superscript"/>
                      <w14:textFill>
                        <w14:solidFill>
                          <w14:schemeClr w14:val="tx1"/>
                        </w14:solidFill>
                      </w14:textFill>
                    </w:rPr>
                    <w:t>3</w:t>
                  </w: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w:t>
                  </w:r>
                </w:p>
              </w:tc>
              <w:tc>
                <w:tcPr>
                  <w:tcW w:w="715" w:type="pct"/>
                  <w:tcBorders>
                    <w:top w:val="single" w:color="000000" w:sz="10" w:space="0"/>
                  </w:tcBorders>
                  <w:noWrap w:val="0"/>
                  <w:vAlign w:val="center"/>
                </w:tcPr>
                <w:p w14:paraId="30CA92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最大浓度占标率%</w:t>
                  </w:r>
                </w:p>
              </w:tc>
              <w:tc>
                <w:tcPr>
                  <w:tcW w:w="527" w:type="pct"/>
                  <w:tcBorders>
                    <w:top w:val="single" w:color="000000" w:sz="10" w:space="0"/>
                  </w:tcBorders>
                  <w:noWrap w:val="0"/>
                  <w:vAlign w:val="center"/>
                </w:tcPr>
                <w:p w14:paraId="2E6402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超标率%</w:t>
                  </w:r>
                </w:p>
              </w:tc>
              <w:tc>
                <w:tcPr>
                  <w:tcW w:w="526" w:type="pct"/>
                  <w:tcBorders>
                    <w:top w:val="single" w:color="000000" w:sz="10" w:space="0"/>
                    <w:right w:val="nil"/>
                  </w:tcBorders>
                  <w:noWrap w:val="0"/>
                  <w:vAlign w:val="center"/>
                </w:tcPr>
                <w:p w14:paraId="7F3CEE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达标情况</w:t>
                  </w:r>
                </w:p>
              </w:tc>
            </w:tr>
            <w:tr w14:paraId="215BA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03" w:type="pct"/>
                  <w:tcBorders>
                    <w:left w:val="nil"/>
                  </w:tcBorders>
                  <w:noWrap w:val="0"/>
                  <w:vAlign w:val="center"/>
                </w:tcPr>
                <w:p w14:paraId="179EA9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厂界下风向</w:t>
                  </w:r>
                </w:p>
              </w:tc>
              <w:tc>
                <w:tcPr>
                  <w:tcW w:w="590" w:type="pct"/>
                  <w:noWrap w:val="0"/>
                  <w:vAlign w:val="center"/>
                </w:tcPr>
                <w:p w14:paraId="5F938F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颗粒物</w:t>
                  </w:r>
                </w:p>
              </w:tc>
              <w:tc>
                <w:tcPr>
                  <w:tcW w:w="921" w:type="pct"/>
                  <w:noWrap w:val="0"/>
                  <w:vAlign w:val="center"/>
                </w:tcPr>
                <w:p w14:paraId="0D30D2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300</w:t>
                  </w:r>
                </w:p>
              </w:tc>
              <w:tc>
                <w:tcPr>
                  <w:tcW w:w="1014" w:type="pct"/>
                  <w:noWrap w:val="0"/>
                  <w:vAlign w:val="center"/>
                </w:tcPr>
                <w:p w14:paraId="53D96A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187~205</w:t>
                  </w:r>
                </w:p>
              </w:tc>
              <w:tc>
                <w:tcPr>
                  <w:tcW w:w="715" w:type="pct"/>
                  <w:noWrap w:val="0"/>
                  <w:vAlign w:val="center"/>
                </w:tcPr>
                <w:p w14:paraId="66AEB9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68</w:t>
                  </w:r>
                </w:p>
              </w:tc>
              <w:tc>
                <w:tcPr>
                  <w:tcW w:w="527" w:type="pct"/>
                  <w:noWrap w:val="0"/>
                  <w:vAlign w:val="center"/>
                </w:tcPr>
                <w:p w14:paraId="239175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0</w:t>
                  </w:r>
                </w:p>
              </w:tc>
              <w:tc>
                <w:tcPr>
                  <w:tcW w:w="526" w:type="pct"/>
                  <w:tcBorders>
                    <w:right w:val="nil"/>
                  </w:tcBorders>
                  <w:noWrap w:val="0"/>
                  <w:vAlign w:val="center"/>
                </w:tcPr>
                <w:p w14:paraId="15E1F9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达标</w:t>
                  </w:r>
                </w:p>
              </w:tc>
            </w:tr>
          </w:tbl>
          <w:p w14:paraId="19E51F5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由表3-3可知，</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颗粒物满足《环境空气质量标准》（GB3095-2012）二类标准。</w:t>
            </w:r>
          </w:p>
          <w:p w14:paraId="12004603">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2616200</wp:posOffset>
                      </wp:positionH>
                      <wp:positionV relativeFrom="paragraph">
                        <wp:posOffset>2041525</wp:posOffset>
                      </wp:positionV>
                      <wp:extent cx="866775" cy="371475"/>
                      <wp:effectExtent l="0" t="0" r="0" b="0"/>
                      <wp:wrapNone/>
                      <wp:docPr id="55" name="矩形 55"/>
                      <wp:cNvGraphicFramePr/>
                      <a:graphic xmlns:a="http://schemas.openxmlformats.org/drawingml/2006/main">
                        <a:graphicData uri="http://schemas.microsoft.com/office/word/2010/wordprocessingShape">
                          <wps:wsp>
                            <wps:cNvSpPr/>
                            <wps:spPr>
                              <a:xfrm>
                                <a:off x="4385310" y="4552315"/>
                                <a:ext cx="866775" cy="3714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62C136B">
                                  <w:pPr>
                                    <w:jc w:val="center"/>
                                    <w:rPr>
                                      <w:rFonts w:hint="eastAsia" w:eastAsia="宋体"/>
                                      <w:b/>
                                      <w:bCs/>
                                      <w:color w:val="00B0F0"/>
                                      <w:lang w:val="en-US" w:eastAsia="zh-CN"/>
                                    </w:rPr>
                                  </w:pPr>
                                  <w:r>
                                    <w:rPr>
                                      <w:rFonts w:hint="eastAsia"/>
                                      <w:b/>
                                      <w:bCs/>
                                      <w:color w:val="00B0F0"/>
                                      <w:lang w:val="en-US" w:eastAsia="zh-CN"/>
                                    </w:rPr>
                                    <w:t>风向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6pt;margin-top:160.75pt;height:29.25pt;width:68.25pt;z-index:251676672;v-text-anchor:middle;mso-width-relative:page;mso-height-relative:page;" filled="f" stroked="f" coordsize="21600,21600" o:gfxdata="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9OdMdkAAAALAQAADwAAAAAAAAABACAAAAAiAAAAZHJzL2Rvd25yZXYueG1sUEsBAhQAFAAA&#10;AAgAh07iQIOMizBgAgAAowQAAA4AAAAAAAAAAQAgAAAAKAEAAGRycy9lMm9Eb2MueG1sUEsFBgAA&#10;AAAGAAYAWQEAAPoFAAAAAA==&#10;">
                      <v:fill on="f" focussize="0,0"/>
                      <v:stroke on="f" weight="2pt"/>
                      <v:imagedata o:title=""/>
                      <o:lock v:ext="edit" aspectratio="f"/>
                      <v:textbox>
                        <w:txbxContent>
                          <w:p w14:paraId="262C136B">
                            <w:pPr>
                              <w:jc w:val="center"/>
                              <w:rPr>
                                <w:rFonts w:hint="eastAsia" w:eastAsia="宋体"/>
                                <w:b/>
                                <w:bCs/>
                                <w:color w:val="00B0F0"/>
                                <w:lang w:val="en-US" w:eastAsia="zh-CN"/>
                              </w:rPr>
                            </w:pPr>
                            <w:r>
                              <w:rPr>
                                <w:rFonts w:hint="eastAsia"/>
                                <w:b/>
                                <w:bCs/>
                                <w:color w:val="00B0F0"/>
                                <w:lang w:val="en-US" w:eastAsia="zh-CN"/>
                              </w:rPr>
                              <w:t>风向</w:t>
                            </w:r>
                          </w:p>
                        </w:txbxContent>
                      </v:textbox>
                    </v:rect>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2444750</wp:posOffset>
                      </wp:positionH>
                      <wp:positionV relativeFrom="paragraph">
                        <wp:posOffset>1746250</wp:posOffset>
                      </wp:positionV>
                      <wp:extent cx="628650" cy="838200"/>
                      <wp:effectExtent l="10160" t="0" r="8890" b="19050"/>
                      <wp:wrapNone/>
                      <wp:docPr id="54" name="直接箭头连接符 54"/>
                      <wp:cNvGraphicFramePr/>
                      <a:graphic xmlns:a="http://schemas.openxmlformats.org/drawingml/2006/main">
                        <a:graphicData uri="http://schemas.microsoft.com/office/word/2010/wordprocessingShape">
                          <wps:wsp>
                            <wps:cNvCnPr/>
                            <wps:spPr>
                              <a:xfrm flipV="1">
                                <a:off x="3947160" y="4152265"/>
                                <a:ext cx="628650" cy="838200"/>
                              </a:xfrm>
                              <a:prstGeom prst="straightConnector1">
                                <a:avLst/>
                              </a:prstGeom>
                              <a:ln>
                                <a:solidFill>
                                  <a:srgbClr val="00B0F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92.5pt;margin-top:137.5pt;height:66pt;width:49.5pt;z-index:251675648;mso-width-relative:page;mso-height-relative:page;" filled="f" stroked="t" coordsize="21600,21600" o:gfxdata="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9TLQtgAAAALAQAADwAAAAAA&#10;AAABACAAAAAiAAAAZHJzL2Rvd25yZXYueG1sUEsBAhQAFAAAAAgAh07iQOmUlA8TAgAA5AMAAA4A&#10;AAAAAAAAAQAgAAAAJwEAAGRycy9lMm9Eb2MueG1sUEsFBgAAAAAGAAYAWQEAAKwFAAAAAA==&#10;">
                      <v:fill on="f" focussize="0,0"/>
                      <v:stroke weight="2pt" color="#00B0F0 [3204]" joinstyle="round" endarrow="open"/>
                      <v:imagedata o:title=""/>
                      <o:lock v:ext="edit" aspectratio="f"/>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3692525</wp:posOffset>
                      </wp:positionH>
                      <wp:positionV relativeFrom="paragraph">
                        <wp:posOffset>3328670</wp:posOffset>
                      </wp:positionV>
                      <wp:extent cx="219075" cy="95250"/>
                      <wp:effectExtent l="12700" t="12700" r="15875" b="25400"/>
                      <wp:wrapNone/>
                      <wp:docPr id="53" name="矩形 53"/>
                      <wp:cNvGraphicFramePr/>
                      <a:graphic xmlns:a="http://schemas.openxmlformats.org/drawingml/2006/main">
                        <a:graphicData uri="http://schemas.microsoft.com/office/word/2010/wordprocessingShape">
                          <wps:wsp>
                            <wps:cNvSpPr/>
                            <wps:spPr>
                              <a:xfrm>
                                <a:off x="5233035" y="5744210"/>
                                <a:ext cx="219075" cy="9525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0.75pt;margin-top:262.1pt;height:7.5pt;width:17.25pt;z-index:251674624;v-text-anchor:middle;mso-width-relative:page;mso-height-relative:page;" filled="f" stroked="t" coordsize="21600,21600" o:gfxdata="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GHYIjaAAAACwEAAA8AAAAAAAAAAQAgAAAAIgAAAGRycy9kb3ducmV2Lnht&#10;bFBLAQIUABQAAAAIAIdO4kALd7+8aQIAAMAEAAAOAAAAAAAAAAEAIAAAACkBAABkcnMvZTJvRG9j&#10;LnhtbFBLBQYAAAAABgAGAFkBAAAEBgAAAAA=&#10;">
                      <v:fill on="f" focussize="0,0"/>
                      <v:stroke weight="2pt" color="#FF0000 [2404]" joinstyle="round"/>
                      <v:imagedata o:title=""/>
                      <o:lock v:ext="edit" aspectratio="f"/>
                    </v:rect>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2225675</wp:posOffset>
                      </wp:positionH>
                      <wp:positionV relativeFrom="paragraph">
                        <wp:posOffset>1410335</wp:posOffset>
                      </wp:positionV>
                      <wp:extent cx="161925" cy="104775"/>
                      <wp:effectExtent l="12700" t="12700" r="15875" b="15875"/>
                      <wp:wrapNone/>
                      <wp:docPr id="52" name="等腰三角形 52"/>
                      <wp:cNvGraphicFramePr/>
                      <a:graphic xmlns:a="http://schemas.openxmlformats.org/drawingml/2006/main">
                        <a:graphicData uri="http://schemas.microsoft.com/office/word/2010/wordprocessingShape">
                          <wps:wsp>
                            <wps:cNvSpPr/>
                            <wps:spPr>
                              <a:xfrm>
                                <a:off x="0" y="0"/>
                                <a:ext cx="161925" cy="104775"/>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75.25pt;margin-top:111.05pt;height:8.25pt;width:12.75pt;z-index:251673600;v-text-anchor:middle;mso-width-relative:page;mso-height-relative:page;" fillcolor="#4F81BD [3204]" filled="t" stroked="t" coordsize="21600,21600" o:gfxdata="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tYip71wAAAAsB&#10;AAAPAAAAAAAAAAEAIAAAACIAAABkcnMvZG93bnJldi54bWxQSwECFAAUAAAACACHTuJAdo84TI4C&#10;AAANBQAADgAAAAAAAAABACAAAAAmAQAAZHJzL2Uyb0RvYy54bWxQSwUGAAAAAAYABgBZAQAAJgYA&#10;AAAA&#10;" adj="10800">
                      <v:fill on="t" focussize="0,0"/>
                      <v:stroke weight="2pt" color="#376092 [2404]" joinstyle="round"/>
                      <v:imagedata o:title=""/>
                      <o:lock v:ext="edit" aspectratio="f"/>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3730625</wp:posOffset>
                      </wp:positionH>
                      <wp:positionV relativeFrom="paragraph">
                        <wp:posOffset>3176270</wp:posOffset>
                      </wp:positionV>
                      <wp:extent cx="161925" cy="104775"/>
                      <wp:effectExtent l="12700" t="12700" r="15875" b="15875"/>
                      <wp:wrapNone/>
                      <wp:docPr id="51" name="等腰三角形 51"/>
                      <wp:cNvGraphicFramePr/>
                      <a:graphic xmlns:a="http://schemas.openxmlformats.org/drawingml/2006/main">
                        <a:graphicData uri="http://schemas.microsoft.com/office/word/2010/wordprocessingShape">
                          <wps:wsp>
                            <wps:cNvSpPr/>
                            <wps:spPr>
                              <a:xfrm>
                                <a:off x="5233035" y="5582285"/>
                                <a:ext cx="161925" cy="104775"/>
                              </a:xfrm>
                              <a:prstGeom prst="triangl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93.75pt;margin-top:250.1pt;height:8.25pt;width:12.75pt;z-index:251672576;v-text-anchor:middle;mso-width-relative:page;mso-height-relative:page;" fillcolor="#4F81BD [3204]" filled="t" stroked="t" coordsize="21600,21600" o:gfxdata="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EDt9OzXAAAACwEAAA8AAAAAAAAAAQAgAAAAIgAAAGRycy9kb3ducmV2LnhtbFBLAQIUABQA&#10;AAAIAIdO4kCvGEx3nAIAABkFAAAOAAAAAAAAAAEAIAAAACYBAABkcnMvZTJvRG9jLnhtbFBLBQYA&#10;AAAABgAGAFkBAAA0BgAAAAA=&#10;" adj="10800">
                      <v:fill on="t" focussize="0,0"/>
                      <v:stroke weight="2pt" color="#376092 [2404]" joinstyle="round"/>
                      <v:imagedata o:title=""/>
                      <o:lock v:ext="edit" aspectratio="f"/>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3368675</wp:posOffset>
                      </wp:positionH>
                      <wp:positionV relativeFrom="paragraph">
                        <wp:posOffset>2872105</wp:posOffset>
                      </wp:positionV>
                      <wp:extent cx="1657350" cy="675640"/>
                      <wp:effectExtent l="12700" t="12700" r="25400" b="16510"/>
                      <wp:wrapNone/>
                      <wp:docPr id="50" name="矩形 50"/>
                      <wp:cNvGraphicFramePr/>
                      <a:graphic xmlns:a="http://schemas.openxmlformats.org/drawingml/2006/main">
                        <a:graphicData uri="http://schemas.microsoft.com/office/word/2010/wordprocessingShape">
                          <wps:wsp>
                            <wps:cNvSpPr/>
                            <wps:spPr>
                              <a:xfrm>
                                <a:off x="4871085" y="5125085"/>
                                <a:ext cx="1657350" cy="675640"/>
                              </a:xfrm>
                              <a:prstGeom prst="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1817E19">
                                  <w:pPr>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default" w:ascii="Times New Roman" w:hAnsi="Times New Roman" w:eastAsia="仿宋" w:cs="Times New Roman"/>
                                      <w:color w:val="000000" w:themeColor="text1"/>
                                      <w:lang w:val="en-US" w:eastAsia="zh-CN"/>
                                      <w14:textFill>
                                        <w14:solidFill>
                                          <w14:schemeClr w14:val="tx1"/>
                                        </w14:solidFill>
                                      </w14:textFill>
                                    </w:rPr>
                                    <w:t>图例</w:t>
                                  </w:r>
                                </w:p>
                                <w:p w14:paraId="4D793A53">
                                  <w:pPr>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eastAsia" w:ascii="Times New Roman" w:hAnsi="Times New Roman" w:eastAsia="仿宋" w:cs="Times New Roman"/>
                                      <w:color w:val="000000" w:themeColor="text1"/>
                                      <w:lang w:val="en-US" w:eastAsia="zh-CN"/>
                                      <w14:textFill>
                                        <w14:solidFill>
                                          <w14:schemeClr w14:val="tx1"/>
                                        </w14:solidFill>
                                      </w14:textFill>
                                    </w:rPr>
                                    <w:t xml:space="preserve">    </w:t>
                                  </w:r>
                                  <w:r>
                                    <w:rPr>
                                      <w:rFonts w:hint="default" w:ascii="Times New Roman" w:hAnsi="Times New Roman" w:eastAsia="仿宋" w:cs="Times New Roman"/>
                                      <w:color w:val="000000" w:themeColor="text1"/>
                                      <w:lang w:val="en-US" w:eastAsia="zh-CN"/>
                                      <w14:textFill>
                                        <w14:solidFill>
                                          <w14:schemeClr w14:val="tx1"/>
                                        </w14:solidFill>
                                      </w14:textFill>
                                    </w:rPr>
                                    <w:t>监测点位</w:t>
                                  </w:r>
                                </w:p>
                                <w:p w14:paraId="341ED4DB">
                                  <w:pPr>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default" w:ascii="Times New Roman" w:hAnsi="Times New Roman" w:eastAsia="仿宋" w:cs="Times New Roman"/>
                                      <w:color w:val="000000" w:themeColor="text1"/>
                                      <w:lang w:val="en-US" w:eastAsia="zh-CN"/>
                                      <w14:textFill>
                                        <w14:solidFill>
                                          <w14:schemeClr w14:val="tx1"/>
                                        </w14:solidFill>
                                      </w14:textFill>
                                    </w:rPr>
                                    <w:t>厂界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5.25pt;margin-top:226.15pt;height:53.2pt;width:130.5pt;z-index:251671552;v-text-anchor:middle;mso-width-relative:page;mso-height-relative:page;" fillcolor="#FFFFFF [3212]" filled="t" stroked="t" coordsize="21600,21600" o:gfxdata="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&#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ZY7aG2QAAAAsBAAAPAAAAAAAAAAEAIAAAACIAAABk&#10;cnMvZG93bnJldi54bWxQSwECFAAUAAAACACHTuJA4Fa6NXcCAAD2BAAADgAAAAAAAAABACAAAAAo&#10;AQAAZHJzL2Uyb0RvYy54bWxQSwUGAAAAAAYABgBZAQAAEQYAAAAA&#10;">
                      <v:fill on="t" focussize="0,0"/>
                      <v:stroke weight="2pt" color="#000000 [3213]" joinstyle="round"/>
                      <v:imagedata o:title=""/>
                      <o:lock v:ext="edit" aspectratio="f"/>
                      <v:textbox>
                        <w:txbxContent>
                          <w:p w14:paraId="61817E19">
                            <w:pPr>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default" w:ascii="Times New Roman" w:hAnsi="Times New Roman" w:eastAsia="仿宋" w:cs="Times New Roman"/>
                                <w:color w:val="000000" w:themeColor="text1"/>
                                <w:lang w:val="en-US" w:eastAsia="zh-CN"/>
                                <w14:textFill>
                                  <w14:solidFill>
                                    <w14:schemeClr w14:val="tx1"/>
                                  </w14:solidFill>
                                </w14:textFill>
                              </w:rPr>
                              <w:t>图例</w:t>
                            </w:r>
                          </w:p>
                          <w:p w14:paraId="4D793A53">
                            <w:pPr>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eastAsia" w:ascii="Times New Roman" w:hAnsi="Times New Roman" w:eastAsia="仿宋" w:cs="Times New Roman"/>
                                <w:color w:val="000000" w:themeColor="text1"/>
                                <w:lang w:val="en-US" w:eastAsia="zh-CN"/>
                                <w14:textFill>
                                  <w14:solidFill>
                                    <w14:schemeClr w14:val="tx1"/>
                                  </w14:solidFill>
                                </w14:textFill>
                              </w:rPr>
                              <w:t xml:space="preserve">    </w:t>
                            </w:r>
                            <w:r>
                              <w:rPr>
                                <w:rFonts w:hint="default" w:ascii="Times New Roman" w:hAnsi="Times New Roman" w:eastAsia="仿宋" w:cs="Times New Roman"/>
                                <w:color w:val="000000" w:themeColor="text1"/>
                                <w:lang w:val="en-US" w:eastAsia="zh-CN"/>
                                <w14:textFill>
                                  <w14:solidFill>
                                    <w14:schemeClr w14:val="tx1"/>
                                  </w14:solidFill>
                                </w14:textFill>
                              </w:rPr>
                              <w:t>监测点位</w:t>
                            </w:r>
                          </w:p>
                          <w:p w14:paraId="341ED4DB">
                            <w:pPr>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default" w:ascii="Times New Roman" w:hAnsi="Times New Roman" w:eastAsia="仿宋" w:cs="Times New Roman"/>
                                <w:color w:val="000000" w:themeColor="text1"/>
                                <w:lang w:val="en-US" w:eastAsia="zh-CN"/>
                                <w14:textFill>
                                  <w14:solidFill>
                                    <w14:schemeClr w14:val="tx1"/>
                                  </w14:solidFill>
                                </w14:textFill>
                              </w:rPr>
                              <w:t>厂界</w:t>
                            </w:r>
                          </w:p>
                        </w:txbxContent>
                      </v:textbox>
                    </v:rect>
                  </w:pict>
                </mc:Fallback>
              </mc:AlternateContent>
            </w:r>
            <w:r>
              <w:rPr>
                <w:color w:val="000000" w:themeColor="text1"/>
                <w:highlight w:val="none"/>
                <w14:textFill>
                  <w14:solidFill>
                    <w14:schemeClr w14:val="tx1"/>
                  </w14:solidFill>
                </w14:textFill>
              </w:rPr>
              <w:drawing>
                <wp:inline distT="0" distB="0" distL="114300" distR="114300">
                  <wp:extent cx="5060315" cy="3566160"/>
                  <wp:effectExtent l="0" t="0" r="6985" b="1524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15"/>
                          <a:stretch>
                            <a:fillRect/>
                          </a:stretch>
                        </pic:blipFill>
                        <pic:spPr>
                          <a:xfrm>
                            <a:off x="0" y="0"/>
                            <a:ext cx="5060315" cy="3566160"/>
                          </a:xfrm>
                          <a:prstGeom prst="rect">
                            <a:avLst/>
                          </a:prstGeom>
                          <a:noFill/>
                          <a:ln>
                            <a:noFill/>
                          </a:ln>
                        </pic:spPr>
                      </pic:pic>
                    </a:graphicData>
                  </a:graphic>
                </wp:inline>
              </w:drawing>
            </w:r>
          </w:p>
          <w:p w14:paraId="373D56DC">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图</w:t>
            </w:r>
            <w:r>
              <w:rPr>
                <w:rFonts w:hint="eastAsia"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3</w:t>
            </w: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TSP</w:t>
            </w: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w:t>
            </w:r>
            <w:r>
              <w:rPr>
                <w:rFonts w:hint="eastAsia"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总悬浮颗粒物</w:t>
            </w: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w:t>
            </w:r>
            <w:r>
              <w:rPr>
                <w:rFonts w:hint="eastAsia"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厂界下风向环境质量监测</w:t>
            </w: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图</w:t>
            </w:r>
          </w:p>
          <w:p w14:paraId="316B722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二、水环境</w:t>
            </w:r>
          </w:p>
          <w:p w14:paraId="51F3257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本项目所在区域地表水体为穆棱河，根据《2024年1-11月地表水国控考核断面水质信息公开》可知：乌苏里江支流穆棱河断面水质类别为Ⅲ类，水质状况良好，符合其功能区水质要求。</w:t>
            </w:r>
          </w:p>
          <w:p w14:paraId="1BBCC0AA">
            <w:pPr>
              <w:autoSpaceDE w:val="0"/>
              <w:autoSpaceDN w:val="0"/>
              <w:spacing w:before="120" w:beforeLines="50" w:line="360" w:lineRule="auto"/>
              <w:ind w:firstLine="482" w:firstLineChars="200"/>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t>三、声环境质量现状</w:t>
            </w:r>
          </w:p>
          <w:p w14:paraId="5C5B4DD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本项目厂界外周边50米范围不存在声环境保护目标，无需进行声环境监测。</w:t>
            </w:r>
          </w:p>
          <w:p w14:paraId="6A0575C0">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仿宋" w:cs="Times New Roman"/>
                <w:b/>
                <w:bCs/>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4"/>
                <w:szCs w:val="32"/>
                <w:highlight w:val="none"/>
                <w:u w:val="none"/>
                <w:lang w:val="en-US" w:eastAsia="zh-CN"/>
                <w14:textFill>
                  <w14:solidFill>
                    <w14:schemeClr w14:val="tx1"/>
                  </w14:solidFill>
                </w14:textFill>
              </w:rPr>
              <w:t>四、地下水、土壤环境质量现状</w:t>
            </w:r>
          </w:p>
          <w:p w14:paraId="3A6B96B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根据《建设项目环境影响报告表编制技术指南》（污染影响类）（试行），“原则上不开展环境质量现状调查，建设项目存在土壤、地下水环境污染途径的，应结合污染源、保护目标分布情况开展现状调查以留作背景值”。本项目地面均进行硬化处理，项目危废暂存间也进行硬化等防渗处理，生产过程中不会污染地下水和土壤，因此本项目可不开展土壤和地下水现状调查。</w:t>
            </w:r>
          </w:p>
          <w:p w14:paraId="728EC6AB">
            <w:pPr>
              <w:autoSpaceDE w:val="0"/>
              <w:autoSpaceDN w:val="0"/>
              <w:spacing w:before="120" w:beforeLines="50" w:line="360" w:lineRule="auto"/>
              <w:ind w:firstLine="482" w:firstLineChars="200"/>
              <w:rPr>
                <w:rFonts w:hint="default" w:ascii="Times New Roman" w:hAnsi="Times New Roman" w:eastAsia="仿宋" w:cs="Times New Roman"/>
                <w:b/>
                <w:bCs/>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4"/>
                <w:szCs w:val="32"/>
                <w:highlight w:val="none"/>
                <w:u w:val="none"/>
                <w:lang w:val="en-US" w:eastAsia="zh-CN"/>
                <w14:textFill>
                  <w14:solidFill>
                    <w14:schemeClr w14:val="tx1"/>
                  </w14:solidFill>
                </w14:textFill>
              </w:rPr>
              <w:t>五、生态环境现状</w:t>
            </w:r>
          </w:p>
          <w:p w14:paraId="20086FF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000000" w:themeColor="text1"/>
                <w:kern w:val="0"/>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根据《建设项目环境影响报告表编制技术指南》（污染影响类）（试行），“产业园区外建设项目新增用地且用地范围内含有生态环境保护目标时，应进行生态现状调查”。本项目租用原有已建厂房，且经现场调查核实，本项目占地范围内无自然保护区、风景名胜区及天然湿地等生态环境保护目标。因此，无需进行生态现状调查。</w:t>
            </w:r>
          </w:p>
        </w:tc>
      </w:tr>
      <w:tr w14:paraId="390EEE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4" w:hRule="atLeast"/>
          <w:jc w:val="center"/>
        </w:trPr>
        <w:tc>
          <w:tcPr>
            <w:tcW w:w="800" w:type="dxa"/>
            <w:noWrap w:val="0"/>
            <w:vAlign w:val="center"/>
          </w:tcPr>
          <w:p w14:paraId="17500141">
            <w:pPr>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环境</w:t>
            </w:r>
          </w:p>
          <w:p w14:paraId="332C74A3">
            <w:pPr>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保护</w:t>
            </w:r>
          </w:p>
          <w:p w14:paraId="5A4965A6">
            <w:pPr>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目标</w:t>
            </w:r>
          </w:p>
        </w:tc>
        <w:tc>
          <w:tcPr>
            <w:tcW w:w="8190" w:type="dxa"/>
            <w:noWrap w:val="0"/>
            <w:vAlign w:val="center"/>
          </w:tcPr>
          <w:p w14:paraId="406E8544">
            <w:pPr>
              <w:adjustRightInd w:val="0"/>
              <w:snapToGrid w:val="0"/>
              <w:spacing w:before="120" w:beforeLines="50" w:line="360" w:lineRule="auto"/>
              <w:ind w:firstLine="480" w:firstLineChars="200"/>
              <w:jc w:val="left"/>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根据《建设项目环境影响报告表编制技术指南》（污染影响类）（试行），大气环境需明确厂界外500米范围内的保护目标的名称及与建设项目厂界位置关系；声环境需明确厂界外50米范围内声环境保护目标；地下水环境需明确厂界外500米范围内的地下水集中式饮用水水源和热水、矿泉水、温泉等特殊地下水资源。</w:t>
            </w:r>
          </w:p>
          <w:p w14:paraId="042C7CDD">
            <w:pPr>
              <w:adjustRightInd w:val="0"/>
              <w:snapToGrid w:val="0"/>
              <w:spacing w:before="120" w:beforeLines="50" w:line="360" w:lineRule="auto"/>
              <w:ind w:firstLine="480" w:firstLineChars="200"/>
              <w:jc w:val="left"/>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1、</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大气环境</w:t>
            </w:r>
          </w:p>
          <w:p w14:paraId="269391E5">
            <w:pPr>
              <w:adjustRightInd w:val="0"/>
              <w:snapToGrid w:val="0"/>
              <w:spacing w:before="120" w:beforeLines="50" w:line="360" w:lineRule="auto"/>
              <w:ind w:firstLine="480" w:firstLineChars="200"/>
              <w:jc w:val="left"/>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本项目500米范围内无自然保护区、风景名胜区，大气环境保护目标是居住区，根据《建设项目环境影响评价报告表编制技术指南》（污染影响类）及现状调查结果，本项目厂界外500m范围内无大气环境保护目标。</w:t>
            </w:r>
          </w:p>
          <w:p w14:paraId="2D13157E">
            <w:pPr>
              <w:adjustRightInd w:val="0"/>
              <w:snapToGrid w:val="0"/>
              <w:spacing w:before="120" w:beforeLines="50" w:line="360" w:lineRule="auto"/>
              <w:ind w:firstLine="480" w:firstLineChars="200"/>
              <w:jc w:val="left"/>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2</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、声环境：项目周边50米范围内无声环境保护目标。</w:t>
            </w:r>
          </w:p>
          <w:p w14:paraId="591EF7F7">
            <w:pPr>
              <w:adjustRightInd w:val="0"/>
              <w:snapToGrid w:val="0"/>
              <w:spacing w:before="120" w:beforeLines="50" w:line="360" w:lineRule="auto"/>
              <w:ind w:firstLine="480" w:firstLineChars="200"/>
              <w:jc w:val="left"/>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3</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、地下水环境：厂界外500米范围内无地下水集中式饮用水水源和热水、矿泉水、温泉等特殊地下水资源。</w:t>
            </w:r>
          </w:p>
          <w:p w14:paraId="222A4036">
            <w:pPr>
              <w:adjustRightInd w:val="0"/>
              <w:snapToGrid w:val="0"/>
              <w:spacing w:before="120" w:beforeLines="50" w:line="360" w:lineRule="auto"/>
              <w:ind w:firstLine="480" w:firstLineChars="200"/>
              <w:jc w:val="left"/>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4</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、生态环境：评价范围内无珍稀濒危植物，不涉及生态环境保护目标。</w:t>
            </w:r>
          </w:p>
        </w:tc>
      </w:tr>
      <w:tr w14:paraId="667F0B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800" w:type="dxa"/>
            <w:noWrap w:val="0"/>
            <w:tcMar>
              <w:left w:w="28" w:type="dxa"/>
              <w:right w:w="28" w:type="dxa"/>
            </w:tcMar>
            <w:vAlign w:val="center"/>
          </w:tcPr>
          <w:p w14:paraId="549CBAE3">
            <w:pPr>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污染</w:t>
            </w:r>
          </w:p>
          <w:p w14:paraId="5B30A11D">
            <w:pPr>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物排</w:t>
            </w:r>
          </w:p>
          <w:p w14:paraId="06EC3FED">
            <w:pPr>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放控</w:t>
            </w:r>
          </w:p>
          <w:p w14:paraId="6BFCD7D4">
            <w:pPr>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制标</w:t>
            </w:r>
          </w:p>
          <w:p w14:paraId="511D6DE6">
            <w:pPr>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准</w:t>
            </w:r>
          </w:p>
        </w:tc>
        <w:tc>
          <w:tcPr>
            <w:tcW w:w="8190" w:type="dxa"/>
            <w:noWrap w:val="0"/>
            <w:vAlign w:val="center"/>
          </w:tcPr>
          <w:p w14:paraId="44945420">
            <w:pPr>
              <w:spacing w:before="120" w:beforeLines="50" w:line="360" w:lineRule="auto"/>
              <w:ind w:firstLine="420"/>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1、废气</w:t>
            </w:r>
          </w:p>
          <w:p w14:paraId="78D4157D">
            <w:pPr>
              <w:spacing w:line="360" w:lineRule="auto"/>
              <w:ind w:firstLine="420"/>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颗粒物执行《大气污染物综合排放标准》（GB16297-1996）中表2排放限值，无组织排放的颗粒物执行《大气污染物综合排放标准》（GB16297-1996）表2中无组织排放监控浓度限值。</w:t>
            </w:r>
          </w:p>
          <w:p w14:paraId="6E562DE5">
            <w:pPr>
              <w:spacing w:line="360" w:lineRule="auto"/>
              <w:ind w:firstLine="420"/>
              <w:rPr>
                <w:rFonts w:hint="default" w:ascii="Times New Roman" w:hAnsi="Times New Roman" w:eastAsia="仿宋" w:cs="Times New Roman"/>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bCs/>
                <w:color w:val="000000" w:themeColor="text1"/>
                <w:sz w:val="24"/>
                <w:szCs w:val="24"/>
                <w:highlight w:val="none"/>
                <w:u w:val="none"/>
                <w:lang w:val="en-US" w:eastAsia="zh-CN"/>
                <w14:textFill>
                  <w14:solidFill>
                    <w14:schemeClr w14:val="tx1"/>
                  </w14:solidFill>
                </w14:textFill>
              </w:rPr>
              <w:t>本项目排气筒高度为16m，根据</w:t>
            </w:r>
            <w:r>
              <w:rPr>
                <w:rFonts w:hint="default" w:ascii="Times New Roman" w:hAnsi="Times New Roman" w:eastAsia="仿宋" w:cs="Times New Roman"/>
                <w:bCs/>
                <w:color w:val="000000" w:themeColor="text1"/>
                <w:sz w:val="24"/>
                <w:szCs w:val="24"/>
                <w:highlight w:val="none"/>
                <w:u w:val="none"/>
                <w:lang w:val="en-US" w:eastAsia="zh-CN"/>
                <w14:textFill>
                  <w14:solidFill>
                    <w14:schemeClr w14:val="tx1"/>
                  </w14:solidFill>
                </w14:textFill>
              </w:rPr>
              <w:t xml:space="preserve">《大气污染物综合排放标准》（GB16297-1996）7.3 </w:t>
            </w:r>
            <w:r>
              <w:rPr>
                <w:rFonts w:hint="eastAsia" w:ascii="Times New Roman" w:hAnsi="Times New Roman" w:eastAsia="仿宋" w:cs="Times New Roman"/>
                <w:bCs/>
                <w:color w:val="000000" w:themeColor="text1"/>
                <w:sz w:val="24"/>
                <w:szCs w:val="24"/>
                <w:highlight w:val="none"/>
                <w:u w:val="none"/>
                <w:lang w:val="en-US" w:eastAsia="zh-CN"/>
                <w14:textFill>
                  <w14:solidFill>
                    <w14:schemeClr w14:val="tx1"/>
                  </w14:solidFill>
                </w14:textFill>
              </w:rPr>
              <w:t>若某排气筒的高度处于本标准列出的两个值之间，其执行的最高允许排放速率以内插法计算，根据内插法计算，颗粒物排放标准为3.98</w:t>
            </w:r>
            <w:r>
              <w:rPr>
                <w:rFonts w:hint="default" w:ascii="Times New Roman" w:hAnsi="Times New Roman" w:eastAsia="仿宋" w:cs="Times New Roman"/>
                <w:bCs/>
                <w:color w:val="000000" w:themeColor="text1"/>
                <w:sz w:val="24"/>
                <w:szCs w:val="24"/>
                <w:highlight w:val="none"/>
                <w:u w:val="none"/>
                <w:lang w:val="en-US" w:eastAsia="zh-CN"/>
                <w14:textFill>
                  <w14:solidFill>
                    <w14:schemeClr w14:val="tx1"/>
                  </w14:solidFill>
                </w14:textFill>
              </w:rPr>
              <w:t>kg/h</w:t>
            </w:r>
            <w:r>
              <w:rPr>
                <w:rFonts w:hint="eastAsia" w:ascii="Times New Roman" w:hAnsi="Times New Roman" w:eastAsia="仿宋" w:cs="Times New Roman"/>
                <w:bCs/>
                <w:color w:val="000000" w:themeColor="text1"/>
                <w:sz w:val="24"/>
                <w:szCs w:val="24"/>
                <w:highlight w:val="none"/>
                <w:u w:val="none"/>
                <w:lang w:val="en-US" w:eastAsia="zh-CN"/>
                <w14:textFill>
                  <w14:solidFill>
                    <w14:schemeClr w14:val="tx1"/>
                  </w14:solidFill>
                </w14:textFill>
              </w:rPr>
              <w:t>；</w:t>
            </w:r>
          </w:p>
          <w:p w14:paraId="541DD0F8">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表3-</w:t>
            </w:r>
            <w:r>
              <w:rPr>
                <w:rFonts w:hint="eastAsia"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4</w:t>
            </w: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废气排放标准限值一览表</w:t>
            </w:r>
          </w:p>
          <w:tbl>
            <w:tblPr>
              <w:tblStyle w:val="78"/>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930"/>
              <w:gridCol w:w="3002"/>
              <w:gridCol w:w="1193"/>
              <w:gridCol w:w="1101"/>
              <w:gridCol w:w="1745"/>
            </w:tblGrid>
            <w:tr w14:paraId="0787F501">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24" w:hRule="atLeast"/>
              </w:trPr>
              <w:tc>
                <w:tcPr>
                  <w:tcW w:w="2466" w:type="pct"/>
                  <w:gridSpan w:val="2"/>
                  <w:tcBorders>
                    <w:tl2br w:val="nil"/>
                    <w:tr2bl w:val="nil"/>
                  </w:tcBorders>
                  <w:noWrap w:val="0"/>
                  <w:vAlign w:val="center"/>
                </w:tcPr>
                <w:p w14:paraId="4C4F566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标准名称</w:t>
                  </w:r>
                </w:p>
              </w:tc>
              <w:tc>
                <w:tcPr>
                  <w:tcW w:w="748" w:type="pct"/>
                  <w:tcBorders>
                    <w:tl2br w:val="nil"/>
                    <w:tr2bl w:val="nil"/>
                  </w:tcBorders>
                  <w:noWrap w:val="0"/>
                  <w:vAlign w:val="center"/>
                </w:tcPr>
                <w:p w14:paraId="3DD5499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污染因子</w:t>
                  </w:r>
                </w:p>
              </w:tc>
              <w:tc>
                <w:tcPr>
                  <w:tcW w:w="690" w:type="pct"/>
                  <w:tcBorders>
                    <w:tl2br w:val="nil"/>
                    <w:tr2bl w:val="nil"/>
                  </w:tcBorders>
                  <w:noWrap w:val="0"/>
                  <w:vAlign w:val="center"/>
                </w:tcPr>
                <w:p w14:paraId="3E5E929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标准限值</w:t>
                  </w:r>
                </w:p>
              </w:tc>
              <w:tc>
                <w:tcPr>
                  <w:tcW w:w="1094" w:type="pct"/>
                  <w:tcBorders>
                    <w:tl2br w:val="nil"/>
                    <w:tr2bl w:val="nil"/>
                  </w:tcBorders>
                  <w:noWrap w:val="0"/>
                  <w:vAlign w:val="center"/>
                </w:tcPr>
                <w:p w14:paraId="3748296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备注</w:t>
                  </w:r>
                </w:p>
              </w:tc>
            </w:tr>
            <w:tr w14:paraId="56C409DB">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628" w:hRule="atLeast"/>
              </w:trPr>
              <w:tc>
                <w:tcPr>
                  <w:tcW w:w="583" w:type="pct"/>
                  <w:tcBorders>
                    <w:tl2br w:val="nil"/>
                    <w:tr2bl w:val="nil"/>
                  </w:tcBorders>
                  <w:noWrap w:val="0"/>
                  <w:vAlign w:val="center"/>
                </w:tcPr>
                <w:p w14:paraId="5400F6D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有组织</w:t>
                  </w:r>
                </w:p>
              </w:tc>
              <w:tc>
                <w:tcPr>
                  <w:tcW w:w="1883" w:type="pct"/>
                  <w:vMerge w:val="restart"/>
                  <w:tcBorders>
                    <w:tl2br w:val="nil"/>
                    <w:tr2bl w:val="nil"/>
                  </w:tcBorders>
                  <w:noWrap w:val="0"/>
                  <w:vAlign w:val="center"/>
                </w:tcPr>
                <w:p w14:paraId="2EA7E3F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《大气污染物综合排放标准》</w:t>
                  </w:r>
                </w:p>
                <w:p w14:paraId="0A16B51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（GB16297-1996）</w:t>
                  </w:r>
                </w:p>
              </w:tc>
              <w:tc>
                <w:tcPr>
                  <w:tcW w:w="748" w:type="pct"/>
                  <w:tcBorders>
                    <w:tl2br w:val="nil"/>
                    <w:tr2bl w:val="nil"/>
                  </w:tcBorders>
                  <w:noWrap w:val="0"/>
                  <w:vAlign w:val="center"/>
                </w:tcPr>
                <w:p w14:paraId="5EA121D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颗粒物</w:t>
                  </w:r>
                </w:p>
              </w:tc>
              <w:tc>
                <w:tcPr>
                  <w:tcW w:w="690" w:type="pct"/>
                  <w:tcBorders>
                    <w:tl2br w:val="nil"/>
                    <w:tr2bl w:val="nil"/>
                  </w:tcBorders>
                  <w:noWrap w:val="0"/>
                  <w:vAlign w:val="center"/>
                </w:tcPr>
                <w:p w14:paraId="028058D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eastAsia" w:eastAsia="仿宋" w:cs="Times New Roman"/>
                      <w:color w:val="000000" w:themeColor="text1"/>
                      <w:sz w:val="21"/>
                      <w:szCs w:val="21"/>
                      <w:highlight w:val="none"/>
                      <w:u w:val="none"/>
                      <w:lang w:val="en-US" w:eastAsia="zh-CN"/>
                      <w14:textFill>
                        <w14:solidFill>
                          <w14:schemeClr w14:val="tx1"/>
                        </w14:solidFill>
                      </w14:textFill>
                    </w:rPr>
                    <w:t>3.98</w:t>
                  </w: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kg/h；120mg/m</w:t>
                  </w:r>
                  <w:r>
                    <w:rPr>
                      <w:rFonts w:hint="default" w:ascii="Times New Roman" w:hAnsi="Times New Roman" w:eastAsia="仿宋" w:cs="Times New Roman"/>
                      <w:color w:val="000000" w:themeColor="text1"/>
                      <w:sz w:val="21"/>
                      <w:szCs w:val="21"/>
                      <w:highlight w:val="none"/>
                      <w:u w:val="none"/>
                      <w:vertAlign w:val="superscript"/>
                      <w14:textFill>
                        <w14:solidFill>
                          <w14:schemeClr w14:val="tx1"/>
                        </w14:solidFill>
                      </w14:textFill>
                    </w:rPr>
                    <w:t>3</w:t>
                  </w:r>
                </w:p>
              </w:tc>
              <w:tc>
                <w:tcPr>
                  <w:tcW w:w="1094" w:type="pct"/>
                  <w:tcBorders>
                    <w:tl2br w:val="nil"/>
                    <w:tr2bl w:val="nil"/>
                  </w:tcBorders>
                  <w:noWrap w:val="0"/>
                  <w:vAlign w:val="center"/>
                </w:tcPr>
                <w:p w14:paraId="7CAA6C0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eastAsia="仿宋" w:cs="Times New Roman"/>
                      <w:color w:val="000000" w:themeColor="text1"/>
                      <w:sz w:val="21"/>
                      <w:szCs w:val="21"/>
                      <w:highlight w:val="none"/>
                      <w:u w:val="none"/>
                      <w:lang w:val="en-US" w:eastAsia="zh-CN"/>
                      <w14:textFill>
                        <w14:solidFill>
                          <w14:schemeClr w14:val="tx1"/>
                        </w14:solidFill>
                      </w14:textFill>
                    </w:rPr>
                    <w:t>16m高排气筒</w:t>
                  </w:r>
                </w:p>
              </w:tc>
            </w:tr>
            <w:tr w14:paraId="4335F96C">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626" w:hRule="atLeast"/>
              </w:trPr>
              <w:tc>
                <w:tcPr>
                  <w:tcW w:w="583" w:type="pct"/>
                  <w:tcBorders>
                    <w:tl2br w:val="nil"/>
                    <w:tr2bl w:val="nil"/>
                  </w:tcBorders>
                  <w:noWrap w:val="0"/>
                  <w:vAlign w:val="center"/>
                </w:tcPr>
                <w:p w14:paraId="254033F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无组织</w:t>
                  </w:r>
                </w:p>
              </w:tc>
              <w:tc>
                <w:tcPr>
                  <w:tcW w:w="1883" w:type="pct"/>
                  <w:vMerge w:val="continue"/>
                  <w:tcBorders>
                    <w:tl2br w:val="nil"/>
                    <w:tr2bl w:val="nil"/>
                  </w:tcBorders>
                  <w:noWrap w:val="0"/>
                  <w:vAlign w:val="center"/>
                </w:tcPr>
                <w:p w14:paraId="4671E95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p>
              </w:tc>
              <w:tc>
                <w:tcPr>
                  <w:tcW w:w="748" w:type="pct"/>
                  <w:tcBorders>
                    <w:tl2br w:val="nil"/>
                    <w:tr2bl w:val="nil"/>
                  </w:tcBorders>
                  <w:noWrap w:val="0"/>
                  <w:vAlign w:val="center"/>
                </w:tcPr>
                <w:p w14:paraId="3CEC128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颗粒物</w:t>
                  </w:r>
                </w:p>
              </w:tc>
              <w:tc>
                <w:tcPr>
                  <w:tcW w:w="690" w:type="pct"/>
                  <w:tcBorders>
                    <w:tl2br w:val="nil"/>
                    <w:tr2bl w:val="nil"/>
                  </w:tcBorders>
                  <w:noWrap w:val="0"/>
                  <w:vAlign w:val="center"/>
                </w:tcPr>
                <w:p w14:paraId="7EBB1FE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1.0mg/m</w:t>
                  </w:r>
                  <w:r>
                    <w:rPr>
                      <w:rFonts w:hint="default" w:ascii="Times New Roman" w:hAnsi="Times New Roman" w:eastAsia="仿宋" w:cs="Times New Roman"/>
                      <w:color w:val="000000" w:themeColor="text1"/>
                      <w:sz w:val="21"/>
                      <w:szCs w:val="21"/>
                      <w:highlight w:val="none"/>
                      <w:u w:val="none"/>
                      <w:vertAlign w:val="superscript"/>
                      <w14:textFill>
                        <w14:solidFill>
                          <w14:schemeClr w14:val="tx1"/>
                        </w14:solidFill>
                      </w14:textFill>
                    </w:rPr>
                    <w:t>3</w:t>
                  </w:r>
                </w:p>
              </w:tc>
              <w:tc>
                <w:tcPr>
                  <w:tcW w:w="1094" w:type="pct"/>
                  <w:tcBorders>
                    <w:tl2br w:val="nil"/>
                    <w:tr2bl w:val="nil"/>
                  </w:tcBorders>
                  <w:noWrap w:val="0"/>
                  <w:vAlign w:val="center"/>
                </w:tcPr>
                <w:p w14:paraId="372C146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周界外浓度最高点</w:t>
                  </w:r>
                </w:p>
              </w:tc>
            </w:tr>
          </w:tbl>
          <w:p w14:paraId="1FA3AE66">
            <w:pPr>
              <w:spacing w:line="360" w:lineRule="auto"/>
              <w:ind w:firstLine="420"/>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2、废水</w:t>
            </w:r>
          </w:p>
          <w:p w14:paraId="1A04FF2D">
            <w:pPr>
              <w:spacing w:line="360" w:lineRule="auto"/>
              <w:ind w:firstLine="420"/>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本项目</w:t>
            </w:r>
            <w:r>
              <w:rPr>
                <w:rFonts w:hint="default" w:ascii="Times New Roman" w:hAnsi="Times New Roman" w:eastAsia="仿宋" w:cs="Times New Roman"/>
                <w:color w:val="000000" w:themeColor="text1"/>
                <w:sz w:val="24"/>
                <w:highlight w:val="none"/>
                <w:u w:val="none"/>
                <w14:textFill>
                  <w14:solidFill>
                    <w14:schemeClr w14:val="tx1"/>
                  </w14:solidFill>
                </w14:textFill>
              </w:rPr>
              <w:t>生活污水</w:t>
            </w:r>
            <w:r>
              <w:rPr>
                <w:rFonts w:hint="default" w:ascii="Times New Roman" w:hAnsi="Times New Roman" w:eastAsia="仿宋" w:cs="Times New Roman"/>
                <w:color w:val="000000" w:themeColor="text1"/>
                <w:sz w:val="24"/>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 w:val="24"/>
                <w:highlight w:val="none"/>
                <w:u w:val="none"/>
                <w14:textFill>
                  <w14:solidFill>
                    <w14:schemeClr w14:val="tx1"/>
                  </w14:solidFill>
                </w14:textFill>
              </w:rPr>
              <w:t>经</w:t>
            </w: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防渗旱厕，定期清掏，外运堆肥</w:t>
            </w: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w:t>
            </w:r>
          </w:p>
          <w:p w14:paraId="64145EDD">
            <w:pPr>
              <w:keepNext w:val="0"/>
              <w:keepLines w:val="0"/>
              <w:pageBreakBefore w:val="0"/>
              <w:widowControl/>
              <w:kinsoku/>
              <w:wordWrap/>
              <w:overflowPunct/>
              <w:topLinePunct w:val="0"/>
              <w:autoSpaceDE/>
              <w:autoSpaceDN/>
              <w:bidi w:val="0"/>
              <w:adjustRightInd/>
              <w:snapToGrid/>
              <w:spacing w:before="157" w:beforeLines="50" w:line="360" w:lineRule="auto"/>
              <w:ind w:firstLine="420"/>
              <w:textAlignment w:val="auto"/>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3、噪声</w:t>
            </w:r>
          </w:p>
          <w:p w14:paraId="43298269">
            <w:pPr>
              <w:widowControl/>
              <w:spacing w:line="360" w:lineRule="auto"/>
              <w:ind w:firstLine="420"/>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项目</w:t>
            </w:r>
            <w:r>
              <w:rPr>
                <w:rFonts w:hint="default" w:ascii="Times New Roman" w:hAnsi="Times New Roman" w:eastAsia="仿宋" w:cs="Times New Roman"/>
                <w:color w:val="000000" w:themeColor="text1"/>
                <w:sz w:val="24"/>
                <w:highlight w:val="none"/>
                <w:u w:val="none"/>
                <w14:textFill>
                  <w14:solidFill>
                    <w14:schemeClr w14:val="tx1"/>
                  </w14:solidFill>
                </w14:textFill>
              </w:rPr>
              <w:t>厂界噪声执行《工业企业厂界环境噪声排放标准》（GB12348-2008）中2类标准。</w:t>
            </w:r>
          </w:p>
          <w:p w14:paraId="256ECA78">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表3-</w:t>
            </w:r>
            <w:r>
              <w:rPr>
                <w:rFonts w:hint="eastAsia"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5</w:t>
            </w: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噪声排放标准限值一览表</w:t>
            </w:r>
          </w:p>
          <w:tbl>
            <w:tblPr>
              <w:tblStyle w:val="24"/>
              <w:tblW w:w="7974" w:type="dxa"/>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58"/>
              <w:gridCol w:w="2658"/>
              <w:gridCol w:w="2658"/>
            </w:tblGrid>
            <w:tr w14:paraId="0F632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8" w:type="dxa"/>
                  <w:vMerge w:val="restart"/>
                  <w:tcBorders>
                    <w:tl2br w:val="nil"/>
                    <w:tr2bl w:val="nil"/>
                  </w:tcBorders>
                  <w:noWrap w:val="0"/>
                  <w:vAlign w:val="center"/>
                </w:tcPr>
                <w:p w14:paraId="789DA3AB">
                  <w:pPr>
                    <w:adjustRightInd w:val="0"/>
                    <w:snapToGrid w:val="0"/>
                    <w:jc w:val="center"/>
                    <w:rPr>
                      <w:rFonts w:hint="default" w:ascii="Times New Roman" w:hAnsi="Times New Roman" w:eastAsia="仿宋" w:cs="Times New Roman"/>
                      <w:b/>
                      <w:bCs/>
                      <w:color w:val="000000" w:themeColor="text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14:textFill>
                        <w14:solidFill>
                          <w14:schemeClr w14:val="tx1"/>
                        </w14:solidFill>
                      </w14:textFill>
                    </w:rPr>
                    <w:t>类别</w:t>
                  </w:r>
                </w:p>
              </w:tc>
              <w:tc>
                <w:tcPr>
                  <w:tcW w:w="5316" w:type="dxa"/>
                  <w:gridSpan w:val="2"/>
                  <w:tcBorders>
                    <w:tl2br w:val="nil"/>
                    <w:tr2bl w:val="nil"/>
                  </w:tcBorders>
                  <w:noWrap w:val="0"/>
                  <w:vAlign w:val="center"/>
                </w:tcPr>
                <w:p w14:paraId="569A7B9F">
                  <w:pPr>
                    <w:adjustRightInd w:val="0"/>
                    <w:snapToGrid w:val="0"/>
                    <w:jc w:val="center"/>
                    <w:rPr>
                      <w:rFonts w:hint="default" w:ascii="Times New Roman" w:hAnsi="Times New Roman" w:eastAsia="仿宋" w:cs="Times New Roman"/>
                      <w:b/>
                      <w:bCs/>
                      <w:color w:val="000000" w:themeColor="text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14:textFill>
                        <w14:solidFill>
                          <w14:schemeClr w14:val="tx1"/>
                        </w14:solidFill>
                      </w14:textFill>
                    </w:rPr>
                    <w:t>标准限值/db（A）</w:t>
                  </w:r>
                </w:p>
              </w:tc>
            </w:tr>
            <w:tr w14:paraId="0C258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8" w:type="dxa"/>
                  <w:vMerge w:val="continue"/>
                  <w:tcBorders>
                    <w:tl2br w:val="nil"/>
                    <w:tr2bl w:val="nil"/>
                  </w:tcBorders>
                  <w:noWrap w:val="0"/>
                  <w:vAlign w:val="center"/>
                </w:tcPr>
                <w:p w14:paraId="615F0E8E">
                  <w:pPr>
                    <w:adjustRightInd w:val="0"/>
                    <w:snapToGrid w:val="0"/>
                    <w:jc w:val="center"/>
                    <w:rPr>
                      <w:rFonts w:hint="default" w:ascii="Times New Roman" w:hAnsi="Times New Roman" w:eastAsia="仿宋" w:cs="Times New Roman"/>
                      <w:b/>
                      <w:bCs/>
                      <w:color w:val="000000" w:themeColor="text1"/>
                      <w:szCs w:val="21"/>
                      <w:highlight w:val="none"/>
                      <w:u w:val="none"/>
                      <w14:textFill>
                        <w14:solidFill>
                          <w14:schemeClr w14:val="tx1"/>
                        </w14:solidFill>
                      </w14:textFill>
                    </w:rPr>
                  </w:pPr>
                </w:p>
              </w:tc>
              <w:tc>
                <w:tcPr>
                  <w:tcW w:w="2658" w:type="dxa"/>
                  <w:tcBorders>
                    <w:tl2br w:val="nil"/>
                    <w:tr2bl w:val="nil"/>
                  </w:tcBorders>
                  <w:noWrap w:val="0"/>
                  <w:vAlign w:val="center"/>
                </w:tcPr>
                <w:p w14:paraId="0166D216">
                  <w:pPr>
                    <w:adjustRightInd w:val="0"/>
                    <w:snapToGrid w:val="0"/>
                    <w:jc w:val="center"/>
                    <w:rPr>
                      <w:rFonts w:hint="default" w:ascii="Times New Roman" w:hAnsi="Times New Roman" w:eastAsia="仿宋" w:cs="Times New Roman"/>
                      <w:b/>
                      <w:bCs/>
                      <w:color w:val="000000" w:themeColor="text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14:textFill>
                        <w14:solidFill>
                          <w14:schemeClr w14:val="tx1"/>
                        </w14:solidFill>
                      </w14:textFill>
                    </w:rPr>
                    <w:t>昼间</w:t>
                  </w:r>
                </w:p>
              </w:tc>
              <w:tc>
                <w:tcPr>
                  <w:tcW w:w="2658" w:type="dxa"/>
                  <w:tcBorders>
                    <w:tl2br w:val="nil"/>
                    <w:tr2bl w:val="nil"/>
                  </w:tcBorders>
                  <w:noWrap w:val="0"/>
                  <w:vAlign w:val="center"/>
                </w:tcPr>
                <w:p w14:paraId="79BC1E8C">
                  <w:pPr>
                    <w:adjustRightInd w:val="0"/>
                    <w:snapToGrid w:val="0"/>
                    <w:jc w:val="center"/>
                    <w:rPr>
                      <w:rFonts w:hint="default" w:ascii="Times New Roman" w:hAnsi="Times New Roman" w:eastAsia="仿宋" w:cs="Times New Roman"/>
                      <w:b/>
                      <w:bCs/>
                      <w:color w:val="000000" w:themeColor="text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14:textFill>
                        <w14:solidFill>
                          <w14:schemeClr w14:val="tx1"/>
                        </w14:solidFill>
                      </w14:textFill>
                    </w:rPr>
                    <w:t>夜间</w:t>
                  </w:r>
                </w:p>
              </w:tc>
            </w:tr>
            <w:tr w14:paraId="70AF0F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8" w:type="dxa"/>
                  <w:tcBorders>
                    <w:tl2br w:val="nil"/>
                    <w:tr2bl w:val="nil"/>
                  </w:tcBorders>
                  <w:noWrap w:val="0"/>
                  <w:vAlign w:val="center"/>
                </w:tcPr>
                <w:p w14:paraId="0A224EAD">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2类</w:t>
                  </w:r>
                </w:p>
              </w:tc>
              <w:tc>
                <w:tcPr>
                  <w:tcW w:w="2658" w:type="dxa"/>
                  <w:tcBorders>
                    <w:tl2br w:val="nil"/>
                    <w:tr2bl w:val="nil"/>
                  </w:tcBorders>
                  <w:noWrap w:val="0"/>
                  <w:vAlign w:val="center"/>
                </w:tcPr>
                <w:p w14:paraId="2D30902D">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60</w:t>
                  </w:r>
                </w:p>
              </w:tc>
              <w:tc>
                <w:tcPr>
                  <w:tcW w:w="2658" w:type="dxa"/>
                  <w:tcBorders>
                    <w:tl2br w:val="nil"/>
                    <w:tr2bl w:val="nil"/>
                  </w:tcBorders>
                  <w:noWrap w:val="0"/>
                  <w:vAlign w:val="center"/>
                </w:tcPr>
                <w:p w14:paraId="2073C1E7">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50</w:t>
                  </w:r>
                </w:p>
              </w:tc>
            </w:tr>
          </w:tbl>
          <w:p w14:paraId="1187EE84">
            <w:pPr>
              <w:adjustRightInd w:val="0"/>
              <w:snapToGrid w:val="0"/>
              <w:jc w:val="center"/>
              <w:rPr>
                <w:rFonts w:hint="default" w:ascii="Times New Roman" w:hAnsi="Times New Roman" w:eastAsia="仿宋" w:cs="Times New Roman"/>
                <w:b/>
                <w:bCs/>
                <w:color w:val="000000" w:themeColor="text1"/>
                <w:szCs w:val="21"/>
                <w:highlight w:val="none"/>
                <w:u w:val="none"/>
                <w14:textFill>
                  <w14:solidFill>
                    <w14:schemeClr w14:val="tx1"/>
                  </w14:solidFill>
                </w14:textFill>
              </w:rPr>
            </w:pPr>
          </w:p>
          <w:p w14:paraId="7CE63635">
            <w:pPr>
              <w:adjustRightInd w:val="0"/>
              <w:snapToGrid w:val="0"/>
              <w:spacing w:line="360" w:lineRule="auto"/>
              <w:ind w:firstLine="480" w:firstLineChars="200"/>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4、固体废弃物</w:t>
            </w:r>
          </w:p>
          <w:p w14:paraId="5CA9F009">
            <w:pPr>
              <w:adjustRightInd w:val="0"/>
              <w:snapToGrid w:val="0"/>
              <w:spacing w:line="360" w:lineRule="auto"/>
              <w:ind w:firstLine="480" w:firstLineChars="200"/>
              <w:rPr>
                <w:rFonts w:hint="default" w:ascii="Times New Roman" w:hAnsi="Times New Roman" w:eastAsia="仿宋" w:cs="Times New Roman"/>
                <w:color w:val="000000" w:themeColor="text1"/>
                <w:sz w:val="24"/>
                <w:highlight w:val="none"/>
                <w:u w:val="none"/>
                <w:lang w:eastAsia="zh-CN"/>
                <w14:textFill>
                  <w14:solidFill>
                    <w14:schemeClr w14:val="tx1"/>
                  </w14:solidFill>
                </w14:textFill>
              </w:rPr>
            </w:pP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项目</w:t>
            </w:r>
            <w:r>
              <w:rPr>
                <w:rFonts w:hint="default" w:ascii="Times New Roman" w:hAnsi="Times New Roman" w:eastAsia="仿宋" w:cs="Times New Roman"/>
                <w:color w:val="000000" w:themeColor="text1"/>
                <w:sz w:val="24"/>
                <w:highlight w:val="none"/>
                <w:u w:val="none"/>
                <w14:textFill>
                  <w14:solidFill>
                    <w14:schemeClr w14:val="tx1"/>
                  </w14:solidFill>
                </w14:textFill>
              </w:rPr>
              <w:t>一般固废执行《一般工业固体废物贮存和填埋污染控制标准》（GB18599-2020）</w:t>
            </w:r>
            <w:r>
              <w:rPr>
                <w:rFonts w:hint="default" w:ascii="Times New Roman" w:hAnsi="Times New Roman" w:eastAsia="仿宋" w:cs="Times New Roman"/>
                <w:color w:val="000000" w:themeColor="text1"/>
                <w:sz w:val="24"/>
                <w:highlight w:val="none"/>
                <w:u w:val="none"/>
                <w:lang w:eastAsia="zh-CN"/>
                <w14:textFill>
                  <w14:solidFill>
                    <w14:schemeClr w14:val="tx1"/>
                  </w14:solidFill>
                </w14:textFill>
              </w:rPr>
              <w:t>；</w:t>
            </w:r>
          </w:p>
          <w:p w14:paraId="6267B2D5">
            <w:pPr>
              <w:adjustRightInd w:val="0"/>
              <w:snapToGrid w:val="0"/>
              <w:spacing w:line="360" w:lineRule="auto"/>
              <w:ind w:firstLine="480" w:firstLineChars="200"/>
              <w:rPr>
                <w:rFonts w:hint="default" w:ascii="Times New Roman" w:hAnsi="Times New Roman" w:eastAsia="仿宋" w:cs="Times New Roman"/>
                <w:color w:val="000000" w:themeColor="text1"/>
                <w:kern w:val="0"/>
                <w:szCs w:val="21"/>
                <w:highlight w:val="none"/>
                <w:u w:val="none"/>
                <w:lang w:eastAsia="zh-CN"/>
                <w14:textFill>
                  <w14:solidFill>
                    <w14:schemeClr w14:val="tx1"/>
                  </w14:solidFill>
                </w14:textFill>
              </w:rPr>
            </w:pPr>
            <w:r>
              <w:rPr>
                <w:rFonts w:hint="default" w:ascii="Times New Roman" w:hAnsi="Times New Roman" w:eastAsia="仿宋" w:cs="Times New Roman"/>
                <w:color w:val="000000" w:themeColor="text1"/>
                <w:sz w:val="24"/>
                <w:highlight w:val="none"/>
                <w14:textFill>
                  <w14:solidFill>
                    <w14:schemeClr w14:val="tx1"/>
                  </w14:solidFill>
                </w14:textFill>
              </w:rPr>
              <w:t>危险废物执行《危险废物贮存污染控制标准》（GB18597－20</w:t>
            </w:r>
            <w:r>
              <w:rPr>
                <w:rFonts w:hint="eastAsia" w:eastAsia="仿宋" w:cs="Times New Roman"/>
                <w:color w:val="000000" w:themeColor="text1"/>
                <w:sz w:val="24"/>
                <w:highlight w:val="none"/>
                <w:lang w:val="en-US" w:eastAsia="zh-CN"/>
                <w14:textFill>
                  <w14:solidFill>
                    <w14:schemeClr w14:val="tx1"/>
                  </w14:solidFill>
                </w14:textFill>
              </w:rPr>
              <w:t>23</w:t>
            </w:r>
            <w:r>
              <w:rPr>
                <w:rFonts w:hint="default" w:ascii="Times New Roman" w:hAnsi="Times New Roman" w:eastAsia="仿宋" w:cs="Times New Roman"/>
                <w:color w:val="000000" w:themeColor="text1"/>
                <w:sz w:val="24"/>
                <w:highlight w:val="none"/>
                <w14:textFill>
                  <w14:solidFill>
                    <w14:schemeClr w14:val="tx1"/>
                  </w14:solidFill>
                </w14:textFill>
              </w:rPr>
              <w:t>）。</w:t>
            </w:r>
          </w:p>
        </w:tc>
      </w:tr>
      <w:tr w14:paraId="64F7DD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5" w:hRule="atLeast"/>
          <w:jc w:val="center"/>
        </w:trPr>
        <w:tc>
          <w:tcPr>
            <w:tcW w:w="800" w:type="dxa"/>
            <w:noWrap w:val="0"/>
            <w:vAlign w:val="center"/>
          </w:tcPr>
          <w:p w14:paraId="78027674">
            <w:pPr>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总量</w:t>
            </w:r>
          </w:p>
          <w:p w14:paraId="772B05F2">
            <w:pPr>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控制</w:t>
            </w:r>
          </w:p>
          <w:p w14:paraId="3C8221D2">
            <w:pPr>
              <w:adjustRightInd w:val="0"/>
              <w:snapToGrid w:val="0"/>
              <w:jc w:val="center"/>
              <w:rPr>
                <w:rFonts w:hint="default" w:ascii="Times New Roman" w:hAnsi="Times New Roman" w:eastAsia="仿宋" w:cs="Times New Roman"/>
                <w:color w:val="000000" w:themeColor="text1"/>
                <w:kern w:val="0"/>
                <w:sz w:val="24"/>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14:textFill>
                  <w14:solidFill>
                    <w14:schemeClr w14:val="tx1"/>
                  </w14:solidFill>
                </w14:textFill>
              </w:rPr>
              <w:t>指标</w:t>
            </w:r>
          </w:p>
        </w:tc>
        <w:tc>
          <w:tcPr>
            <w:tcW w:w="8190" w:type="dxa"/>
            <w:noWrap w:val="0"/>
            <w:vAlign w:val="center"/>
          </w:tcPr>
          <w:p w14:paraId="3A1CF835">
            <w:pPr>
              <w:pStyle w:val="10"/>
              <w:jc w:val="cente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kern w:val="2"/>
                <w:sz w:val="24"/>
                <w:szCs w:val="24"/>
                <w:highlight w:val="none"/>
                <w:u w:val="none"/>
                <w:lang w:val="en-US" w:eastAsia="zh-CN" w:bidi="ar-SA"/>
                <w14:textFill>
                  <w14:solidFill>
                    <w14:schemeClr w14:val="tx1"/>
                  </w14:solidFill>
                </w14:textFill>
              </w:rPr>
              <w:t>/</w:t>
            </w:r>
          </w:p>
        </w:tc>
      </w:tr>
    </w:tbl>
    <w:p w14:paraId="62BE994D">
      <w:pPr>
        <w:pStyle w:val="21"/>
        <w:jc w:val="center"/>
        <w:outlineLvl w:val="0"/>
        <w:rPr>
          <w:rFonts w:hint="default" w:ascii="Times New Roman" w:hAnsi="Times New Roman" w:eastAsia="仿宋" w:cs="Times New Roman"/>
          <w:snapToGrid w:val="0"/>
          <w:color w:val="000000" w:themeColor="text1"/>
          <w:sz w:val="30"/>
          <w:szCs w:val="30"/>
          <w:highlight w:val="none"/>
          <w:u w:val="none"/>
          <w14:textFill>
            <w14:solidFill>
              <w14:schemeClr w14:val="tx1"/>
            </w14:solidFill>
          </w14:textFill>
        </w:rPr>
      </w:pPr>
      <w:r>
        <w:rPr>
          <w:rFonts w:hint="default" w:ascii="Times New Roman" w:hAnsi="Times New Roman" w:eastAsia="仿宋" w:cs="Times New Roman"/>
          <w:snapToGrid w:val="0"/>
          <w:color w:val="000000" w:themeColor="text1"/>
          <w:sz w:val="36"/>
          <w:szCs w:val="36"/>
          <w:highlight w:val="none"/>
          <w:u w:val="none"/>
          <w14:textFill>
            <w14:solidFill>
              <w14:schemeClr w14:val="tx1"/>
            </w14:solidFill>
          </w14:textFill>
        </w:rPr>
        <w:br w:type="page"/>
      </w:r>
      <w:bookmarkStart w:id="7" w:name="_Toc23598"/>
      <w:r>
        <w:rPr>
          <w:rFonts w:hint="default" w:ascii="Times New Roman" w:hAnsi="Times New Roman" w:eastAsia="仿宋" w:cs="Times New Roman"/>
          <w:snapToGrid w:val="0"/>
          <w:color w:val="000000" w:themeColor="text1"/>
          <w:sz w:val="30"/>
          <w:szCs w:val="30"/>
          <w:highlight w:val="none"/>
          <w:u w:val="none"/>
          <w14:textFill>
            <w14:solidFill>
              <w14:schemeClr w14:val="tx1"/>
            </w14:solidFill>
          </w14:textFill>
        </w:rPr>
        <w:t>四、主要环境影响和保护措施</w:t>
      </w:r>
      <w:bookmarkEnd w:id="7"/>
    </w:p>
    <w:tbl>
      <w:tblPr>
        <w:tblStyle w:val="2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4"/>
        <w:gridCol w:w="8687"/>
      </w:tblGrid>
      <w:tr w14:paraId="43680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41" w:hRule="atLeast"/>
          <w:jc w:val="center"/>
        </w:trPr>
        <w:tc>
          <w:tcPr>
            <w:tcW w:w="758" w:type="dxa"/>
            <w:noWrap w:val="0"/>
            <w:tcMar>
              <w:left w:w="28" w:type="dxa"/>
              <w:right w:w="28" w:type="dxa"/>
            </w:tcMar>
            <w:vAlign w:val="center"/>
          </w:tcPr>
          <w:p w14:paraId="444F4F36">
            <w:pPr>
              <w:pStyle w:val="21"/>
              <w:adjustRightInd w:val="0"/>
              <w:snapToGrid w:val="0"/>
              <w:spacing w:before="0" w:beforeAutospacing="0" w:after="0" w:afterAutospacing="0"/>
              <w:jc w:val="center"/>
              <w:rPr>
                <w:rFonts w:hint="default" w:ascii="Times New Roman" w:hAnsi="Times New Roman" w:eastAsia="仿宋" w:cs="Times New Roman"/>
                <w:color w:val="000000" w:themeColor="text1"/>
                <w:kern w:val="2"/>
                <w:szCs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2"/>
                <w:szCs w:val="24"/>
                <w:highlight w:val="none"/>
                <w:u w:val="none"/>
                <w:lang w:val="en-US" w:eastAsia="zh-CN"/>
                <w14:textFill>
                  <w14:solidFill>
                    <w14:schemeClr w14:val="tx1"/>
                  </w14:solidFill>
                </w14:textFill>
              </w:rPr>
              <w:t>施工</w:t>
            </w:r>
          </w:p>
          <w:p w14:paraId="1C397992">
            <w:pPr>
              <w:pStyle w:val="21"/>
              <w:adjustRightInd w:val="0"/>
              <w:snapToGrid w:val="0"/>
              <w:spacing w:before="0" w:beforeAutospacing="0" w:after="0" w:afterAutospacing="0"/>
              <w:jc w:val="center"/>
              <w:rPr>
                <w:rFonts w:hint="default" w:ascii="Times New Roman" w:hAnsi="Times New Roman" w:eastAsia="仿宋" w:cs="Times New Roman"/>
                <w:color w:val="000000" w:themeColor="text1"/>
                <w:kern w:val="2"/>
                <w:szCs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2"/>
                <w:szCs w:val="24"/>
                <w:highlight w:val="none"/>
                <w:u w:val="none"/>
                <w:lang w:val="en-US" w:eastAsia="zh-CN"/>
                <w14:textFill>
                  <w14:solidFill>
                    <w14:schemeClr w14:val="tx1"/>
                  </w14:solidFill>
                </w14:textFill>
              </w:rPr>
              <w:t>期环</w:t>
            </w:r>
          </w:p>
          <w:p w14:paraId="516C2276">
            <w:pPr>
              <w:pStyle w:val="21"/>
              <w:adjustRightInd w:val="0"/>
              <w:snapToGrid w:val="0"/>
              <w:spacing w:before="0" w:beforeAutospacing="0" w:after="0" w:afterAutospacing="0"/>
              <w:jc w:val="center"/>
              <w:rPr>
                <w:rFonts w:hint="default" w:ascii="Times New Roman" w:hAnsi="Times New Roman" w:eastAsia="仿宋" w:cs="Times New Roman"/>
                <w:color w:val="000000" w:themeColor="text1"/>
                <w:kern w:val="2"/>
                <w:szCs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2"/>
                <w:szCs w:val="24"/>
                <w:highlight w:val="none"/>
                <w:u w:val="none"/>
                <w:lang w:val="en-US" w:eastAsia="zh-CN"/>
                <w14:textFill>
                  <w14:solidFill>
                    <w14:schemeClr w14:val="tx1"/>
                  </w14:solidFill>
                </w14:textFill>
              </w:rPr>
              <w:t>境保</w:t>
            </w:r>
          </w:p>
          <w:p w14:paraId="70DC8CF2">
            <w:pPr>
              <w:pStyle w:val="21"/>
              <w:adjustRightInd w:val="0"/>
              <w:snapToGrid w:val="0"/>
              <w:spacing w:before="0" w:beforeAutospacing="0" w:after="0" w:afterAutospacing="0"/>
              <w:jc w:val="center"/>
              <w:rPr>
                <w:rFonts w:hint="default" w:ascii="Times New Roman" w:hAnsi="Times New Roman" w:eastAsia="仿宋" w:cs="Times New Roman"/>
                <w:color w:val="000000" w:themeColor="text1"/>
                <w:kern w:val="2"/>
                <w:szCs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2"/>
                <w:szCs w:val="24"/>
                <w:highlight w:val="none"/>
                <w:u w:val="none"/>
                <w:lang w:val="en-US" w:eastAsia="zh-CN"/>
                <w14:textFill>
                  <w14:solidFill>
                    <w14:schemeClr w14:val="tx1"/>
                  </w14:solidFill>
                </w14:textFill>
              </w:rPr>
              <w:t>护措</w:t>
            </w:r>
          </w:p>
          <w:p w14:paraId="552271D9">
            <w:pPr>
              <w:pStyle w:val="21"/>
              <w:adjustRightInd w:val="0"/>
              <w:snapToGrid w:val="0"/>
              <w:spacing w:before="0" w:beforeAutospacing="0" w:after="0" w:afterAutospacing="0"/>
              <w:jc w:val="center"/>
              <w:rPr>
                <w:rFonts w:hint="default" w:ascii="Times New Roman" w:hAnsi="Times New Roman" w:eastAsia="仿宋" w:cs="Times New Roman"/>
                <w:bCs/>
                <w:color w:val="000000" w:themeColor="text1"/>
                <w:kern w:val="2"/>
                <w:szCs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2"/>
                <w:szCs w:val="24"/>
                <w:highlight w:val="none"/>
                <w:u w:val="none"/>
                <w:lang w:val="en-US" w:eastAsia="zh-CN"/>
                <w14:textFill>
                  <w14:solidFill>
                    <w14:schemeClr w14:val="tx1"/>
                  </w14:solidFill>
                </w14:textFill>
              </w:rPr>
              <w:t>施</w:t>
            </w:r>
          </w:p>
        </w:tc>
        <w:tc>
          <w:tcPr>
            <w:tcW w:w="8150" w:type="dxa"/>
            <w:noWrap w:val="0"/>
            <w:vAlign w:val="center"/>
          </w:tcPr>
          <w:p w14:paraId="28EF34E4">
            <w:pPr>
              <w:adjustRightInd w:val="0"/>
              <w:snapToGrid w:val="0"/>
              <w:spacing w:line="360" w:lineRule="auto"/>
              <w:ind w:firstLine="480" w:firstLineChars="200"/>
              <w:rPr>
                <w:rFonts w:hint="default" w:ascii="Times New Roman" w:hAnsi="Times New Roman" w:eastAsia="仿宋" w:cs="Times New Roman"/>
                <w:bCs/>
                <w:color w:val="000000" w:themeColor="text1"/>
                <w:spacing w:val="-10"/>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本项目租赁现有已建的生产厂房进行生产，本项目只需要对租赁的厂房进行设备安装，将厂房改造成封闭式厂房，设置排气筒，安装环保设施等，无需开挖、清场、整地等工程。在安装设备过程中主要污染源为机械安装产生的噪声。主要防治措施有加强对安装机械设备的管理，以减轻</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安装</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设备噪声的影响。安装设备的过程中会产生废包装材料，交由厂家回收带走或及时交由环卫部门清运。因此，施工期环境影响较小，故本评价不对施工期间进行分析。</w:t>
            </w:r>
          </w:p>
        </w:tc>
      </w:tr>
      <w:tr w14:paraId="40C150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06" w:hRule="atLeast"/>
          <w:jc w:val="center"/>
        </w:trPr>
        <w:tc>
          <w:tcPr>
            <w:tcW w:w="758" w:type="dxa"/>
            <w:noWrap w:val="0"/>
            <w:tcMar>
              <w:left w:w="28" w:type="dxa"/>
              <w:right w:w="28" w:type="dxa"/>
            </w:tcMar>
            <w:vAlign w:val="center"/>
          </w:tcPr>
          <w:p w14:paraId="70E8E5C5">
            <w:pPr>
              <w:adjustRightInd w:val="0"/>
              <w:snapToGrid w:val="0"/>
              <w:jc w:val="center"/>
              <w:rPr>
                <w:rFonts w:hint="default" w:ascii="Times New Roman" w:hAnsi="Times New Roman" w:eastAsia="仿宋" w:cs="Times New Roman"/>
                <w:bCs/>
                <w:color w:val="000000" w:themeColor="text1"/>
                <w:sz w:val="24"/>
                <w:highlight w:val="none"/>
                <w:u w:val="none"/>
                <w14:textFill>
                  <w14:solidFill>
                    <w14:schemeClr w14:val="tx1"/>
                  </w14:solidFill>
                </w14:textFill>
              </w:rPr>
            </w:pPr>
            <w:r>
              <w:rPr>
                <w:rFonts w:hint="default" w:ascii="Times New Roman" w:hAnsi="Times New Roman" w:eastAsia="仿宋" w:cs="Times New Roman"/>
                <w:bCs/>
                <w:color w:val="000000" w:themeColor="text1"/>
                <w:sz w:val="24"/>
                <w:highlight w:val="none"/>
                <w:u w:val="none"/>
                <w14:textFill>
                  <w14:solidFill>
                    <w14:schemeClr w14:val="tx1"/>
                  </w14:solidFill>
                </w14:textFill>
              </w:rPr>
              <w:t>运营</w:t>
            </w:r>
          </w:p>
          <w:p w14:paraId="015B0D3D">
            <w:pPr>
              <w:adjustRightInd w:val="0"/>
              <w:snapToGrid w:val="0"/>
              <w:jc w:val="center"/>
              <w:rPr>
                <w:rFonts w:hint="default" w:ascii="Times New Roman" w:hAnsi="Times New Roman" w:eastAsia="仿宋" w:cs="Times New Roman"/>
                <w:bCs/>
                <w:color w:val="000000" w:themeColor="text1"/>
                <w:sz w:val="24"/>
                <w:highlight w:val="none"/>
                <w:u w:val="none"/>
                <w14:textFill>
                  <w14:solidFill>
                    <w14:schemeClr w14:val="tx1"/>
                  </w14:solidFill>
                </w14:textFill>
              </w:rPr>
            </w:pPr>
            <w:r>
              <w:rPr>
                <w:rFonts w:hint="default" w:ascii="Times New Roman" w:hAnsi="Times New Roman" w:eastAsia="仿宋" w:cs="Times New Roman"/>
                <w:bCs/>
                <w:color w:val="000000" w:themeColor="text1"/>
                <w:sz w:val="24"/>
                <w:highlight w:val="none"/>
                <w:u w:val="none"/>
                <w14:textFill>
                  <w14:solidFill>
                    <w14:schemeClr w14:val="tx1"/>
                  </w14:solidFill>
                </w14:textFill>
              </w:rPr>
              <w:t>期环</w:t>
            </w:r>
          </w:p>
          <w:p w14:paraId="678583BD">
            <w:pPr>
              <w:adjustRightInd w:val="0"/>
              <w:snapToGrid w:val="0"/>
              <w:jc w:val="center"/>
              <w:rPr>
                <w:rFonts w:hint="default" w:ascii="Times New Roman" w:hAnsi="Times New Roman" w:eastAsia="仿宋" w:cs="Times New Roman"/>
                <w:bCs/>
                <w:color w:val="000000" w:themeColor="text1"/>
                <w:sz w:val="24"/>
                <w:highlight w:val="none"/>
                <w:u w:val="none"/>
                <w14:textFill>
                  <w14:solidFill>
                    <w14:schemeClr w14:val="tx1"/>
                  </w14:solidFill>
                </w14:textFill>
              </w:rPr>
            </w:pPr>
            <w:r>
              <w:rPr>
                <w:rFonts w:hint="default" w:ascii="Times New Roman" w:hAnsi="Times New Roman" w:eastAsia="仿宋" w:cs="Times New Roman"/>
                <w:bCs/>
                <w:color w:val="000000" w:themeColor="text1"/>
                <w:sz w:val="24"/>
                <w:highlight w:val="none"/>
                <w:u w:val="none"/>
                <w14:textFill>
                  <w14:solidFill>
                    <w14:schemeClr w14:val="tx1"/>
                  </w14:solidFill>
                </w14:textFill>
              </w:rPr>
              <w:t>境影</w:t>
            </w:r>
          </w:p>
          <w:p w14:paraId="34A1E769">
            <w:pPr>
              <w:adjustRightInd w:val="0"/>
              <w:snapToGrid w:val="0"/>
              <w:jc w:val="center"/>
              <w:rPr>
                <w:rFonts w:hint="default" w:ascii="Times New Roman" w:hAnsi="Times New Roman" w:eastAsia="仿宋" w:cs="Times New Roman"/>
                <w:bCs/>
                <w:color w:val="000000" w:themeColor="text1"/>
                <w:sz w:val="24"/>
                <w:highlight w:val="none"/>
                <w:u w:val="none"/>
                <w14:textFill>
                  <w14:solidFill>
                    <w14:schemeClr w14:val="tx1"/>
                  </w14:solidFill>
                </w14:textFill>
              </w:rPr>
            </w:pPr>
            <w:r>
              <w:rPr>
                <w:rFonts w:hint="default" w:ascii="Times New Roman" w:hAnsi="Times New Roman" w:eastAsia="仿宋" w:cs="Times New Roman"/>
                <w:bCs/>
                <w:color w:val="000000" w:themeColor="text1"/>
                <w:sz w:val="24"/>
                <w:highlight w:val="none"/>
                <w:u w:val="none"/>
                <w14:textFill>
                  <w14:solidFill>
                    <w14:schemeClr w14:val="tx1"/>
                  </w14:solidFill>
                </w14:textFill>
              </w:rPr>
              <w:t>响和</w:t>
            </w:r>
          </w:p>
          <w:p w14:paraId="62E84B06">
            <w:pPr>
              <w:adjustRightInd w:val="0"/>
              <w:snapToGrid w:val="0"/>
              <w:jc w:val="center"/>
              <w:rPr>
                <w:rFonts w:hint="default" w:ascii="Times New Roman" w:hAnsi="Times New Roman" w:eastAsia="仿宋" w:cs="Times New Roman"/>
                <w:bCs/>
                <w:color w:val="000000" w:themeColor="text1"/>
                <w:sz w:val="24"/>
                <w:highlight w:val="none"/>
                <w:u w:val="none"/>
                <w14:textFill>
                  <w14:solidFill>
                    <w14:schemeClr w14:val="tx1"/>
                  </w14:solidFill>
                </w14:textFill>
              </w:rPr>
            </w:pPr>
            <w:r>
              <w:rPr>
                <w:rFonts w:hint="default" w:ascii="Times New Roman" w:hAnsi="Times New Roman" w:eastAsia="仿宋" w:cs="Times New Roman"/>
                <w:bCs/>
                <w:color w:val="000000" w:themeColor="text1"/>
                <w:sz w:val="24"/>
                <w:highlight w:val="none"/>
                <w:u w:val="none"/>
                <w14:textFill>
                  <w14:solidFill>
                    <w14:schemeClr w14:val="tx1"/>
                  </w14:solidFill>
                </w14:textFill>
              </w:rPr>
              <w:t>保护</w:t>
            </w:r>
          </w:p>
          <w:p w14:paraId="499E6746">
            <w:pPr>
              <w:adjustRightInd w:val="0"/>
              <w:snapToGrid w:val="0"/>
              <w:jc w:val="center"/>
              <w:rPr>
                <w:rFonts w:hint="default" w:ascii="Times New Roman" w:hAnsi="Times New Roman" w:eastAsia="仿宋" w:cs="Times New Roman"/>
                <w:bCs/>
                <w:color w:val="000000" w:themeColor="text1"/>
                <w:sz w:val="24"/>
                <w:highlight w:val="none"/>
                <w:u w:val="none"/>
                <w14:textFill>
                  <w14:solidFill>
                    <w14:schemeClr w14:val="tx1"/>
                  </w14:solidFill>
                </w14:textFill>
              </w:rPr>
            </w:pPr>
            <w:r>
              <w:rPr>
                <w:rFonts w:hint="default" w:ascii="Times New Roman" w:hAnsi="Times New Roman" w:eastAsia="仿宋" w:cs="Times New Roman"/>
                <w:bCs/>
                <w:color w:val="000000" w:themeColor="text1"/>
                <w:sz w:val="24"/>
                <w:highlight w:val="none"/>
                <w:u w:val="none"/>
                <w14:textFill>
                  <w14:solidFill>
                    <w14:schemeClr w14:val="tx1"/>
                  </w14:solidFill>
                </w14:textFill>
              </w:rPr>
              <w:t>措施</w:t>
            </w:r>
          </w:p>
        </w:tc>
        <w:tc>
          <w:tcPr>
            <w:tcW w:w="8150" w:type="dxa"/>
            <w:noWrap w:val="0"/>
            <w:vAlign w:val="top"/>
          </w:tcPr>
          <w:p w14:paraId="4F18883E">
            <w:pPr>
              <w:numPr>
                <w:ilvl w:val="0"/>
                <w:numId w:val="6"/>
              </w:numPr>
              <w:adjustRightInd w:val="0"/>
              <w:snapToGrid w:val="0"/>
              <w:spacing w:before="120" w:beforeLines="50" w:line="360" w:lineRule="auto"/>
              <w:ind w:firstLine="442" w:firstLineChars="200"/>
              <w:rPr>
                <w:rFonts w:hint="default" w:ascii="Times New Roman" w:hAnsi="Times New Roman" w:eastAsia="仿宋" w:cs="Times New Roman"/>
                <w:b/>
                <w:color w:val="000000" w:themeColor="text1"/>
                <w:spacing w:val="-10"/>
                <w:sz w:val="24"/>
                <w:highlight w:val="none"/>
                <w:u w:val="none"/>
                <w14:textFill>
                  <w14:solidFill>
                    <w14:schemeClr w14:val="tx1"/>
                  </w14:solidFill>
                </w14:textFill>
              </w:rPr>
            </w:pPr>
            <w:r>
              <w:rPr>
                <w:rFonts w:hint="default" w:ascii="Times New Roman" w:hAnsi="Times New Roman" w:eastAsia="仿宋" w:cs="Times New Roman"/>
                <w:b/>
                <w:color w:val="000000" w:themeColor="text1"/>
                <w:spacing w:val="-10"/>
                <w:sz w:val="24"/>
                <w:highlight w:val="none"/>
                <w:u w:val="none"/>
                <w14:textFill>
                  <w14:solidFill>
                    <w14:schemeClr w14:val="tx1"/>
                  </w14:solidFill>
                </w14:textFill>
              </w:rPr>
              <w:t>大气环境影响和保护措施</w:t>
            </w:r>
          </w:p>
          <w:p w14:paraId="760D2C2D">
            <w:pPr>
              <w:spacing w:line="360" w:lineRule="auto"/>
              <w:ind w:firstLine="480" w:firstLineChars="200"/>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本项目废气为制粒工序粉尘、装卸</w:t>
            </w:r>
            <w:r>
              <w:rPr>
                <w:rFonts w:hint="default" w:ascii="Times New Roman" w:hAnsi="Times New Roman" w:eastAsia="仿宋" w:cs="Times New Roman"/>
                <w:color w:val="000000" w:themeColor="text1"/>
                <w:sz w:val="24"/>
                <w:szCs w:val="32"/>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转移</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粉尘。</w:t>
            </w:r>
          </w:p>
          <w:p w14:paraId="4B92A882">
            <w:pPr>
              <w:spacing w:line="360" w:lineRule="auto"/>
              <w:ind w:firstLine="482" w:firstLineChars="200"/>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t>1、源强核算</w:t>
            </w:r>
          </w:p>
          <w:p w14:paraId="545708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4"/>
                <w:szCs w:val="24"/>
                <w:highlight w:val="none"/>
                <w:lang w:val="en-US" w:eastAsia="zh-CN" w:bidi="ar-SA"/>
                <w14:textFill>
                  <w14:solidFill>
                    <w14:schemeClr w14:val="tx1"/>
                  </w14:solidFill>
                </w14:textFill>
              </w:rPr>
              <w:t>①风机风量的设计</w:t>
            </w:r>
          </w:p>
          <w:p w14:paraId="216999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项目生产设备设置的集气罩均为半密闭罩</w:t>
            </w:r>
            <w:r>
              <w:rPr>
                <w:rFonts w:hint="eastAsia"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项目集气罩设计依据参考《袋式除尘工程通用技术规范》</w:t>
            </w:r>
            <w:r>
              <w:rPr>
                <w:rFonts w:hint="eastAsia" w:eastAsia="仿宋"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HJ2020-2012</w:t>
            </w:r>
            <w:r>
              <w:rPr>
                <w:rFonts w:hint="eastAsia" w:eastAsia="仿宋"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集气罩的收集效率为</w:t>
            </w:r>
            <w:r>
              <w:rPr>
                <w:rFonts w:hint="eastAsia"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95</w:t>
            </w:r>
            <w:r>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%，风量计算方法根据《大气污染控制工程》中的控制风速法计算。计算公式如下：</w:t>
            </w:r>
          </w:p>
          <w:p w14:paraId="08A62E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Q=3600×K×P×H×V</w:t>
            </w:r>
            <w:r>
              <w:rPr>
                <w:rFonts w:hint="default" w:ascii="Times New Roman" w:hAnsi="Times New Roman" w:eastAsia="仿宋" w:cs="Times New Roman"/>
                <w:color w:val="000000" w:themeColor="text1"/>
                <w:kern w:val="2"/>
                <w:sz w:val="24"/>
                <w:szCs w:val="24"/>
                <w:highlight w:val="none"/>
                <w:vertAlign w:val="subscript"/>
                <w:lang w:val="en-US" w:eastAsia="zh-CN" w:bidi="ar-SA"/>
                <w14:textFill>
                  <w14:solidFill>
                    <w14:schemeClr w14:val="tx1"/>
                  </w14:solidFill>
                </w14:textFill>
              </w:rPr>
              <w:t>X</w:t>
            </w:r>
          </w:p>
          <w:p w14:paraId="5051E4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其中：Q—风量，m³/h；</w:t>
            </w:r>
          </w:p>
          <w:p w14:paraId="7652A0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K—考虑沿高度速度不均匀的安全系数，通常取1.4；</w:t>
            </w:r>
          </w:p>
          <w:p w14:paraId="2D893C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P—罩口周长，m；</w:t>
            </w:r>
          </w:p>
          <w:p w14:paraId="1C3ACA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H—罩口至污染源的距离，m；</w:t>
            </w:r>
          </w:p>
          <w:p w14:paraId="16CFEA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V</w:t>
            </w:r>
            <w:r>
              <w:rPr>
                <w:rFonts w:hint="default" w:ascii="Times New Roman" w:hAnsi="Times New Roman" w:eastAsia="仿宋" w:cs="Times New Roman"/>
                <w:color w:val="000000" w:themeColor="text1"/>
                <w:kern w:val="2"/>
                <w:sz w:val="24"/>
                <w:szCs w:val="24"/>
                <w:highlight w:val="none"/>
                <w:vertAlign w:val="subscript"/>
                <w:lang w:val="en-US" w:eastAsia="zh-CN" w:bidi="ar-SA"/>
                <w14:textFill>
                  <w14:solidFill>
                    <w14:schemeClr w14:val="tx1"/>
                  </w14:solidFill>
                </w14:textFill>
              </w:rPr>
              <w:t>X</w:t>
            </w:r>
            <w:r>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—污染源控制速度，m/s。</w:t>
            </w:r>
          </w:p>
          <w:p w14:paraId="2EDC0D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根据《大气污染控制工程》中可得，当污染源从轻微速度发散到相对平静的空气中时，污染源控制速度在0.25~0.5m/s，废气收集设施控制点风速区中间值于0.38m/s。所需排风量如下。</w:t>
            </w:r>
          </w:p>
          <w:p w14:paraId="0F0C2E04">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表4-</w:t>
            </w:r>
            <w:r>
              <w:rPr>
                <w:rFonts w:hint="eastAsia"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1</w:t>
            </w: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 xml:space="preserve">  废气集气罩设置情况表</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85"/>
              <w:gridCol w:w="848"/>
              <w:gridCol w:w="452"/>
              <w:gridCol w:w="861"/>
              <w:gridCol w:w="861"/>
              <w:gridCol w:w="861"/>
              <w:gridCol w:w="508"/>
              <w:gridCol w:w="1010"/>
              <w:gridCol w:w="1103"/>
              <w:gridCol w:w="1065"/>
            </w:tblGrid>
            <w:tr w14:paraId="59C0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shd w:val="clear" w:color="auto" w:fill="auto"/>
                  <w:vAlign w:val="center"/>
                </w:tcPr>
                <w:p w14:paraId="7CE087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t>排气筒</w:t>
                  </w:r>
                </w:p>
              </w:tc>
              <w:tc>
                <w:tcPr>
                  <w:tcW w:w="501" w:type="pct"/>
                  <w:shd w:val="clear" w:color="auto" w:fill="auto"/>
                  <w:vAlign w:val="center"/>
                </w:tcPr>
                <w:p w14:paraId="102612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t>设备名称</w:t>
                  </w:r>
                </w:p>
              </w:tc>
              <w:tc>
                <w:tcPr>
                  <w:tcW w:w="267" w:type="pct"/>
                  <w:shd w:val="clear" w:color="auto" w:fill="auto"/>
                  <w:vAlign w:val="center"/>
                </w:tcPr>
                <w:p w14:paraId="0BE3CE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t>设别台/套</w:t>
                  </w:r>
                </w:p>
              </w:tc>
              <w:tc>
                <w:tcPr>
                  <w:tcW w:w="509" w:type="pct"/>
                  <w:shd w:val="clear" w:color="auto" w:fill="auto"/>
                  <w:vAlign w:val="center"/>
                </w:tcPr>
                <w:p w14:paraId="7EDCDD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t>长（m）</w:t>
                  </w:r>
                </w:p>
              </w:tc>
              <w:tc>
                <w:tcPr>
                  <w:tcW w:w="509" w:type="pct"/>
                  <w:shd w:val="clear" w:color="auto" w:fill="auto"/>
                  <w:vAlign w:val="center"/>
                </w:tcPr>
                <w:p w14:paraId="17733D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t>宽（m）</w:t>
                  </w:r>
                </w:p>
              </w:tc>
              <w:tc>
                <w:tcPr>
                  <w:tcW w:w="509" w:type="pct"/>
                  <w:shd w:val="clear" w:color="auto" w:fill="auto"/>
                  <w:vAlign w:val="center"/>
                </w:tcPr>
                <w:p w14:paraId="06B781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t>距离（m）</w:t>
                  </w:r>
                </w:p>
              </w:tc>
              <w:tc>
                <w:tcPr>
                  <w:tcW w:w="300" w:type="pct"/>
                  <w:shd w:val="clear" w:color="auto" w:fill="auto"/>
                  <w:vAlign w:val="center"/>
                </w:tcPr>
                <w:p w14:paraId="570B3D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t>安全系数</w:t>
                  </w:r>
                </w:p>
              </w:tc>
              <w:tc>
                <w:tcPr>
                  <w:tcW w:w="597" w:type="pct"/>
                  <w:shd w:val="clear" w:color="auto" w:fill="auto"/>
                  <w:vAlign w:val="center"/>
                </w:tcPr>
                <w:p w14:paraId="75BACD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t>V（m/s）</w:t>
                  </w:r>
                </w:p>
              </w:tc>
              <w:tc>
                <w:tcPr>
                  <w:tcW w:w="652" w:type="pct"/>
                  <w:shd w:val="clear" w:color="auto" w:fill="auto"/>
                  <w:vAlign w:val="center"/>
                </w:tcPr>
                <w:p w14:paraId="6C0D7C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t>计算风量m</w:t>
                  </w:r>
                  <w:r>
                    <w:rPr>
                      <w:rFonts w:hint="default" w:ascii="Times New Roman" w:hAnsi="Times New Roman" w:eastAsia="仿宋" w:cs="Times New Roman"/>
                      <w:b/>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t>/h</w:t>
                  </w:r>
                </w:p>
              </w:tc>
              <w:tc>
                <w:tcPr>
                  <w:tcW w:w="629" w:type="pct"/>
                  <w:shd w:val="clear" w:color="auto" w:fill="auto"/>
                  <w:vAlign w:val="center"/>
                </w:tcPr>
                <w:p w14:paraId="1917C6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t>风量合计m</w:t>
                  </w:r>
                  <w:r>
                    <w:rPr>
                      <w:rFonts w:hint="default" w:ascii="Times New Roman" w:hAnsi="Times New Roman" w:eastAsia="仿宋" w:cs="Times New Roman"/>
                      <w:b/>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仿宋" w:cs="Times New Roman"/>
                      <w:b/>
                      <w:bCs/>
                      <w:color w:val="000000" w:themeColor="text1"/>
                      <w:kern w:val="2"/>
                      <w:sz w:val="21"/>
                      <w:szCs w:val="21"/>
                      <w:highlight w:val="none"/>
                      <w:lang w:val="en-US" w:eastAsia="zh-CN" w:bidi="ar-SA"/>
                      <w14:textFill>
                        <w14:solidFill>
                          <w14:schemeClr w14:val="tx1"/>
                        </w14:solidFill>
                      </w14:textFill>
                    </w:rPr>
                    <w:t>/h</w:t>
                  </w:r>
                </w:p>
              </w:tc>
            </w:tr>
            <w:tr w14:paraId="3973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 w:type="pct"/>
                  <w:shd w:val="clear" w:color="auto" w:fill="auto"/>
                  <w:vAlign w:val="center"/>
                </w:tcPr>
                <w:p w14:paraId="53A1D1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t>DA001</w:t>
                  </w:r>
                </w:p>
              </w:tc>
              <w:tc>
                <w:tcPr>
                  <w:tcW w:w="501" w:type="pct"/>
                  <w:shd w:val="clear" w:color="auto" w:fill="auto"/>
                  <w:vAlign w:val="center"/>
                </w:tcPr>
                <w:p w14:paraId="3CFAE0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制粒</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机器</w:t>
                  </w:r>
                </w:p>
              </w:tc>
              <w:tc>
                <w:tcPr>
                  <w:tcW w:w="267" w:type="pct"/>
                  <w:shd w:val="clear" w:color="auto" w:fill="auto"/>
                  <w:vAlign w:val="center"/>
                </w:tcPr>
                <w:p w14:paraId="7367E0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t>4</w:t>
                  </w:r>
                </w:p>
              </w:tc>
              <w:tc>
                <w:tcPr>
                  <w:tcW w:w="509" w:type="pct"/>
                  <w:shd w:val="clear" w:color="auto" w:fill="auto"/>
                  <w:vAlign w:val="center"/>
                </w:tcPr>
                <w:p w14:paraId="64AFB3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 w:cs="Times New Roman"/>
                      <w:i w:val="0"/>
                      <w:iCs w:val="0"/>
                      <w:color w:val="000000" w:themeColor="text1"/>
                      <w:kern w:val="0"/>
                      <w:sz w:val="21"/>
                      <w:szCs w:val="21"/>
                      <w:highlight w:val="none"/>
                      <w:u w:val="none"/>
                      <w:lang w:val="en-US" w:eastAsia="zh-CN" w:bidi="ar"/>
                      <w14:textFill>
                        <w14:solidFill>
                          <w14:schemeClr w14:val="tx1"/>
                        </w14:solidFill>
                      </w14:textFill>
                    </w:rPr>
                    <w:t>2</w:t>
                  </w:r>
                </w:p>
              </w:tc>
              <w:tc>
                <w:tcPr>
                  <w:tcW w:w="509" w:type="pct"/>
                  <w:shd w:val="clear" w:color="auto" w:fill="auto"/>
                  <w:vAlign w:val="center"/>
                </w:tcPr>
                <w:p w14:paraId="253956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仿宋" w:cs="Times New Roman"/>
                      <w:i w:val="0"/>
                      <w:iCs w:val="0"/>
                      <w:color w:val="000000" w:themeColor="text1"/>
                      <w:kern w:val="0"/>
                      <w:sz w:val="21"/>
                      <w:szCs w:val="21"/>
                      <w:highlight w:val="none"/>
                      <w:u w:val="none"/>
                      <w:lang w:val="en-US" w:eastAsia="zh-CN" w:bidi="ar"/>
                      <w14:textFill>
                        <w14:solidFill>
                          <w14:schemeClr w14:val="tx1"/>
                        </w14:solidFill>
                      </w14:textFill>
                    </w:rPr>
                    <w:t>2.9</w:t>
                  </w:r>
                </w:p>
              </w:tc>
              <w:tc>
                <w:tcPr>
                  <w:tcW w:w="509" w:type="pct"/>
                  <w:shd w:val="clear" w:color="auto" w:fill="auto"/>
                  <w:vAlign w:val="center"/>
                </w:tcPr>
                <w:p w14:paraId="5BD389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 w:cs="Times New Roman"/>
                      <w:i w:val="0"/>
                      <w:iCs w:val="0"/>
                      <w:color w:val="000000" w:themeColor="text1"/>
                      <w:kern w:val="0"/>
                      <w:sz w:val="21"/>
                      <w:szCs w:val="21"/>
                      <w:highlight w:val="none"/>
                      <w:u w:val="none"/>
                      <w:lang w:val="en-US" w:eastAsia="zh-CN" w:bidi="ar"/>
                      <w14:textFill>
                        <w14:solidFill>
                          <w14:schemeClr w14:val="tx1"/>
                        </w14:solidFill>
                      </w14:textFill>
                    </w:rPr>
                    <w:t>0.4</w:t>
                  </w:r>
                </w:p>
              </w:tc>
              <w:tc>
                <w:tcPr>
                  <w:tcW w:w="300" w:type="pct"/>
                  <w:shd w:val="clear" w:color="auto" w:fill="auto"/>
                  <w:vAlign w:val="center"/>
                </w:tcPr>
                <w:p w14:paraId="71732E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 w:cs="Times New Roman"/>
                      <w:i w:val="0"/>
                      <w:iCs w:val="0"/>
                      <w:color w:val="000000" w:themeColor="text1"/>
                      <w:kern w:val="0"/>
                      <w:sz w:val="21"/>
                      <w:szCs w:val="21"/>
                      <w:highlight w:val="none"/>
                      <w:u w:val="none"/>
                      <w:lang w:val="en-US" w:eastAsia="zh-CN" w:bidi="ar"/>
                      <w14:textFill>
                        <w14:solidFill>
                          <w14:schemeClr w14:val="tx1"/>
                        </w14:solidFill>
                      </w14:textFill>
                    </w:rPr>
                    <w:t>1.4</w:t>
                  </w:r>
                </w:p>
              </w:tc>
              <w:tc>
                <w:tcPr>
                  <w:tcW w:w="597" w:type="pct"/>
                  <w:shd w:val="clear" w:color="auto" w:fill="auto"/>
                  <w:vAlign w:val="center"/>
                </w:tcPr>
                <w:p w14:paraId="358AC9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仿宋" w:cs="Times New Roman"/>
                      <w:i w:val="0"/>
                      <w:iCs w:val="0"/>
                      <w:color w:val="000000" w:themeColor="text1"/>
                      <w:kern w:val="0"/>
                      <w:sz w:val="21"/>
                      <w:szCs w:val="21"/>
                      <w:highlight w:val="none"/>
                      <w:u w:val="none"/>
                      <w:lang w:val="en-US" w:eastAsia="zh-CN" w:bidi="ar"/>
                      <w14:textFill>
                        <w14:solidFill>
                          <w14:schemeClr w14:val="tx1"/>
                        </w14:solidFill>
                      </w14:textFill>
                    </w:rPr>
                    <w:t>0.38</w:t>
                  </w:r>
                </w:p>
              </w:tc>
              <w:tc>
                <w:tcPr>
                  <w:tcW w:w="652" w:type="pct"/>
                  <w:shd w:val="clear" w:color="auto" w:fill="auto"/>
                  <w:vAlign w:val="center"/>
                </w:tcPr>
                <w:p w14:paraId="731158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仿宋" w:cs="Times New Roman"/>
                      <w:i w:val="0"/>
                      <w:iCs w:val="0"/>
                      <w:color w:val="000000" w:themeColor="text1"/>
                      <w:kern w:val="0"/>
                      <w:sz w:val="22"/>
                      <w:szCs w:val="22"/>
                      <w:highlight w:val="none"/>
                      <w:u w:val="none"/>
                      <w:lang w:val="en-US" w:eastAsia="zh-CN" w:bidi="ar"/>
                      <w14:textFill>
                        <w14:solidFill>
                          <w14:schemeClr w14:val="tx1"/>
                        </w14:solidFill>
                      </w14:textFill>
                    </w:rPr>
                    <w:t>3750</w:t>
                  </w:r>
                </w:p>
              </w:tc>
              <w:tc>
                <w:tcPr>
                  <w:tcW w:w="629" w:type="pct"/>
                  <w:shd w:val="clear" w:color="auto" w:fill="auto"/>
                  <w:vAlign w:val="center"/>
                </w:tcPr>
                <w:p w14:paraId="19DE78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lang w:val="en-US" w:eastAsia="zh-CN" w:bidi="ar-SA"/>
                      <w14:textFill>
                        <w14:solidFill>
                          <w14:schemeClr w14:val="tx1"/>
                        </w14:solidFill>
                      </w14:textFill>
                    </w:rPr>
                    <w:t>15000</w:t>
                  </w:r>
                </w:p>
              </w:tc>
            </w:tr>
          </w:tbl>
          <w:p w14:paraId="034D89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综上，本项目废气风机总风量</w:t>
            </w:r>
            <w:r>
              <w:rPr>
                <w:rFonts w:hint="eastAsia"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15</w:t>
            </w:r>
            <w:r>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000m</w:t>
            </w:r>
            <w:r>
              <w:rPr>
                <w:rFonts w:hint="default" w:ascii="Times New Roman" w:hAnsi="Times New Roman" w:eastAsia="仿宋"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/h。</w:t>
            </w:r>
          </w:p>
          <w:p w14:paraId="06A590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fldChar w:fldCharType="begin"/>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instrText xml:space="preserve"> = 2 \* GB3 \* MERGEFORMAT </w:instrTex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fldChar w:fldCharType="separate"/>
            </w:r>
            <w:r>
              <w:rPr>
                <w:rFonts w:hint="default" w:ascii="Times New Roman" w:hAnsi="Times New Roman" w:eastAsia="仿宋" w:cs="Times New Roman"/>
                <w:color w:val="000000" w:themeColor="text1"/>
                <w:highlight w:val="none"/>
                <w:u w:val="none"/>
                <w14:textFill>
                  <w14:solidFill>
                    <w14:schemeClr w14:val="tx1"/>
                  </w14:solidFill>
                </w14:textFill>
              </w:rPr>
              <w:t>②</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fldChar w:fldCharType="end"/>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制粒工序粉尘：本项目生产工艺制粒过程中的颗粒物参照《排放源统计调查产排污核算方法和系数手册》（2021年版）“2542生物质致密成型燃料加工行业系数手册”，剪切、破碎、筛分、造粒工序颗粒物产污系数为6.69×10</w:t>
            </w:r>
            <w:r>
              <w:rPr>
                <w:rFonts w:hint="default" w:ascii="Times New Roman" w:hAnsi="Times New Roman" w:eastAsia="仿宋" w:cs="Times New Roman"/>
                <w:color w:val="000000" w:themeColor="text1"/>
                <w:sz w:val="24"/>
                <w:szCs w:val="32"/>
                <w:highlight w:val="none"/>
                <w:u w:val="none"/>
                <w:vertAlign w:val="superscript"/>
                <w:lang w:val="en-US" w:eastAsia="zh-CN"/>
                <w14:textFill>
                  <w14:solidFill>
                    <w14:schemeClr w14:val="tx1"/>
                  </w14:solidFill>
                </w14:textFill>
              </w:rPr>
              <w:t>-4</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吨/吨-产品，本项目产品量为</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216</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00t/a，则粉尘产生量约</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14.45</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t/a。</w:t>
            </w:r>
          </w:p>
          <w:p w14:paraId="4FB8A9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本项目制粒工序产生的</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粉尘采取集气罩</w:t>
            </w:r>
            <w:r>
              <w:rPr>
                <w:rFonts w:hint="eastAsia" w:eastAsia="仿宋" w:cs="Times New Roman"/>
                <w:color w:val="000000" w:themeColor="text1"/>
                <w:sz w:val="24"/>
                <w:szCs w:val="32"/>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kern w:val="2"/>
                <w:sz w:val="24"/>
                <w:szCs w:val="24"/>
                <w:highlight w:val="none"/>
                <w:lang w:val="en-US" w:eastAsia="zh-CN" w:bidi="ar-SA"/>
                <w14:textFill>
                  <w14:solidFill>
                    <w14:schemeClr w14:val="tx1"/>
                  </w14:solidFill>
                </w14:textFill>
              </w:rPr>
              <w:t>2m×1.8m的集气罩、收集效率95%</w:t>
            </w:r>
            <w:r>
              <w:rPr>
                <w:rFonts w:hint="eastAsia" w:eastAsia="仿宋" w:cs="Times New Roman"/>
                <w:color w:val="000000" w:themeColor="text1"/>
                <w:sz w:val="24"/>
                <w:szCs w:val="32"/>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进行收集</w:t>
            </w:r>
            <w:r>
              <w:rPr>
                <w:rFonts w:hint="default" w:ascii="Times New Roman" w:hAnsi="Times New Roman" w:eastAsia="仿宋" w:cs="Times New Roman"/>
                <w:color w:val="000000" w:themeColor="text1"/>
                <w:sz w:val="24"/>
                <w:szCs w:val="32"/>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收集效率为</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95</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%，收集后经布袋</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除尘器</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处理后经</w:t>
            </w:r>
            <w:r>
              <w:rPr>
                <w:rFonts w:hint="eastAsia" w:eastAsia="仿宋" w:cs="Times New Roman"/>
                <w:color w:val="000000" w:themeColor="text1"/>
                <w:sz w:val="24"/>
                <w:szCs w:val="32"/>
                <w:highlight w:val="none"/>
                <w:u w:val="none"/>
                <w:lang w:eastAsia="zh-CN"/>
                <w14:textFill>
                  <w14:solidFill>
                    <w14:schemeClr w14:val="tx1"/>
                  </w14:solidFill>
                </w14:textFill>
              </w:rPr>
              <w:t>16m</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高排气筒（DA001）排放，根据《排放源统计调查产排污核算方法和系数手册》（2021年版）“2542生物质致密成型燃料加工行业系数手册”，</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布袋除尘器</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以</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92</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%计算</w:t>
            </w:r>
            <w:r>
              <w:rPr>
                <w:rFonts w:hint="default" w:ascii="Times New Roman" w:hAnsi="Times New Roman" w:eastAsia="仿宋" w:cs="Times New Roman"/>
                <w:color w:val="000000" w:themeColor="text1"/>
                <w:sz w:val="24"/>
                <w:szCs w:val="32"/>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则有组织粉尘量为</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13.73</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t/a</w:t>
            </w:r>
            <w:r>
              <w:rPr>
                <w:rFonts w:hint="default" w:ascii="Times New Roman" w:hAnsi="Times New Roman" w:eastAsia="仿宋" w:cs="Times New Roman"/>
                <w:color w:val="000000" w:themeColor="text1"/>
                <w:sz w:val="24"/>
                <w:szCs w:val="32"/>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风机风量为</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15</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000</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m</w:t>
            </w:r>
            <w:r>
              <w:rPr>
                <w:rFonts w:hint="default" w:ascii="Times New Roman" w:hAnsi="Times New Roman" w:eastAsia="仿宋" w:cs="Times New Roman"/>
                <w:color w:val="000000" w:themeColor="text1"/>
                <w:sz w:val="24"/>
                <w:szCs w:val="32"/>
                <w:highlight w:val="none"/>
                <w:u w:val="none"/>
                <w:vertAlign w:val="superscript"/>
                <w14:textFill>
                  <w14:solidFill>
                    <w14:schemeClr w14:val="tx1"/>
                  </w14:solidFill>
                </w14:textFill>
              </w:rPr>
              <w:t>3</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/h</w:t>
            </w:r>
            <w:r>
              <w:rPr>
                <w:rFonts w:hint="default" w:ascii="Times New Roman" w:hAnsi="Times New Roman" w:eastAsia="仿宋" w:cs="Times New Roman"/>
                <w:color w:val="000000" w:themeColor="text1"/>
                <w:sz w:val="24"/>
                <w:szCs w:val="32"/>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则经</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处理后</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有组织粉尘排放量为</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1.1</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t/a（</w:t>
            </w:r>
            <w:r>
              <w:rPr>
                <w:rFonts w:hint="eastAsia" w:eastAsia="仿宋" w:cs="Times New Roman"/>
                <w:color w:val="000000" w:themeColor="text1"/>
                <w:sz w:val="24"/>
                <w:szCs w:val="32"/>
                <w:highlight w:val="none"/>
                <w:u w:val="none"/>
                <w:lang w:val="en-US" w:eastAsia="zh-CN"/>
                <w14:textFill>
                  <w14:solidFill>
                    <w14:schemeClr w14:val="tx1"/>
                  </w14:solidFill>
                </w14:textFill>
              </w:rPr>
              <w:t>1.375</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kg/h），排放浓度为</w:t>
            </w:r>
            <w:r>
              <w:rPr>
                <w:rFonts w:hint="eastAsia" w:eastAsia="仿宋" w:cs="Times New Roman"/>
                <w:color w:val="000000" w:themeColor="text1"/>
                <w:sz w:val="24"/>
                <w:szCs w:val="32"/>
                <w:highlight w:val="none"/>
                <w:u w:val="none"/>
                <w:lang w:val="en-US" w:eastAsia="zh-CN"/>
                <w14:textFill>
                  <w14:solidFill>
                    <w14:schemeClr w14:val="tx1"/>
                  </w14:solidFill>
                </w14:textFill>
              </w:rPr>
              <w:t>91.67</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mg/m</w:t>
            </w:r>
            <w:r>
              <w:rPr>
                <w:rFonts w:hint="default" w:ascii="Times New Roman" w:hAnsi="Times New Roman" w:eastAsia="仿宋" w:cs="Times New Roman"/>
                <w:color w:val="000000" w:themeColor="text1"/>
                <w:sz w:val="24"/>
                <w:szCs w:val="32"/>
                <w:highlight w:val="none"/>
                <w:u w:val="none"/>
                <w:vertAlign w:val="superscript"/>
                <w14:textFill>
                  <w14:solidFill>
                    <w14:schemeClr w14:val="tx1"/>
                  </w14:solidFill>
                </w14:textFill>
              </w:rPr>
              <w:t>3</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；未收集的粉尘量为</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0.72</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t/a（</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0.</w:t>
            </w:r>
            <w:r>
              <w:rPr>
                <w:rFonts w:hint="eastAsia" w:eastAsia="仿宋" w:cs="Times New Roman"/>
                <w:color w:val="000000" w:themeColor="text1"/>
                <w:sz w:val="24"/>
                <w:szCs w:val="32"/>
                <w:highlight w:val="none"/>
                <w:u w:val="none"/>
                <w:lang w:val="en-US" w:eastAsia="zh-CN"/>
                <w14:textFill>
                  <w14:solidFill>
                    <w14:schemeClr w14:val="tx1"/>
                  </w14:solidFill>
                </w14:textFill>
              </w:rPr>
              <w:t>9</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kg/h），呈无组织形式排放</w:t>
            </w:r>
            <w:r>
              <w:rPr>
                <w:rFonts w:hint="default" w:ascii="Times New Roman" w:hAnsi="Times New Roman" w:eastAsia="仿宋" w:cs="Times New Roman"/>
                <w:color w:val="000000" w:themeColor="text1"/>
                <w:sz w:val="24"/>
                <w:szCs w:val="32"/>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大部分颗粒物沉降在车间内</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w:t>
            </w:r>
          </w:p>
          <w:p w14:paraId="00040F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环评要求企业场地建成封闭结构厂房，制粒工序间物料运输采用封闭式的输送带输送转运，可控制无组织粉尘的排放量，控制效率约80%，则排入外环境的粉尘排放量为0.</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144</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t/a。</w:t>
            </w:r>
          </w:p>
          <w:p w14:paraId="40D5F7D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③装卸、转移粉尘</w:t>
            </w:r>
          </w:p>
          <w:p w14:paraId="0FA586B6">
            <w:pPr>
              <w:spacing w:line="360" w:lineRule="auto"/>
              <w:ind w:firstLine="480" w:firstLineChars="200"/>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项目原料暂存于原料仓库内。在原料卸料、运输和转移的过程中，粉尘会有少量进入大气环境。根据《逸散性工业粉尘控制技术》粒料装卸、储存和输送、转运、投料无控制的排放因子按0.01kg/t计算，本项目原料使用量为</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21602</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t，故在装卸、运输、转移过程中将产生0.</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22</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t/a的粉尘，环评要求为确保原料转移过程中无可见粉尘外逸，严禁物料超出铲斗箱板，大风天气停止原料铲运至破碎车间或采取铲斗加盖篷布措施防治粉尘外逸，同时对转移路线、车间内落地粉尘定期进行打扫清理，保持地面清洁。企业场地建成封闭结构厂房，可控制无组织粉尘的排放量，控制效率约80%，则排入外环境的粉尘排放量为0.0</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43</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t/a。</w:t>
            </w:r>
          </w:p>
          <w:p w14:paraId="0266B0EF">
            <w:pPr>
              <w:spacing w:line="360" w:lineRule="auto"/>
              <w:ind w:firstLine="480" w:firstLineChars="200"/>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④</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原料堆存异味</w:t>
            </w:r>
          </w:p>
          <w:p w14:paraId="289549B6">
            <w:pPr>
              <w:spacing w:line="360" w:lineRule="auto"/>
              <w:ind w:firstLine="480" w:firstLineChars="200"/>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本项目原料为</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周边区域废弃</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稻壳，</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含水率10%</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；周转仓有效容积300m</w:t>
            </w:r>
            <w:r>
              <w:rPr>
                <w:rFonts w:hint="eastAsia" w:ascii="Times New Roman" w:hAnsi="Times New Roman" w:eastAsia="仿宋" w:cs="Times New Roman"/>
                <w:color w:val="000000" w:themeColor="text1"/>
                <w:sz w:val="24"/>
                <w:szCs w:val="32"/>
                <w:highlight w:val="none"/>
                <w:u w:val="none"/>
                <w:vertAlign w:val="superscript"/>
                <w:lang w:val="en-US" w:eastAsia="zh-CN"/>
                <w14:textFill>
                  <w14:solidFill>
                    <w14:schemeClr w14:val="tx1"/>
                  </w14:solidFill>
                </w14:textFill>
              </w:rPr>
              <w:t>3</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，最大暂存量为225t，</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用于原料</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周转。周转量为216t/d，存放时间较短，一般不会产生异味，故不进行源强分析核算。</w:t>
            </w:r>
          </w:p>
          <w:p w14:paraId="09783045">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项目生产工序粉尘产排情况详见表4-</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2</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、表4-</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3</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w:t>
            </w:r>
          </w:p>
          <w:p w14:paraId="203AD16B">
            <w:pPr>
              <w:spacing w:line="360" w:lineRule="auto"/>
              <w:jc w:val="center"/>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pPr>
          </w:p>
          <w:p w14:paraId="024BD3CE">
            <w:pPr>
              <w:spacing w:line="360" w:lineRule="auto"/>
              <w:jc w:val="center"/>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pPr>
          </w:p>
          <w:p w14:paraId="162AF9A4">
            <w:pPr>
              <w:spacing w:line="360" w:lineRule="auto"/>
              <w:jc w:val="center"/>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pPr>
          </w:p>
          <w:p w14:paraId="31750347">
            <w:pPr>
              <w:spacing w:line="360" w:lineRule="auto"/>
              <w:jc w:val="center"/>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pPr>
          </w:p>
          <w:p w14:paraId="65B72A85">
            <w:pPr>
              <w:spacing w:line="360" w:lineRule="auto"/>
              <w:jc w:val="center"/>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pPr>
          </w:p>
          <w:p w14:paraId="39211387">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表4-2本项目生产废气源强核算结果及相关参数一览表（有组织）</w:t>
            </w:r>
          </w:p>
          <w:tbl>
            <w:tblPr>
              <w:tblStyle w:val="2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451"/>
              <w:gridCol w:w="429"/>
              <w:gridCol w:w="471"/>
              <w:gridCol w:w="613"/>
              <w:gridCol w:w="551"/>
              <w:gridCol w:w="689"/>
              <w:gridCol w:w="625"/>
              <w:gridCol w:w="842"/>
              <w:gridCol w:w="578"/>
              <w:gridCol w:w="496"/>
              <w:gridCol w:w="562"/>
              <w:gridCol w:w="580"/>
              <w:gridCol w:w="550"/>
              <w:gridCol w:w="536"/>
            </w:tblGrid>
            <w:tr w14:paraId="72F468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94" w:type="pct"/>
                  <w:vMerge w:val="restart"/>
                  <w:tcBorders>
                    <w:tl2br w:val="nil"/>
                    <w:tr2bl w:val="nil"/>
                  </w:tcBorders>
                  <w:noWrap w:val="0"/>
                  <w:vAlign w:val="center"/>
                </w:tcPr>
                <w:p w14:paraId="35A2411D">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t>污染源</w:t>
                  </w:r>
                </w:p>
              </w:tc>
              <w:tc>
                <w:tcPr>
                  <w:tcW w:w="269" w:type="pct"/>
                  <w:vMerge w:val="restart"/>
                  <w:tcBorders>
                    <w:tl2br w:val="nil"/>
                    <w:tr2bl w:val="nil"/>
                  </w:tcBorders>
                  <w:noWrap w:val="0"/>
                  <w:vAlign w:val="center"/>
                </w:tcPr>
                <w:p w14:paraId="52C8B285">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t>工序</w:t>
                  </w:r>
                </w:p>
              </w:tc>
              <w:tc>
                <w:tcPr>
                  <w:tcW w:w="256" w:type="pct"/>
                  <w:vMerge w:val="restart"/>
                  <w:tcBorders>
                    <w:tl2br w:val="nil"/>
                    <w:tr2bl w:val="nil"/>
                  </w:tcBorders>
                  <w:noWrap w:val="0"/>
                  <w:vAlign w:val="center"/>
                </w:tcPr>
                <w:p w14:paraId="7FD1A71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t>污染物</w:t>
                  </w:r>
                </w:p>
              </w:tc>
              <w:tc>
                <w:tcPr>
                  <w:tcW w:w="1713" w:type="pct"/>
                  <w:gridSpan w:val="5"/>
                  <w:tcBorders>
                    <w:tl2br w:val="nil"/>
                    <w:tr2bl w:val="nil"/>
                  </w:tcBorders>
                  <w:noWrap w:val="0"/>
                  <w:vAlign w:val="center"/>
                </w:tcPr>
                <w:p w14:paraId="6078DF3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t>污染物产生</w:t>
                  </w:r>
                </w:p>
              </w:tc>
              <w:tc>
                <w:tcPr>
                  <w:tcW w:w="844" w:type="pct"/>
                  <w:gridSpan w:val="2"/>
                  <w:tcBorders>
                    <w:tl2br w:val="nil"/>
                    <w:tr2bl w:val="nil"/>
                  </w:tcBorders>
                  <w:noWrap w:val="0"/>
                  <w:vAlign w:val="center"/>
                </w:tcPr>
                <w:p w14:paraId="4A43101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t>治理措施</w:t>
                  </w:r>
                </w:p>
              </w:tc>
              <w:tc>
                <w:tcPr>
                  <w:tcW w:w="1621" w:type="pct"/>
                  <w:gridSpan w:val="5"/>
                  <w:tcBorders>
                    <w:tl2br w:val="nil"/>
                    <w:tr2bl w:val="nil"/>
                  </w:tcBorders>
                  <w:noWrap w:val="0"/>
                  <w:vAlign w:val="center"/>
                </w:tcPr>
                <w:p w14:paraId="4D7E0B68">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t>污染物排放</w:t>
                  </w:r>
                </w:p>
              </w:tc>
            </w:tr>
            <w:tr w14:paraId="3B98D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4" w:type="pct"/>
                  <w:vMerge w:val="continue"/>
                  <w:tcBorders>
                    <w:tl2br w:val="nil"/>
                    <w:tr2bl w:val="nil"/>
                  </w:tcBorders>
                  <w:noWrap w:val="0"/>
                  <w:vAlign w:val="center"/>
                </w:tcPr>
                <w:p w14:paraId="0ECDAB4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14:textFill>
                        <w14:solidFill>
                          <w14:schemeClr w14:val="tx1"/>
                        </w14:solidFill>
                      </w14:textFill>
                    </w:rPr>
                  </w:pPr>
                </w:p>
              </w:tc>
              <w:tc>
                <w:tcPr>
                  <w:tcW w:w="269" w:type="pct"/>
                  <w:vMerge w:val="continue"/>
                  <w:tcBorders>
                    <w:tl2br w:val="nil"/>
                    <w:tr2bl w:val="nil"/>
                  </w:tcBorders>
                  <w:noWrap w:val="0"/>
                  <w:vAlign w:val="center"/>
                </w:tcPr>
                <w:p w14:paraId="6446DCF8">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14:textFill>
                        <w14:solidFill>
                          <w14:schemeClr w14:val="tx1"/>
                        </w14:solidFill>
                      </w14:textFill>
                    </w:rPr>
                  </w:pPr>
                </w:p>
              </w:tc>
              <w:tc>
                <w:tcPr>
                  <w:tcW w:w="256" w:type="pct"/>
                  <w:vMerge w:val="continue"/>
                  <w:tcBorders>
                    <w:tl2br w:val="nil"/>
                    <w:tr2bl w:val="nil"/>
                  </w:tcBorders>
                  <w:noWrap w:val="0"/>
                  <w:vAlign w:val="center"/>
                </w:tcPr>
                <w:p w14:paraId="04A302A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14:textFill>
                        <w14:solidFill>
                          <w14:schemeClr w14:val="tx1"/>
                        </w14:solidFill>
                      </w14:textFill>
                    </w:rPr>
                  </w:pPr>
                </w:p>
              </w:tc>
              <w:tc>
                <w:tcPr>
                  <w:tcW w:w="281" w:type="pct"/>
                  <w:tcBorders>
                    <w:tl2br w:val="nil"/>
                    <w:tr2bl w:val="nil"/>
                  </w:tcBorders>
                  <w:noWrap w:val="0"/>
                  <w:vAlign w:val="center"/>
                </w:tcPr>
                <w:p w14:paraId="1E9819E5">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t>核算方法</w:t>
                  </w:r>
                </w:p>
              </w:tc>
              <w:tc>
                <w:tcPr>
                  <w:tcW w:w="365" w:type="pct"/>
                  <w:tcBorders>
                    <w:tl2br w:val="nil"/>
                    <w:tr2bl w:val="nil"/>
                  </w:tcBorders>
                  <w:noWrap w:val="0"/>
                  <w:vAlign w:val="center"/>
                </w:tcPr>
                <w:p w14:paraId="5103EB3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t>产生废气量</w:t>
                  </w:r>
                  <w:r>
                    <w:rPr>
                      <w:rFonts w:hint="default" w:ascii="Times New Roman" w:hAnsi="Times New Roman" w:eastAsia="仿宋" w:cs="Times New Roman"/>
                      <w:b/>
                      <w:bCs/>
                      <w:color w:val="000000" w:themeColor="text1"/>
                      <w:sz w:val="18"/>
                      <w:szCs w:val="18"/>
                      <w:highlight w:val="none"/>
                      <w:u w:val="none"/>
                      <w14:textFill>
                        <w14:solidFill>
                          <w14:schemeClr w14:val="tx1"/>
                        </w14:solidFill>
                      </w14:textFill>
                    </w:rPr>
                    <w:t>m</w:t>
                  </w:r>
                  <w:r>
                    <w:rPr>
                      <w:rFonts w:hint="default" w:ascii="Times New Roman" w:hAnsi="Times New Roman" w:eastAsia="仿宋" w:cs="Times New Roman"/>
                      <w:b/>
                      <w:bCs/>
                      <w:color w:val="000000" w:themeColor="text1"/>
                      <w:sz w:val="18"/>
                      <w:szCs w:val="18"/>
                      <w:highlight w:val="none"/>
                      <w:u w:val="none"/>
                      <w:vertAlign w:val="superscript"/>
                      <w14:textFill>
                        <w14:solidFill>
                          <w14:schemeClr w14:val="tx1"/>
                        </w14:solidFill>
                      </w14:textFill>
                    </w:rPr>
                    <w:t>3</w:t>
                  </w:r>
                  <w:r>
                    <w:rPr>
                      <w:rFonts w:hint="default" w:ascii="Times New Roman" w:hAnsi="Times New Roman" w:eastAsia="仿宋" w:cs="Times New Roman"/>
                      <w:b/>
                      <w:bCs/>
                      <w:color w:val="000000" w:themeColor="text1"/>
                      <w:sz w:val="18"/>
                      <w:szCs w:val="18"/>
                      <w:highlight w:val="none"/>
                      <w:u w:val="none"/>
                      <w14:textFill>
                        <w14:solidFill>
                          <w14:schemeClr w14:val="tx1"/>
                        </w14:solidFill>
                      </w14:textFill>
                    </w:rPr>
                    <w:t>/h</w:t>
                  </w:r>
                </w:p>
              </w:tc>
              <w:tc>
                <w:tcPr>
                  <w:tcW w:w="328" w:type="pct"/>
                  <w:tcBorders>
                    <w:tl2br w:val="nil"/>
                    <w:tr2bl w:val="nil"/>
                  </w:tcBorders>
                  <w:noWrap w:val="0"/>
                  <w:vAlign w:val="center"/>
                </w:tcPr>
                <w:p w14:paraId="1DAD928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t>产生浓度</w:t>
                  </w:r>
                  <w:r>
                    <w:rPr>
                      <w:rFonts w:hint="default" w:ascii="Times New Roman" w:hAnsi="Times New Roman" w:eastAsia="仿宋" w:cs="Times New Roman"/>
                      <w:b/>
                      <w:bCs/>
                      <w:color w:val="000000" w:themeColor="text1"/>
                      <w:sz w:val="18"/>
                      <w:szCs w:val="18"/>
                      <w:highlight w:val="none"/>
                      <w:u w:val="none"/>
                      <w14:textFill>
                        <w14:solidFill>
                          <w14:schemeClr w14:val="tx1"/>
                        </w14:solidFill>
                      </w14:textFill>
                    </w:rPr>
                    <w:t>mg/m</w:t>
                  </w:r>
                  <w:r>
                    <w:rPr>
                      <w:rFonts w:hint="default" w:ascii="Times New Roman" w:hAnsi="Times New Roman" w:eastAsia="仿宋" w:cs="Times New Roman"/>
                      <w:b/>
                      <w:bCs/>
                      <w:color w:val="000000" w:themeColor="text1"/>
                      <w:sz w:val="18"/>
                      <w:szCs w:val="18"/>
                      <w:highlight w:val="none"/>
                      <w:u w:val="none"/>
                      <w:vertAlign w:val="superscript"/>
                      <w14:textFill>
                        <w14:solidFill>
                          <w14:schemeClr w14:val="tx1"/>
                        </w14:solidFill>
                      </w14:textFill>
                    </w:rPr>
                    <w:t>3</w:t>
                  </w:r>
                </w:p>
              </w:tc>
              <w:tc>
                <w:tcPr>
                  <w:tcW w:w="367" w:type="pct"/>
                  <w:tcBorders>
                    <w:tl2br w:val="nil"/>
                    <w:tr2bl w:val="nil"/>
                  </w:tcBorders>
                  <w:noWrap w:val="0"/>
                  <w:vAlign w:val="center"/>
                </w:tcPr>
                <w:p w14:paraId="3758F96C">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t>产生速率</w:t>
                  </w:r>
                  <w:r>
                    <w:rPr>
                      <w:rFonts w:hint="default" w:ascii="Times New Roman" w:hAnsi="Times New Roman" w:eastAsia="仿宋" w:cs="Times New Roman"/>
                      <w:b/>
                      <w:bCs/>
                      <w:color w:val="000000" w:themeColor="text1"/>
                      <w:sz w:val="18"/>
                      <w:szCs w:val="18"/>
                      <w:highlight w:val="none"/>
                      <w:u w:val="none"/>
                      <w14:textFill>
                        <w14:solidFill>
                          <w14:schemeClr w14:val="tx1"/>
                        </w14:solidFill>
                      </w14:textFill>
                    </w:rPr>
                    <w:t>kg/h</w:t>
                  </w:r>
                </w:p>
              </w:tc>
              <w:tc>
                <w:tcPr>
                  <w:tcW w:w="369" w:type="pct"/>
                  <w:tcBorders>
                    <w:tl2br w:val="nil"/>
                    <w:tr2bl w:val="nil"/>
                  </w:tcBorders>
                  <w:noWrap w:val="0"/>
                  <w:vAlign w:val="center"/>
                </w:tcPr>
                <w:p w14:paraId="20B4D4EC">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t>产生量t/a</w:t>
                  </w:r>
                </w:p>
              </w:tc>
              <w:tc>
                <w:tcPr>
                  <w:tcW w:w="500" w:type="pct"/>
                  <w:tcBorders>
                    <w:tl2br w:val="nil"/>
                    <w:tr2bl w:val="nil"/>
                  </w:tcBorders>
                  <w:noWrap w:val="0"/>
                  <w:vAlign w:val="center"/>
                </w:tcPr>
                <w:p w14:paraId="2EAE6BE4">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t>处理工艺</w:t>
                  </w:r>
                </w:p>
              </w:tc>
              <w:tc>
                <w:tcPr>
                  <w:tcW w:w="343" w:type="pct"/>
                  <w:tcBorders>
                    <w:tl2br w:val="nil"/>
                    <w:tr2bl w:val="nil"/>
                  </w:tcBorders>
                  <w:noWrap w:val="0"/>
                  <w:vAlign w:val="center"/>
                </w:tcPr>
                <w:p w14:paraId="6AF5F33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t>效率%</w:t>
                  </w:r>
                </w:p>
              </w:tc>
              <w:tc>
                <w:tcPr>
                  <w:tcW w:w="296" w:type="pct"/>
                  <w:tcBorders>
                    <w:tl2br w:val="nil"/>
                    <w:tr2bl w:val="nil"/>
                  </w:tcBorders>
                  <w:noWrap w:val="0"/>
                  <w:vAlign w:val="center"/>
                </w:tcPr>
                <w:p w14:paraId="6ABB20AA">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t>核算方法</w:t>
                  </w:r>
                </w:p>
              </w:tc>
              <w:tc>
                <w:tcPr>
                  <w:tcW w:w="334" w:type="pct"/>
                  <w:tcBorders>
                    <w:tl2br w:val="nil"/>
                    <w:tr2bl w:val="nil"/>
                  </w:tcBorders>
                  <w:noWrap w:val="0"/>
                  <w:vAlign w:val="center"/>
                </w:tcPr>
                <w:p w14:paraId="16563CA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t>排放废气量</w:t>
                  </w:r>
                  <w:r>
                    <w:rPr>
                      <w:rFonts w:hint="default" w:ascii="Times New Roman" w:hAnsi="Times New Roman" w:eastAsia="仿宋" w:cs="Times New Roman"/>
                      <w:b/>
                      <w:bCs/>
                      <w:color w:val="000000" w:themeColor="text1"/>
                      <w:sz w:val="18"/>
                      <w:szCs w:val="18"/>
                      <w:highlight w:val="none"/>
                      <w:u w:val="none"/>
                      <w14:textFill>
                        <w14:solidFill>
                          <w14:schemeClr w14:val="tx1"/>
                        </w14:solidFill>
                      </w14:textFill>
                    </w:rPr>
                    <w:t>m</w:t>
                  </w:r>
                  <w:r>
                    <w:rPr>
                      <w:rFonts w:hint="default" w:ascii="Times New Roman" w:hAnsi="Times New Roman" w:eastAsia="仿宋" w:cs="Times New Roman"/>
                      <w:b/>
                      <w:bCs/>
                      <w:color w:val="000000" w:themeColor="text1"/>
                      <w:sz w:val="18"/>
                      <w:szCs w:val="18"/>
                      <w:highlight w:val="none"/>
                      <w:u w:val="none"/>
                      <w:vertAlign w:val="superscript"/>
                      <w14:textFill>
                        <w14:solidFill>
                          <w14:schemeClr w14:val="tx1"/>
                        </w14:solidFill>
                      </w14:textFill>
                    </w:rPr>
                    <w:t>3</w:t>
                  </w:r>
                  <w:r>
                    <w:rPr>
                      <w:rFonts w:hint="default" w:ascii="Times New Roman" w:hAnsi="Times New Roman" w:eastAsia="仿宋" w:cs="Times New Roman"/>
                      <w:b/>
                      <w:bCs/>
                      <w:color w:val="000000" w:themeColor="text1"/>
                      <w:sz w:val="18"/>
                      <w:szCs w:val="18"/>
                      <w:highlight w:val="none"/>
                      <w:u w:val="none"/>
                      <w14:textFill>
                        <w14:solidFill>
                          <w14:schemeClr w14:val="tx1"/>
                        </w14:solidFill>
                      </w14:textFill>
                    </w:rPr>
                    <w:t>/h</w:t>
                  </w:r>
                </w:p>
              </w:tc>
              <w:tc>
                <w:tcPr>
                  <w:tcW w:w="345" w:type="pct"/>
                  <w:tcBorders>
                    <w:tl2br w:val="nil"/>
                    <w:tr2bl w:val="nil"/>
                  </w:tcBorders>
                  <w:noWrap w:val="0"/>
                  <w:vAlign w:val="center"/>
                </w:tcPr>
                <w:p w14:paraId="68BA4F7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t>排放浓度</w:t>
                  </w:r>
                  <w:r>
                    <w:rPr>
                      <w:rFonts w:hint="default" w:ascii="Times New Roman" w:hAnsi="Times New Roman" w:eastAsia="仿宋" w:cs="Times New Roman"/>
                      <w:b/>
                      <w:bCs/>
                      <w:color w:val="000000" w:themeColor="text1"/>
                      <w:sz w:val="18"/>
                      <w:szCs w:val="18"/>
                      <w:highlight w:val="none"/>
                      <w:u w:val="none"/>
                      <w14:textFill>
                        <w14:solidFill>
                          <w14:schemeClr w14:val="tx1"/>
                        </w14:solidFill>
                      </w14:textFill>
                    </w:rPr>
                    <w:t>mg/m</w:t>
                  </w:r>
                  <w:r>
                    <w:rPr>
                      <w:rFonts w:hint="default" w:ascii="Times New Roman" w:hAnsi="Times New Roman" w:eastAsia="仿宋" w:cs="Times New Roman"/>
                      <w:b/>
                      <w:bCs/>
                      <w:color w:val="000000" w:themeColor="text1"/>
                      <w:sz w:val="18"/>
                      <w:szCs w:val="18"/>
                      <w:highlight w:val="none"/>
                      <w:u w:val="none"/>
                      <w:vertAlign w:val="superscript"/>
                      <w14:textFill>
                        <w14:solidFill>
                          <w14:schemeClr w14:val="tx1"/>
                        </w14:solidFill>
                      </w14:textFill>
                    </w:rPr>
                    <w:t>3</w:t>
                  </w:r>
                </w:p>
              </w:tc>
              <w:tc>
                <w:tcPr>
                  <w:tcW w:w="327" w:type="pct"/>
                  <w:tcBorders>
                    <w:tl2br w:val="nil"/>
                    <w:tr2bl w:val="nil"/>
                  </w:tcBorders>
                  <w:noWrap w:val="0"/>
                  <w:vAlign w:val="center"/>
                </w:tcPr>
                <w:p w14:paraId="108CD5B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t>排放速率</w:t>
                  </w:r>
                  <w:r>
                    <w:rPr>
                      <w:rFonts w:hint="default" w:ascii="Times New Roman" w:hAnsi="Times New Roman" w:eastAsia="仿宋" w:cs="Times New Roman"/>
                      <w:b/>
                      <w:bCs/>
                      <w:color w:val="000000" w:themeColor="text1"/>
                      <w:sz w:val="18"/>
                      <w:szCs w:val="18"/>
                      <w:highlight w:val="none"/>
                      <w:u w:val="none"/>
                      <w14:textFill>
                        <w14:solidFill>
                          <w14:schemeClr w14:val="tx1"/>
                        </w14:solidFill>
                      </w14:textFill>
                    </w:rPr>
                    <w:t>kg/h</w:t>
                  </w:r>
                </w:p>
              </w:tc>
              <w:tc>
                <w:tcPr>
                  <w:tcW w:w="317" w:type="pct"/>
                  <w:tcBorders>
                    <w:tl2br w:val="nil"/>
                    <w:tr2bl w:val="nil"/>
                  </w:tcBorders>
                  <w:noWrap w:val="0"/>
                  <w:vAlign w:val="center"/>
                </w:tcPr>
                <w:p w14:paraId="7B42F47D">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lang w:val="en-US" w:eastAsia="zh-CN"/>
                      <w14:textFill>
                        <w14:solidFill>
                          <w14:schemeClr w14:val="tx1"/>
                        </w14:solidFill>
                      </w14:textFill>
                    </w:rPr>
                    <w:t>排放量t/a</w:t>
                  </w:r>
                </w:p>
              </w:tc>
            </w:tr>
            <w:tr w14:paraId="01C95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94" w:type="pct"/>
                  <w:tcBorders>
                    <w:tl2br w:val="nil"/>
                    <w:tr2bl w:val="nil"/>
                  </w:tcBorders>
                  <w:noWrap w:val="0"/>
                  <w:vAlign w:val="center"/>
                </w:tcPr>
                <w:p w14:paraId="40A24CD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车间</w:t>
                  </w:r>
                </w:p>
              </w:tc>
              <w:tc>
                <w:tcPr>
                  <w:tcW w:w="269" w:type="pct"/>
                  <w:tcBorders>
                    <w:tl2br w:val="nil"/>
                    <w:tr2bl w:val="nil"/>
                  </w:tcBorders>
                  <w:noWrap w:val="0"/>
                  <w:vAlign w:val="center"/>
                </w:tcPr>
                <w:p w14:paraId="03723D7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制粒</w:t>
                  </w:r>
                </w:p>
              </w:tc>
              <w:tc>
                <w:tcPr>
                  <w:tcW w:w="256" w:type="pct"/>
                  <w:tcBorders>
                    <w:tl2br w:val="nil"/>
                    <w:tr2bl w:val="nil"/>
                  </w:tcBorders>
                  <w:noWrap w:val="0"/>
                  <w:vAlign w:val="center"/>
                </w:tcPr>
                <w:p w14:paraId="041F7F8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颗粒物</w:t>
                  </w:r>
                </w:p>
              </w:tc>
              <w:tc>
                <w:tcPr>
                  <w:tcW w:w="281" w:type="pct"/>
                  <w:tcBorders>
                    <w:tl2br w:val="nil"/>
                    <w:tr2bl w:val="nil"/>
                  </w:tcBorders>
                  <w:noWrap w:val="0"/>
                  <w:vAlign w:val="center"/>
                </w:tcPr>
                <w:p w14:paraId="605F587C">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产污系数法</w:t>
                  </w:r>
                </w:p>
              </w:tc>
              <w:tc>
                <w:tcPr>
                  <w:tcW w:w="365" w:type="pct"/>
                  <w:tcBorders>
                    <w:tl2br w:val="nil"/>
                    <w:tr2bl w:val="nil"/>
                  </w:tcBorders>
                  <w:noWrap w:val="0"/>
                  <w:vAlign w:val="center"/>
                </w:tcPr>
                <w:p w14:paraId="308E254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5</w:t>
                  </w: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000</w:t>
                  </w:r>
                </w:p>
              </w:tc>
              <w:tc>
                <w:tcPr>
                  <w:tcW w:w="328" w:type="pct"/>
                  <w:tcBorders>
                    <w:tl2br w:val="nil"/>
                    <w:tr2bl w:val="nil"/>
                  </w:tcBorders>
                  <w:noWrap w:val="0"/>
                  <w:vAlign w:val="center"/>
                </w:tcPr>
                <w:p w14:paraId="128ABB7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1017</w:t>
                  </w:r>
                </w:p>
              </w:tc>
              <w:tc>
                <w:tcPr>
                  <w:tcW w:w="367" w:type="pct"/>
                  <w:tcBorders>
                    <w:tl2br w:val="nil"/>
                    <w:tr2bl w:val="nil"/>
                  </w:tcBorders>
                  <w:noWrap w:val="0"/>
                  <w:vAlign w:val="center"/>
                </w:tcPr>
                <w:p w14:paraId="59423E1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eastAsia="仿宋" w:cs="Times New Roman"/>
                      <w:color w:val="000000" w:themeColor="text1"/>
                      <w:sz w:val="21"/>
                      <w:szCs w:val="21"/>
                      <w:highlight w:val="none"/>
                      <w:u w:val="none"/>
                      <w:lang w:val="en-US" w:eastAsia="zh-CN"/>
                      <w14:textFill>
                        <w14:solidFill>
                          <w14:schemeClr w14:val="tx1"/>
                        </w14:solidFill>
                      </w14:textFill>
                    </w:rPr>
                    <w:t>17.1625</w:t>
                  </w:r>
                </w:p>
              </w:tc>
              <w:tc>
                <w:tcPr>
                  <w:tcW w:w="369" w:type="pct"/>
                  <w:tcBorders>
                    <w:tl2br w:val="nil"/>
                    <w:tr2bl w:val="nil"/>
                  </w:tcBorders>
                  <w:noWrap w:val="0"/>
                  <w:vAlign w:val="center"/>
                </w:tcPr>
                <w:p w14:paraId="7C6F676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13.73</w:t>
                  </w:r>
                </w:p>
              </w:tc>
              <w:tc>
                <w:tcPr>
                  <w:tcW w:w="500" w:type="pct"/>
                  <w:tcBorders>
                    <w:tl2br w:val="nil"/>
                    <w:tr2bl w:val="nil"/>
                  </w:tcBorders>
                  <w:noWrap w:val="0"/>
                  <w:vAlign w:val="center"/>
                </w:tcPr>
                <w:p w14:paraId="08EFCD5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布袋</w:t>
                  </w:r>
                </w:p>
              </w:tc>
              <w:tc>
                <w:tcPr>
                  <w:tcW w:w="343" w:type="pct"/>
                  <w:tcBorders>
                    <w:tl2br w:val="nil"/>
                    <w:tr2bl w:val="nil"/>
                  </w:tcBorders>
                  <w:noWrap w:val="0"/>
                  <w:vAlign w:val="center"/>
                </w:tcPr>
                <w:p w14:paraId="4AA9E1A5">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9</w:t>
                  </w: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2</w:t>
                  </w:r>
                </w:p>
              </w:tc>
              <w:tc>
                <w:tcPr>
                  <w:tcW w:w="296" w:type="pct"/>
                  <w:tcBorders>
                    <w:tl2br w:val="nil"/>
                    <w:tr2bl w:val="nil"/>
                  </w:tcBorders>
                  <w:noWrap w:val="0"/>
                  <w:vAlign w:val="center"/>
                </w:tcPr>
                <w:p w14:paraId="632DA66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产污系数法</w:t>
                  </w:r>
                </w:p>
              </w:tc>
              <w:tc>
                <w:tcPr>
                  <w:tcW w:w="334" w:type="pct"/>
                  <w:tcBorders>
                    <w:tl2br w:val="nil"/>
                    <w:tr2bl w:val="nil"/>
                  </w:tcBorders>
                  <w:noWrap w:val="0"/>
                  <w:vAlign w:val="center"/>
                </w:tcPr>
                <w:p w14:paraId="5587E900">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w:t>
                  </w: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5</w:t>
                  </w: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000</w:t>
                  </w:r>
                </w:p>
              </w:tc>
              <w:tc>
                <w:tcPr>
                  <w:tcW w:w="345" w:type="pct"/>
                  <w:tcBorders>
                    <w:tl2br w:val="nil"/>
                    <w:tr2bl w:val="nil"/>
                  </w:tcBorders>
                  <w:noWrap w:val="0"/>
                  <w:vAlign w:val="center"/>
                </w:tcPr>
                <w:p w14:paraId="6F212228">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eastAsia="仿宋" w:cs="Times New Roman"/>
                      <w:color w:val="000000" w:themeColor="text1"/>
                      <w:sz w:val="21"/>
                      <w:szCs w:val="21"/>
                      <w:highlight w:val="none"/>
                      <w:u w:val="none"/>
                      <w:lang w:val="en-US" w:eastAsia="zh-CN"/>
                      <w14:textFill>
                        <w14:solidFill>
                          <w14:schemeClr w14:val="tx1"/>
                        </w14:solidFill>
                      </w14:textFill>
                    </w:rPr>
                    <w:t>91.67</w:t>
                  </w:r>
                </w:p>
              </w:tc>
              <w:tc>
                <w:tcPr>
                  <w:tcW w:w="327" w:type="pct"/>
                  <w:tcBorders>
                    <w:tl2br w:val="nil"/>
                    <w:tr2bl w:val="nil"/>
                  </w:tcBorders>
                  <w:noWrap w:val="0"/>
                  <w:vAlign w:val="center"/>
                </w:tcPr>
                <w:p w14:paraId="733764D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eastAsia="仿宋" w:cs="Times New Roman"/>
                      <w:color w:val="000000" w:themeColor="text1"/>
                      <w:sz w:val="21"/>
                      <w:szCs w:val="21"/>
                      <w:highlight w:val="none"/>
                      <w:u w:val="none"/>
                      <w:lang w:val="en-US" w:eastAsia="zh-CN"/>
                      <w14:textFill>
                        <w14:solidFill>
                          <w14:schemeClr w14:val="tx1"/>
                        </w14:solidFill>
                      </w14:textFill>
                    </w:rPr>
                    <w:t>1.375</w:t>
                  </w:r>
                </w:p>
              </w:tc>
              <w:tc>
                <w:tcPr>
                  <w:tcW w:w="317" w:type="pct"/>
                  <w:tcBorders>
                    <w:tl2br w:val="nil"/>
                    <w:tr2bl w:val="nil"/>
                  </w:tcBorders>
                  <w:noWrap w:val="0"/>
                  <w:vAlign w:val="center"/>
                </w:tcPr>
                <w:p w14:paraId="741B32B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1.1</w:t>
                  </w:r>
                </w:p>
              </w:tc>
            </w:tr>
          </w:tbl>
          <w:p w14:paraId="6F77E75A">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表4-3本项目生产废气源强核算结果及相关参数一览表（无组织）</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616"/>
              <w:gridCol w:w="505"/>
              <w:gridCol w:w="463"/>
              <w:gridCol w:w="659"/>
              <w:gridCol w:w="622"/>
              <w:gridCol w:w="585"/>
              <w:gridCol w:w="590"/>
              <w:gridCol w:w="458"/>
              <w:gridCol w:w="563"/>
              <w:gridCol w:w="559"/>
              <w:gridCol w:w="561"/>
              <w:gridCol w:w="597"/>
              <w:gridCol w:w="563"/>
              <w:gridCol w:w="570"/>
            </w:tblGrid>
            <w:tr w14:paraId="118C1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vMerge w:val="restart"/>
                  <w:tcBorders>
                    <w:tl2br w:val="nil"/>
                    <w:tr2bl w:val="nil"/>
                  </w:tcBorders>
                  <w:noWrap w:val="0"/>
                  <w:vAlign w:val="center"/>
                </w:tcPr>
                <w:p w14:paraId="0DBD874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t>污染源</w:t>
                  </w:r>
                </w:p>
              </w:tc>
              <w:tc>
                <w:tcPr>
                  <w:tcW w:w="364" w:type="pct"/>
                  <w:vMerge w:val="restart"/>
                  <w:tcBorders>
                    <w:tl2br w:val="nil"/>
                    <w:tr2bl w:val="nil"/>
                  </w:tcBorders>
                  <w:noWrap w:val="0"/>
                  <w:vAlign w:val="center"/>
                </w:tcPr>
                <w:p w14:paraId="0159F715">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t>工序</w:t>
                  </w:r>
                </w:p>
              </w:tc>
              <w:tc>
                <w:tcPr>
                  <w:tcW w:w="298" w:type="pct"/>
                  <w:vMerge w:val="restart"/>
                  <w:tcBorders>
                    <w:tl2br w:val="nil"/>
                    <w:tr2bl w:val="nil"/>
                  </w:tcBorders>
                  <w:noWrap w:val="0"/>
                  <w:vAlign w:val="center"/>
                </w:tcPr>
                <w:p w14:paraId="77F5DF3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t>污染物</w:t>
                  </w:r>
                </w:p>
              </w:tc>
              <w:tc>
                <w:tcPr>
                  <w:tcW w:w="1722" w:type="pct"/>
                  <w:gridSpan w:val="5"/>
                  <w:tcBorders>
                    <w:tl2br w:val="nil"/>
                    <w:tr2bl w:val="nil"/>
                  </w:tcBorders>
                  <w:noWrap w:val="0"/>
                  <w:vAlign w:val="center"/>
                </w:tcPr>
                <w:p w14:paraId="0DF71DA4">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t>污染物产生</w:t>
                  </w:r>
                </w:p>
              </w:tc>
              <w:tc>
                <w:tcPr>
                  <w:tcW w:w="602" w:type="pct"/>
                  <w:gridSpan w:val="2"/>
                  <w:tcBorders>
                    <w:tl2br w:val="nil"/>
                    <w:tr2bl w:val="nil"/>
                  </w:tcBorders>
                  <w:noWrap w:val="0"/>
                  <w:vAlign w:val="center"/>
                </w:tcPr>
                <w:p w14:paraId="7385AB68">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t>治理措施</w:t>
                  </w:r>
                </w:p>
              </w:tc>
              <w:tc>
                <w:tcPr>
                  <w:tcW w:w="1681" w:type="pct"/>
                  <w:gridSpan w:val="5"/>
                  <w:tcBorders>
                    <w:tl2br w:val="nil"/>
                    <w:tr2bl w:val="nil"/>
                  </w:tcBorders>
                  <w:noWrap w:val="0"/>
                  <w:vAlign w:val="center"/>
                </w:tcPr>
                <w:p w14:paraId="11E45D1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t>污染物排放</w:t>
                  </w:r>
                </w:p>
              </w:tc>
            </w:tr>
            <w:tr w14:paraId="77E32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vMerge w:val="continue"/>
                  <w:tcBorders>
                    <w:tl2br w:val="nil"/>
                    <w:tr2bl w:val="nil"/>
                  </w:tcBorders>
                  <w:noWrap w:val="0"/>
                  <w:vAlign w:val="center"/>
                </w:tcPr>
                <w:p w14:paraId="4591F97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14:textFill>
                        <w14:solidFill>
                          <w14:schemeClr w14:val="tx1"/>
                        </w14:solidFill>
                      </w14:textFill>
                    </w:rPr>
                  </w:pPr>
                </w:p>
              </w:tc>
              <w:tc>
                <w:tcPr>
                  <w:tcW w:w="364" w:type="pct"/>
                  <w:vMerge w:val="continue"/>
                  <w:tcBorders>
                    <w:tl2br w:val="nil"/>
                    <w:tr2bl w:val="nil"/>
                  </w:tcBorders>
                  <w:noWrap w:val="0"/>
                  <w:vAlign w:val="center"/>
                </w:tcPr>
                <w:p w14:paraId="2FB08ABC">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14:textFill>
                        <w14:solidFill>
                          <w14:schemeClr w14:val="tx1"/>
                        </w14:solidFill>
                      </w14:textFill>
                    </w:rPr>
                  </w:pPr>
                </w:p>
              </w:tc>
              <w:tc>
                <w:tcPr>
                  <w:tcW w:w="298" w:type="pct"/>
                  <w:vMerge w:val="continue"/>
                  <w:tcBorders>
                    <w:tl2br w:val="nil"/>
                    <w:tr2bl w:val="nil"/>
                  </w:tcBorders>
                  <w:noWrap w:val="0"/>
                  <w:vAlign w:val="center"/>
                </w:tcPr>
                <w:p w14:paraId="57E474B8">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14:textFill>
                        <w14:solidFill>
                          <w14:schemeClr w14:val="tx1"/>
                        </w14:solidFill>
                      </w14:textFill>
                    </w:rPr>
                  </w:pPr>
                </w:p>
              </w:tc>
              <w:tc>
                <w:tcPr>
                  <w:tcW w:w="273" w:type="pct"/>
                  <w:tcBorders>
                    <w:tl2br w:val="nil"/>
                    <w:tr2bl w:val="nil"/>
                  </w:tcBorders>
                  <w:noWrap w:val="0"/>
                  <w:vAlign w:val="center"/>
                </w:tcPr>
                <w:p w14:paraId="23CAE7D0">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t>核算方法</w:t>
                  </w:r>
                </w:p>
              </w:tc>
              <w:tc>
                <w:tcPr>
                  <w:tcW w:w="389" w:type="pct"/>
                  <w:tcBorders>
                    <w:tl2br w:val="nil"/>
                    <w:tr2bl w:val="nil"/>
                  </w:tcBorders>
                  <w:noWrap w:val="0"/>
                  <w:vAlign w:val="center"/>
                </w:tcPr>
                <w:p w14:paraId="2EFB9D75">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t>产生废气量</w:t>
                  </w:r>
                  <w:r>
                    <w:rPr>
                      <w:rFonts w:hint="default" w:ascii="Times New Roman" w:hAnsi="Times New Roman" w:eastAsia="仿宋" w:cs="Times New Roman"/>
                      <w:b/>
                      <w:bCs/>
                      <w:color w:val="000000" w:themeColor="text1"/>
                      <w:sz w:val="20"/>
                      <w:szCs w:val="22"/>
                      <w:highlight w:val="none"/>
                      <w:u w:val="none"/>
                      <w14:textFill>
                        <w14:solidFill>
                          <w14:schemeClr w14:val="tx1"/>
                        </w14:solidFill>
                      </w14:textFill>
                    </w:rPr>
                    <w:t>m</w:t>
                  </w:r>
                  <w:r>
                    <w:rPr>
                      <w:rFonts w:hint="default" w:ascii="Times New Roman" w:hAnsi="Times New Roman" w:eastAsia="仿宋" w:cs="Times New Roman"/>
                      <w:b/>
                      <w:bCs/>
                      <w:color w:val="000000" w:themeColor="text1"/>
                      <w:sz w:val="20"/>
                      <w:szCs w:val="22"/>
                      <w:highlight w:val="none"/>
                      <w:u w:val="none"/>
                      <w:vertAlign w:val="superscript"/>
                      <w14:textFill>
                        <w14:solidFill>
                          <w14:schemeClr w14:val="tx1"/>
                        </w14:solidFill>
                      </w14:textFill>
                    </w:rPr>
                    <w:t>3</w:t>
                  </w:r>
                  <w:r>
                    <w:rPr>
                      <w:rFonts w:hint="default" w:ascii="Times New Roman" w:hAnsi="Times New Roman" w:eastAsia="仿宋" w:cs="Times New Roman"/>
                      <w:b/>
                      <w:bCs/>
                      <w:color w:val="000000" w:themeColor="text1"/>
                      <w:sz w:val="20"/>
                      <w:szCs w:val="22"/>
                      <w:highlight w:val="none"/>
                      <w:u w:val="none"/>
                      <w14:textFill>
                        <w14:solidFill>
                          <w14:schemeClr w14:val="tx1"/>
                        </w14:solidFill>
                      </w14:textFill>
                    </w:rPr>
                    <w:t>/h</w:t>
                  </w:r>
                </w:p>
              </w:tc>
              <w:tc>
                <w:tcPr>
                  <w:tcW w:w="367" w:type="pct"/>
                  <w:tcBorders>
                    <w:tl2br w:val="nil"/>
                    <w:tr2bl w:val="nil"/>
                  </w:tcBorders>
                  <w:noWrap w:val="0"/>
                  <w:vAlign w:val="center"/>
                </w:tcPr>
                <w:p w14:paraId="798BC5F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t>产生浓度</w:t>
                  </w:r>
                  <w:r>
                    <w:rPr>
                      <w:rFonts w:hint="default" w:ascii="Times New Roman" w:hAnsi="Times New Roman" w:eastAsia="仿宋" w:cs="Times New Roman"/>
                      <w:b/>
                      <w:bCs/>
                      <w:color w:val="000000" w:themeColor="text1"/>
                      <w:sz w:val="20"/>
                      <w:szCs w:val="22"/>
                      <w:highlight w:val="none"/>
                      <w:u w:val="none"/>
                      <w14:textFill>
                        <w14:solidFill>
                          <w14:schemeClr w14:val="tx1"/>
                        </w14:solidFill>
                      </w14:textFill>
                    </w:rPr>
                    <w:t>mg/m</w:t>
                  </w:r>
                  <w:r>
                    <w:rPr>
                      <w:rFonts w:hint="default" w:ascii="Times New Roman" w:hAnsi="Times New Roman" w:eastAsia="仿宋" w:cs="Times New Roman"/>
                      <w:b/>
                      <w:bCs/>
                      <w:color w:val="000000" w:themeColor="text1"/>
                      <w:sz w:val="20"/>
                      <w:szCs w:val="22"/>
                      <w:highlight w:val="none"/>
                      <w:u w:val="none"/>
                      <w:vertAlign w:val="superscript"/>
                      <w14:textFill>
                        <w14:solidFill>
                          <w14:schemeClr w14:val="tx1"/>
                        </w14:solidFill>
                      </w14:textFill>
                    </w:rPr>
                    <w:t>3</w:t>
                  </w:r>
                </w:p>
              </w:tc>
              <w:tc>
                <w:tcPr>
                  <w:tcW w:w="345" w:type="pct"/>
                  <w:tcBorders>
                    <w:tl2br w:val="nil"/>
                    <w:tr2bl w:val="nil"/>
                  </w:tcBorders>
                  <w:noWrap w:val="0"/>
                  <w:vAlign w:val="center"/>
                </w:tcPr>
                <w:p w14:paraId="496582D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t>产生速率</w:t>
                  </w:r>
                  <w:r>
                    <w:rPr>
                      <w:rFonts w:hint="default" w:ascii="Times New Roman" w:hAnsi="Times New Roman" w:eastAsia="仿宋" w:cs="Times New Roman"/>
                      <w:b/>
                      <w:bCs/>
                      <w:color w:val="000000" w:themeColor="text1"/>
                      <w:sz w:val="20"/>
                      <w:szCs w:val="22"/>
                      <w:highlight w:val="none"/>
                      <w:u w:val="none"/>
                      <w14:textFill>
                        <w14:solidFill>
                          <w14:schemeClr w14:val="tx1"/>
                        </w14:solidFill>
                      </w14:textFill>
                    </w:rPr>
                    <w:t>kg/h</w:t>
                  </w:r>
                </w:p>
              </w:tc>
              <w:tc>
                <w:tcPr>
                  <w:tcW w:w="346" w:type="pct"/>
                  <w:tcBorders>
                    <w:tl2br w:val="nil"/>
                    <w:tr2bl w:val="nil"/>
                  </w:tcBorders>
                  <w:noWrap w:val="0"/>
                  <w:vAlign w:val="center"/>
                </w:tcPr>
                <w:p w14:paraId="1E5EC4E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t>产生量t/a</w:t>
                  </w:r>
                </w:p>
              </w:tc>
              <w:tc>
                <w:tcPr>
                  <w:tcW w:w="270" w:type="pct"/>
                  <w:tcBorders>
                    <w:tl2br w:val="nil"/>
                    <w:tr2bl w:val="nil"/>
                  </w:tcBorders>
                  <w:noWrap w:val="0"/>
                  <w:vAlign w:val="center"/>
                </w:tcPr>
                <w:p w14:paraId="79C5653C">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t>处理工艺</w:t>
                  </w:r>
                </w:p>
              </w:tc>
              <w:tc>
                <w:tcPr>
                  <w:tcW w:w="332" w:type="pct"/>
                  <w:tcBorders>
                    <w:tl2br w:val="nil"/>
                    <w:tr2bl w:val="nil"/>
                  </w:tcBorders>
                  <w:noWrap w:val="0"/>
                  <w:vAlign w:val="center"/>
                </w:tcPr>
                <w:p w14:paraId="777DE84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t>效率%</w:t>
                  </w:r>
                </w:p>
              </w:tc>
              <w:tc>
                <w:tcPr>
                  <w:tcW w:w="330" w:type="pct"/>
                  <w:tcBorders>
                    <w:tl2br w:val="nil"/>
                    <w:tr2bl w:val="nil"/>
                  </w:tcBorders>
                  <w:noWrap w:val="0"/>
                  <w:vAlign w:val="center"/>
                </w:tcPr>
                <w:p w14:paraId="51622F6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t>核算方法</w:t>
                  </w:r>
                </w:p>
              </w:tc>
              <w:tc>
                <w:tcPr>
                  <w:tcW w:w="331" w:type="pct"/>
                  <w:tcBorders>
                    <w:tl2br w:val="nil"/>
                    <w:tr2bl w:val="nil"/>
                  </w:tcBorders>
                  <w:noWrap w:val="0"/>
                  <w:vAlign w:val="center"/>
                </w:tcPr>
                <w:p w14:paraId="58B0D824">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t>排放废气量</w:t>
                  </w:r>
                  <w:r>
                    <w:rPr>
                      <w:rFonts w:hint="default" w:ascii="Times New Roman" w:hAnsi="Times New Roman" w:eastAsia="仿宋" w:cs="Times New Roman"/>
                      <w:b/>
                      <w:bCs/>
                      <w:color w:val="000000" w:themeColor="text1"/>
                      <w:sz w:val="20"/>
                      <w:szCs w:val="22"/>
                      <w:highlight w:val="none"/>
                      <w:u w:val="none"/>
                      <w14:textFill>
                        <w14:solidFill>
                          <w14:schemeClr w14:val="tx1"/>
                        </w14:solidFill>
                      </w14:textFill>
                    </w:rPr>
                    <w:t>m</w:t>
                  </w:r>
                  <w:r>
                    <w:rPr>
                      <w:rFonts w:hint="default" w:ascii="Times New Roman" w:hAnsi="Times New Roman" w:eastAsia="仿宋" w:cs="Times New Roman"/>
                      <w:b/>
                      <w:bCs/>
                      <w:color w:val="000000" w:themeColor="text1"/>
                      <w:sz w:val="20"/>
                      <w:szCs w:val="22"/>
                      <w:highlight w:val="none"/>
                      <w:u w:val="none"/>
                      <w:vertAlign w:val="superscript"/>
                      <w14:textFill>
                        <w14:solidFill>
                          <w14:schemeClr w14:val="tx1"/>
                        </w14:solidFill>
                      </w14:textFill>
                    </w:rPr>
                    <w:t>3</w:t>
                  </w:r>
                  <w:r>
                    <w:rPr>
                      <w:rFonts w:hint="default" w:ascii="Times New Roman" w:hAnsi="Times New Roman" w:eastAsia="仿宋" w:cs="Times New Roman"/>
                      <w:b/>
                      <w:bCs/>
                      <w:color w:val="000000" w:themeColor="text1"/>
                      <w:sz w:val="20"/>
                      <w:szCs w:val="22"/>
                      <w:highlight w:val="none"/>
                      <w:u w:val="none"/>
                      <w14:textFill>
                        <w14:solidFill>
                          <w14:schemeClr w14:val="tx1"/>
                        </w14:solidFill>
                      </w14:textFill>
                    </w:rPr>
                    <w:t>/h</w:t>
                  </w:r>
                </w:p>
              </w:tc>
              <w:tc>
                <w:tcPr>
                  <w:tcW w:w="352" w:type="pct"/>
                  <w:tcBorders>
                    <w:tl2br w:val="nil"/>
                    <w:tr2bl w:val="nil"/>
                  </w:tcBorders>
                  <w:noWrap w:val="0"/>
                  <w:vAlign w:val="center"/>
                </w:tcPr>
                <w:p w14:paraId="6540AA0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t>排放浓度</w:t>
                  </w:r>
                  <w:r>
                    <w:rPr>
                      <w:rFonts w:hint="default" w:ascii="Times New Roman" w:hAnsi="Times New Roman" w:eastAsia="仿宋" w:cs="Times New Roman"/>
                      <w:b/>
                      <w:bCs/>
                      <w:color w:val="000000" w:themeColor="text1"/>
                      <w:sz w:val="20"/>
                      <w:szCs w:val="22"/>
                      <w:highlight w:val="none"/>
                      <w:u w:val="none"/>
                      <w14:textFill>
                        <w14:solidFill>
                          <w14:schemeClr w14:val="tx1"/>
                        </w14:solidFill>
                      </w14:textFill>
                    </w:rPr>
                    <w:t>mg/m</w:t>
                  </w:r>
                  <w:r>
                    <w:rPr>
                      <w:rFonts w:hint="default" w:ascii="Times New Roman" w:hAnsi="Times New Roman" w:eastAsia="仿宋" w:cs="Times New Roman"/>
                      <w:b/>
                      <w:bCs/>
                      <w:color w:val="000000" w:themeColor="text1"/>
                      <w:sz w:val="20"/>
                      <w:szCs w:val="22"/>
                      <w:highlight w:val="none"/>
                      <w:u w:val="none"/>
                      <w:vertAlign w:val="superscript"/>
                      <w14:textFill>
                        <w14:solidFill>
                          <w14:schemeClr w14:val="tx1"/>
                        </w14:solidFill>
                      </w14:textFill>
                    </w:rPr>
                    <w:t>3</w:t>
                  </w:r>
                </w:p>
              </w:tc>
              <w:tc>
                <w:tcPr>
                  <w:tcW w:w="332" w:type="pct"/>
                  <w:tcBorders>
                    <w:tl2br w:val="nil"/>
                    <w:tr2bl w:val="nil"/>
                  </w:tcBorders>
                  <w:noWrap w:val="0"/>
                  <w:vAlign w:val="center"/>
                </w:tcPr>
                <w:p w14:paraId="7FFE6567">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t>排放速率</w:t>
                  </w:r>
                  <w:r>
                    <w:rPr>
                      <w:rFonts w:hint="default" w:ascii="Times New Roman" w:hAnsi="Times New Roman" w:eastAsia="仿宋" w:cs="Times New Roman"/>
                      <w:b/>
                      <w:bCs/>
                      <w:color w:val="000000" w:themeColor="text1"/>
                      <w:sz w:val="20"/>
                      <w:szCs w:val="22"/>
                      <w:highlight w:val="none"/>
                      <w:u w:val="none"/>
                      <w14:textFill>
                        <w14:solidFill>
                          <w14:schemeClr w14:val="tx1"/>
                        </w14:solidFill>
                      </w14:textFill>
                    </w:rPr>
                    <w:t>kg/h</w:t>
                  </w:r>
                </w:p>
              </w:tc>
              <w:tc>
                <w:tcPr>
                  <w:tcW w:w="333" w:type="pct"/>
                  <w:tcBorders>
                    <w:tl2br w:val="nil"/>
                    <w:tr2bl w:val="nil"/>
                  </w:tcBorders>
                  <w:noWrap w:val="0"/>
                  <w:vAlign w:val="center"/>
                </w:tcPr>
                <w:p w14:paraId="013BD4F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Cs w:val="21"/>
                      <w:highlight w:val="none"/>
                      <w:u w:val="none"/>
                      <w:lang w:val="en-US" w:eastAsia="zh-CN"/>
                      <w14:textFill>
                        <w14:solidFill>
                          <w14:schemeClr w14:val="tx1"/>
                        </w14:solidFill>
                      </w14:textFill>
                    </w:rPr>
                    <w:t>排放量t/a</w:t>
                  </w:r>
                </w:p>
              </w:tc>
            </w:tr>
            <w:tr w14:paraId="7325A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vMerge w:val="restart"/>
                  <w:tcBorders>
                    <w:tl2br w:val="nil"/>
                    <w:tr2bl w:val="nil"/>
                  </w:tcBorders>
                  <w:noWrap w:val="0"/>
                  <w:vAlign w:val="center"/>
                </w:tcPr>
                <w:p w14:paraId="1DBEDAC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车间</w:t>
                  </w:r>
                </w:p>
              </w:tc>
              <w:tc>
                <w:tcPr>
                  <w:tcW w:w="364" w:type="pct"/>
                  <w:tcBorders>
                    <w:tl2br w:val="nil"/>
                    <w:tr2bl w:val="nil"/>
                  </w:tcBorders>
                  <w:noWrap w:val="0"/>
                  <w:vAlign w:val="center"/>
                </w:tcPr>
                <w:p w14:paraId="22FE51A5">
                  <w:pPr>
                    <w:keepNext w:val="0"/>
                    <w:keepLines w:val="0"/>
                    <w:pageBreakBefore w:val="0"/>
                    <w:widowControl w:val="0"/>
                    <w:kinsoku/>
                    <w:wordWrap/>
                    <w:overflowPunct/>
                    <w:topLinePunct w:val="0"/>
                    <w:autoSpaceDE/>
                    <w:autoSpaceDN/>
                    <w:bidi w:val="0"/>
                    <w:adjustRightInd/>
                    <w:snapToGrid/>
                    <w:ind w:left="-105" w:leftChars="-50" w:right="-105" w:rightChars="-50"/>
                    <w:jc w:val="both"/>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制粒</w:t>
                  </w:r>
                </w:p>
              </w:tc>
              <w:tc>
                <w:tcPr>
                  <w:tcW w:w="298" w:type="pct"/>
                  <w:vMerge w:val="restart"/>
                  <w:tcBorders>
                    <w:tl2br w:val="nil"/>
                    <w:tr2bl w:val="nil"/>
                  </w:tcBorders>
                  <w:noWrap w:val="0"/>
                  <w:vAlign w:val="center"/>
                </w:tcPr>
                <w:p w14:paraId="48459E7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颗粒物</w:t>
                  </w:r>
                </w:p>
              </w:tc>
              <w:tc>
                <w:tcPr>
                  <w:tcW w:w="273" w:type="pct"/>
                  <w:vMerge w:val="restart"/>
                  <w:tcBorders>
                    <w:tl2br w:val="nil"/>
                    <w:tr2bl w:val="nil"/>
                  </w:tcBorders>
                  <w:noWrap w:val="0"/>
                  <w:vAlign w:val="center"/>
                </w:tcPr>
                <w:p w14:paraId="3E9CB2E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产污系数法</w:t>
                  </w:r>
                </w:p>
              </w:tc>
              <w:tc>
                <w:tcPr>
                  <w:tcW w:w="389" w:type="pct"/>
                  <w:tcBorders>
                    <w:tl2br w:val="nil"/>
                    <w:tr2bl w:val="nil"/>
                  </w:tcBorders>
                  <w:noWrap w:val="0"/>
                  <w:vAlign w:val="center"/>
                </w:tcPr>
                <w:p w14:paraId="5A5D123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w:t>
                  </w:r>
                </w:p>
              </w:tc>
              <w:tc>
                <w:tcPr>
                  <w:tcW w:w="367" w:type="pct"/>
                  <w:tcBorders>
                    <w:tl2br w:val="nil"/>
                    <w:tr2bl w:val="nil"/>
                  </w:tcBorders>
                  <w:noWrap w:val="0"/>
                  <w:vAlign w:val="center"/>
                </w:tcPr>
                <w:p w14:paraId="280872E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w:t>
                  </w:r>
                </w:p>
              </w:tc>
              <w:tc>
                <w:tcPr>
                  <w:tcW w:w="345" w:type="pct"/>
                  <w:tcBorders>
                    <w:tl2br w:val="nil"/>
                    <w:tr2bl w:val="nil"/>
                  </w:tcBorders>
                  <w:noWrap w:val="0"/>
                  <w:vAlign w:val="center"/>
                </w:tcPr>
                <w:p w14:paraId="2FF7CAC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eastAsia" w:eastAsia="仿宋" w:cs="Times New Roman"/>
                      <w:color w:val="000000" w:themeColor="text1"/>
                      <w:szCs w:val="21"/>
                      <w:highlight w:val="none"/>
                      <w:u w:val="none"/>
                      <w:lang w:val="en-US" w:eastAsia="zh-CN"/>
                      <w14:textFill>
                        <w14:solidFill>
                          <w14:schemeClr w14:val="tx1"/>
                        </w14:solidFill>
                      </w14:textFill>
                    </w:rPr>
                    <w:t>0.9</w:t>
                  </w:r>
                </w:p>
              </w:tc>
              <w:tc>
                <w:tcPr>
                  <w:tcW w:w="346" w:type="pct"/>
                  <w:tcBorders>
                    <w:tl2br w:val="nil"/>
                    <w:tr2bl w:val="nil"/>
                  </w:tcBorders>
                  <w:noWrap w:val="0"/>
                  <w:vAlign w:val="center"/>
                </w:tcPr>
                <w:p w14:paraId="21E7B0A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eastAsia" w:eastAsia="仿宋" w:cs="Times New Roman"/>
                      <w:color w:val="000000" w:themeColor="text1"/>
                      <w:szCs w:val="21"/>
                      <w:highlight w:val="none"/>
                      <w:u w:val="none"/>
                      <w:lang w:val="en-US" w:eastAsia="zh-CN"/>
                      <w14:textFill>
                        <w14:solidFill>
                          <w14:schemeClr w14:val="tx1"/>
                        </w14:solidFill>
                      </w14:textFill>
                    </w:rPr>
                    <w:t>0.72</w:t>
                  </w:r>
                </w:p>
              </w:tc>
              <w:tc>
                <w:tcPr>
                  <w:tcW w:w="270" w:type="pct"/>
                  <w:vMerge w:val="restart"/>
                  <w:tcBorders>
                    <w:tl2br w:val="nil"/>
                    <w:tr2bl w:val="nil"/>
                  </w:tcBorders>
                  <w:noWrap w:val="0"/>
                  <w:vAlign w:val="center"/>
                </w:tcPr>
                <w:p w14:paraId="2B0CD23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 w:val="20"/>
                      <w:szCs w:val="20"/>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封闭结构厂房</w:t>
                  </w:r>
                </w:p>
              </w:tc>
              <w:tc>
                <w:tcPr>
                  <w:tcW w:w="332" w:type="pct"/>
                  <w:tcBorders>
                    <w:tl2br w:val="nil"/>
                    <w:tr2bl w:val="nil"/>
                  </w:tcBorders>
                  <w:noWrap w:val="0"/>
                  <w:vAlign w:val="center"/>
                </w:tcPr>
                <w:p w14:paraId="799A803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80</w:t>
                  </w:r>
                </w:p>
              </w:tc>
              <w:tc>
                <w:tcPr>
                  <w:tcW w:w="330" w:type="pct"/>
                  <w:vMerge w:val="restart"/>
                  <w:tcBorders>
                    <w:tl2br w:val="nil"/>
                    <w:tr2bl w:val="nil"/>
                  </w:tcBorders>
                  <w:noWrap w:val="0"/>
                  <w:vAlign w:val="center"/>
                </w:tcPr>
                <w:p w14:paraId="594A005D">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产污系数法</w:t>
                  </w:r>
                </w:p>
              </w:tc>
              <w:tc>
                <w:tcPr>
                  <w:tcW w:w="331" w:type="pct"/>
                  <w:tcBorders>
                    <w:tl2br w:val="nil"/>
                    <w:tr2bl w:val="nil"/>
                  </w:tcBorders>
                  <w:noWrap w:val="0"/>
                  <w:vAlign w:val="center"/>
                </w:tcPr>
                <w:p w14:paraId="03BD14F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w:t>
                  </w:r>
                </w:p>
              </w:tc>
              <w:tc>
                <w:tcPr>
                  <w:tcW w:w="352" w:type="pct"/>
                  <w:tcBorders>
                    <w:tl2br w:val="nil"/>
                    <w:tr2bl w:val="nil"/>
                  </w:tcBorders>
                  <w:noWrap w:val="0"/>
                  <w:vAlign w:val="center"/>
                </w:tcPr>
                <w:p w14:paraId="2C18BACB">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w:t>
                  </w:r>
                </w:p>
              </w:tc>
              <w:tc>
                <w:tcPr>
                  <w:tcW w:w="332" w:type="pct"/>
                  <w:tcBorders>
                    <w:tl2br w:val="nil"/>
                    <w:tr2bl w:val="nil"/>
                  </w:tcBorders>
                  <w:noWrap w:val="0"/>
                  <w:vAlign w:val="center"/>
                </w:tcPr>
                <w:p w14:paraId="54539DD8">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0.1</w:t>
                  </w:r>
                  <w:r>
                    <w:rPr>
                      <w:rFonts w:hint="eastAsia" w:eastAsia="仿宋" w:cs="Times New Roman"/>
                      <w:color w:val="000000" w:themeColor="text1"/>
                      <w:szCs w:val="21"/>
                      <w:highlight w:val="none"/>
                      <w:u w:val="none"/>
                      <w:lang w:val="en-US" w:eastAsia="zh-CN"/>
                      <w14:textFill>
                        <w14:solidFill>
                          <w14:schemeClr w14:val="tx1"/>
                        </w14:solidFill>
                      </w14:textFill>
                    </w:rPr>
                    <w:t>8</w:t>
                  </w:r>
                </w:p>
              </w:tc>
              <w:tc>
                <w:tcPr>
                  <w:tcW w:w="333" w:type="pct"/>
                  <w:tcBorders>
                    <w:tl2br w:val="nil"/>
                    <w:tr2bl w:val="nil"/>
                  </w:tcBorders>
                  <w:noWrap w:val="0"/>
                  <w:vAlign w:val="center"/>
                </w:tcPr>
                <w:p w14:paraId="5720E3A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0.</w:t>
                  </w:r>
                  <w:r>
                    <w:rPr>
                      <w:rFonts w:hint="eastAsia" w:ascii="Times New Roman" w:hAnsi="Times New Roman" w:eastAsia="仿宋" w:cs="Times New Roman"/>
                      <w:color w:val="000000" w:themeColor="text1"/>
                      <w:szCs w:val="21"/>
                      <w:highlight w:val="none"/>
                      <w:u w:val="none"/>
                      <w:lang w:val="en-US" w:eastAsia="zh-CN"/>
                      <w14:textFill>
                        <w14:solidFill>
                          <w14:schemeClr w14:val="tx1"/>
                        </w14:solidFill>
                      </w14:textFill>
                    </w:rPr>
                    <w:t>144</w:t>
                  </w:r>
                </w:p>
              </w:tc>
            </w:tr>
            <w:tr w14:paraId="4704E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vMerge w:val="continue"/>
                  <w:tcBorders>
                    <w:tl2br w:val="nil"/>
                    <w:tr2bl w:val="nil"/>
                  </w:tcBorders>
                  <w:noWrap w:val="0"/>
                  <w:vAlign w:val="center"/>
                </w:tcPr>
                <w:p w14:paraId="2285DDD3">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p>
              </w:tc>
              <w:tc>
                <w:tcPr>
                  <w:tcW w:w="364" w:type="pct"/>
                  <w:tcBorders>
                    <w:tl2br w:val="nil"/>
                    <w:tr2bl w:val="nil"/>
                  </w:tcBorders>
                  <w:noWrap w:val="0"/>
                  <w:vAlign w:val="center"/>
                </w:tcPr>
                <w:p w14:paraId="232DEC7E">
                  <w:pPr>
                    <w:keepNext w:val="0"/>
                    <w:keepLines w:val="0"/>
                    <w:pageBreakBefore w:val="0"/>
                    <w:widowControl w:val="0"/>
                    <w:kinsoku/>
                    <w:wordWrap/>
                    <w:overflowPunct/>
                    <w:topLinePunct w:val="0"/>
                    <w:autoSpaceDE/>
                    <w:autoSpaceDN/>
                    <w:bidi w:val="0"/>
                    <w:adjustRightInd/>
                    <w:snapToGrid/>
                    <w:ind w:left="-105" w:leftChars="-50" w:right="-105" w:rightChars="-50"/>
                    <w:jc w:val="both"/>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装卸转移</w:t>
                  </w:r>
                </w:p>
              </w:tc>
              <w:tc>
                <w:tcPr>
                  <w:tcW w:w="298" w:type="pct"/>
                  <w:vMerge w:val="continue"/>
                  <w:tcBorders>
                    <w:tl2br w:val="nil"/>
                    <w:tr2bl w:val="nil"/>
                  </w:tcBorders>
                  <w:noWrap w:val="0"/>
                  <w:vAlign w:val="center"/>
                </w:tcPr>
                <w:p w14:paraId="1BC14D6C">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p>
              </w:tc>
              <w:tc>
                <w:tcPr>
                  <w:tcW w:w="273" w:type="pct"/>
                  <w:vMerge w:val="continue"/>
                  <w:tcBorders>
                    <w:tl2br w:val="nil"/>
                    <w:tr2bl w:val="nil"/>
                  </w:tcBorders>
                  <w:noWrap w:val="0"/>
                  <w:vAlign w:val="center"/>
                </w:tcPr>
                <w:p w14:paraId="288E27E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p>
              </w:tc>
              <w:tc>
                <w:tcPr>
                  <w:tcW w:w="389" w:type="pct"/>
                  <w:tcBorders>
                    <w:tl2br w:val="nil"/>
                    <w:tr2bl w:val="nil"/>
                  </w:tcBorders>
                  <w:noWrap w:val="0"/>
                  <w:vAlign w:val="center"/>
                </w:tcPr>
                <w:p w14:paraId="598F979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w:t>
                  </w:r>
                </w:p>
              </w:tc>
              <w:tc>
                <w:tcPr>
                  <w:tcW w:w="367" w:type="pct"/>
                  <w:tcBorders>
                    <w:tl2br w:val="nil"/>
                    <w:tr2bl w:val="nil"/>
                  </w:tcBorders>
                  <w:noWrap w:val="0"/>
                  <w:vAlign w:val="center"/>
                </w:tcPr>
                <w:p w14:paraId="7FA2F95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w:t>
                  </w:r>
                </w:p>
              </w:tc>
              <w:tc>
                <w:tcPr>
                  <w:tcW w:w="345" w:type="pct"/>
                  <w:tcBorders>
                    <w:tl2br w:val="nil"/>
                    <w:tr2bl w:val="nil"/>
                  </w:tcBorders>
                  <w:noWrap w:val="0"/>
                  <w:vAlign w:val="center"/>
                </w:tcPr>
                <w:p w14:paraId="09F98EE4">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eastAsia" w:eastAsia="仿宋" w:cs="Times New Roman"/>
                      <w:color w:val="000000" w:themeColor="text1"/>
                      <w:szCs w:val="21"/>
                      <w:highlight w:val="none"/>
                      <w:u w:val="none"/>
                      <w:lang w:val="en-US" w:eastAsia="zh-CN"/>
                      <w14:textFill>
                        <w14:solidFill>
                          <w14:schemeClr w14:val="tx1"/>
                        </w14:solidFill>
                      </w14:textFill>
                    </w:rPr>
                    <w:t>0.275</w:t>
                  </w:r>
                </w:p>
              </w:tc>
              <w:tc>
                <w:tcPr>
                  <w:tcW w:w="346" w:type="pct"/>
                  <w:tcBorders>
                    <w:tl2br w:val="nil"/>
                    <w:tr2bl w:val="nil"/>
                  </w:tcBorders>
                  <w:noWrap w:val="0"/>
                  <w:vAlign w:val="center"/>
                </w:tcPr>
                <w:p w14:paraId="04F8CF72">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Cs w:val="21"/>
                      <w:highlight w:val="none"/>
                      <w:u w:val="none"/>
                      <w:lang w:val="en-US" w:eastAsia="zh-CN"/>
                      <w14:textFill>
                        <w14:solidFill>
                          <w14:schemeClr w14:val="tx1"/>
                        </w14:solidFill>
                      </w14:textFill>
                    </w:rPr>
                    <w:t>0.22</w:t>
                  </w:r>
                </w:p>
              </w:tc>
              <w:tc>
                <w:tcPr>
                  <w:tcW w:w="270" w:type="pct"/>
                  <w:vMerge w:val="continue"/>
                  <w:tcBorders>
                    <w:tl2br w:val="nil"/>
                    <w:tr2bl w:val="nil"/>
                  </w:tcBorders>
                  <w:noWrap w:val="0"/>
                  <w:vAlign w:val="center"/>
                </w:tcPr>
                <w:p w14:paraId="08E41FD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 w:val="20"/>
                      <w:szCs w:val="20"/>
                      <w:highlight w:val="none"/>
                      <w:u w:val="none"/>
                      <w:lang w:val="en-US" w:eastAsia="zh-CN"/>
                      <w14:textFill>
                        <w14:solidFill>
                          <w14:schemeClr w14:val="tx1"/>
                        </w14:solidFill>
                      </w14:textFill>
                    </w:rPr>
                  </w:pPr>
                </w:p>
              </w:tc>
              <w:tc>
                <w:tcPr>
                  <w:tcW w:w="332" w:type="pct"/>
                  <w:tcBorders>
                    <w:tl2br w:val="nil"/>
                    <w:tr2bl w:val="nil"/>
                  </w:tcBorders>
                  <w:noWrap w:val="0"/>
                  <w:vAlign w:val="center"/>
                </w:tcPr>
                <w:p w14:paraId="21C52E7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80</w:t>
                  </w:r>
                </w:p>
              </w:tc>
              <w:tc>
                <w:tcPr>
                  <w:tcW w:w="330" w:type="pct"/>
                  <w:vMerge w:val="continue"/>
                  <w:tcBorders>
                    <w:tl2br w:val="nil"/>
                    <w:tr2bl w:val="nil"/>
                  </w:tcBorders>
                  <w:noWrap w:val="0"/>
                  <w:vAlign w:val="center"/>
                </w:tcPr>
                <w:p w14:paraId="7FD096CA">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p>
              </w:tc>
              <w:tc>
                <w:tcPr>
                  <w:tcW w:w="331" w:type="pct"/>
                  <w:tcBorders>
                    <w:tl2br w:val="nil"/>
                    <w:tr2bl w:val="nil"/>
                  </w:tcBorders>
                  <w:noWrap w:val="0"/>
                  <w:vAlign w:val="center"/>
                </w:tcPr>
                <w:p w14:paraId="710C08BE">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w:t>
                  </w:r>
                </w:p>
              </w:tc>
              <w:tc>
                <w:tcPr>
                  <w:tcW w:w="352" w:type="pct"/>
                  <w:tcBorders>
                    <w:tl2br w:val="nil"/>
                    <w:tr2bl w:val="nil"/>
                  </w:tcBorders>
                  <w:noWrap w:val="0"/>
                  <w:vAlign w:val="center"/>
                </w:tcPr>
                <w:p w14:paraId="203BFA3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w:t>
                  </w:r>
                </w:p>
              </w:tc>
              <w:tc>
                <w:tcPr>
                  <w:tcW w:w="332" w:type="pct"/>
                  <w:tcBorders>
                    <w:tl2br w:val="nil"/>
                    <w:tr2bl w:val="nil"/>
                  </w:tcBorders>
                  <w:noWrap w:val="0"/>
                  <w:vAlign w:val="center"/>
                </w:tcPr>
                <w:p w14:paraId="093EB56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0.0</w:t>
                  </w:r>
                  <w:r>
                    <w:rPr>
                      <w:rFonts w:hint="eastAsia" w:eastAsia="仿宋" w:cs="Times New Roman"/>
                      <w:color w:val="000000" w:themeColor="text1"/>
                      <w:szCs w:val="21"/>
                      <w:highlight w:val="none"/>
                      <w:u w:val="none"/>
                      <w:lang w:val="en-US" w:eastAsia="zh-CN"/>
                      <w14:textFill>
                        <w14:solidFill>
                          <w14:schemeClr w14:val="tx1"/>
                        </w14:solidFill>
                      </w14:textFill>
                    </w:rPr>
                    <w:t>54</w:t>
                  </w:r>
                </w:p>
              </w:tc>
              <w:tc>
                <w:tcPr>
                  <w:tcW w:w="333" w:type="pct"/>
                  <w:tcBorders>
                    <w:tl2br w:val="nil"/>
                    <w:tr2bl w:val="nil"/>
                  </w:tcBorders>
                  <w:noWrap w:val="0"/>
                  <w:vAlign w:val="center"/>
                </w:tcPr>
                <w:p w14:paraId="07BB9F99">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0.0</w:t>
                  </w:r>
                  <w:r>
                    <w:rPr>
                      <w:rFonts w:hint="eastAsia" w:ascii="Times New Roman" w:hAnsi="Times New Roman" w:eastAsia="仿宋" w:cs="Times New Roman"/>
                      <w:color w:val="000000" w:themeColor="text1"/>
                      <w:szCs w:val="21"/>
                      <w:highlight w:val="none"/>
                      <w:u w:val="none"/>
                      <w:lang w:val="en-US" w:eastAsia="zh-CN"/>
                      <w14:textFill>
                        <w14:solidFill>
                          <w14:schemeClr w14:val="tx1"/>
                        </w14:solidFill>
                      </w14:textFill>
                    </w:rPr>
                    <w:t>43</w:t>
                  </w:r>
                </w:p>
              </w:tc>
            </w:tr>
          </w:tbl>
          <w:p w14:paraId="1FB75E19">
            <w:pPr>
              <w:spacing w:before="120" w:beforeLines="50" w:line="360" w:lineRule="auto"/>
              <w:ind w:firstLine="482" w:firstLineChars="200"/>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t>（</w:t>
            </w:r>
            <w:r>
              <w:rPr>
                <w:rFonts w:hint="default" w:ascii="Times New Roman" w:hAnsi="Times New Roman" w:eastAsia="仿宋" w:cs="Times New Roman"/>
                <w:b/>
                <w:bCs/>
                <w:color w:val="000000" w:themeColor="text1"/>
                <w:sz w:val="24"/>
                <w:szCs w:val="32"/>
                <w:highlight w:val="none"/>
                <w:u w:val="none"/>
                <w:lang w:val="en-US" w:eastAsia="zh-CN"/>
                <w14:textFill>
                  <w14:solidFill>
                    <w14:schemeClr w14:val="tx1"/>
                  </w14:solidFill>
                </w14:textFill>
              </w:rPr>
              <w:t>2</w:t>
            </w:r>
            <w:r>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t>）大气污染物排放核算</w:t>
            </w:r>
          </w:p>
          <w:p w14:paraId="5B7FF6C9">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表4-4项目大气污染物有组织排放量核算表</w:t>
            </w:r>
          </w:p>
          <w:tbl>
            <w:tblPr>
              <w:tblStyle w:val="24"/>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16"/>
              <w:gridCol w:w="1318"/>
              <w:gridCol w:w="744"/>
              <w:gridCol w:w="1680"/>
              <w:gridCol w:w="1572"/>
              <w:gridCol w:w="1299"/>
              <w:gridCol w:w="1430"/>
            </w:tblGrid>
            <w:tr w14:paraId="1BD09A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46" w:type="pct"/>
                  <w:tcBorders>
                    <w:tl2br w:val="nil"/>
                    <w:tr2bl w:val="nil"/>
                  </w:tcBorders>
                  <w:noWrap w:val="0"/>
                  <w:vAlign w:val="center"/>
                </w:tcPr>
                <w:p w14:paraId="395238B3">
                  <w:pPr>
                    <w:pStyle w:val="64"/>
                    <w:snapToGrid w:val="0"/>
                    <w:spacing w:before="36" w:beforeLines="15" w:line="276" w:lineRule="auto"/>
                    <w:jc w:val="center"/>
                    <w:rPr>
                      <w:rFonts w:hint="default" w:ascii="Times New Roman" w:hAnsi="Times New Roman" w:eastAsia="仿宋" w:cs="Times New Roman"/>
                      <w:b/>
                      <w:bCs/>
                      <w:color w:val="000000" w:themeColor="text1"/>
                      <w:spacing w:val="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pacing w:val="1"/>
                      <w:sz w:val="21"/>
                      <w:szCs w:val="21"/>
                      <w:highlight w:val="none"/>
                      <w:u w:val="none"/>
                      <w14:textFill>
                        <w14:solidFill>
                          <w14:schemeClr w14:val="tx1"/>
                        </w14:solidFill>
                      </w14:textFill>
                    </w:rPr>
                    <w:t>序号</w:t>
                  </w:r>
                </w:p>
              </w:tc>
              <w:tc>
                <w:tcPr>
                  <w:tcW w:w="778" w:type="pct"/>
                  <w:tcBorders>
                    <w:tl2br w:val="nil"/>
                    <w:tr2bl w:val="nil"/>
                  </w:tcBorders>
                  <w:noWrap w:val="0"/>
                  <w:vAlign w:val="center"/>
                </w:tcPr>
                <w:p w14:paraId="426E22DC">
                  <w:pPr>
                    <w:pStyle w:val="64"/>
                    <w:snapToGrid w:val="0"/>
                    <w:spacing w:before="36" w:beforeLines="15" w:line="276" w:lineRule="auto"/>
                    <w:jc w:val="center"/>
                    <w:rPr>
                      <w:rFonts w:hint="default" w:ascii="Times New Roman" w:hAnsi="Times New Roman" w:eastAsia="仿宋" w:cs="Times New Roman"/>
                      <w:b/>
                      <w:bCs/>
                      <w:color w:val="000000" w:themeColor="text1"/>
                      <w:spacing w:val="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pacing w:val="1"/>
                      <w:sz w:val="21"/>
                      <w:szCs w:val="21"/>
                      <w:highlight w:val="none"/>
                      <w:u w:val="none"/>
                      <w14:textFill>
                        <w14:solidFill>
                          <w14:schemeClr w14:val="tx1"/>
                        </w14:solidFill>
                      </w14:textFill>
                    </w:rPr>
                    <w:t>排放口编号</w:t>
                  </w:r>
                </w:p>
              </w:tc>
              <w:tc>
                <w:tcPr>
                  <w:tcW w:w="440" w:type="pct"/>
                  <w:tcBorders>
                    <w:tl2br w:val="nil"/>
                    <w:tr2bl w:val="nil"/>
                  </w:tcBorders>
                  <w:noWrap w:val="0"/>
                  <w:vAlign w:val="center"/>
                </w:tcPr>
                <w:p w14:paraId="04854232">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pacing w:val="1"/>
                      <w:sz w:val="21"/>
                      <w:szCs w:val="21"/>
                      <w:highlight w:val="none"/>
                      <w:u w:val="none"/>
                      <w14:textFill>
                        <w14:solidFill>
                          <w14:schemeClr w14:val="tx1"/>
                        </w14:solidFill>
                      </w14:textFill>
                    </w:rPr>
                    <w:t>污染物</w:t>
                  </w:r>
                </w:p>
              </w:tc>
              <w:tc>
                <w:tcPr>
                  <w:tcW w:w="993" w:type="pct"/>
                  <w:tcBorders>
                    <w:tl2br w:val="nil"/>
                    <w:tr2bl w:val="nil"/>
                  </w:tcBorders>
                  <w:noWrap w:val="0"/>
                  <w:vAlign w:val="center"/>
                </w:tcPr>
                <w:p w14:paraId="345F814F">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pacing w:val="1"/>
                      <w:sz w:val="21"/>
                      <w:szCs w:val="21"/>
                      <w:highlight w:val="none"/>
                      <w:u w:val="none"/>
                      <w14:textFill>
                        <w14:solidFill>
                          <w14:schemeClr w14:val="tx1"/>
                        </w14:solidFill>
                      </w14:textFill>
                    </w:rPr>
                    <w:t>主要污染防治措施</w:t>
                  </w:r>
                </w:p>
              </w:tc>
              <w:tc>
                <w:tcPr>
                  <w:tcW w:w="929" w:type="pct"/>
                  <w:tcBorders>
                    <w:tl2br w:val="nil"/>
                    <w:tr2bl w:val="nil"/>
                  </w:tcBorders>
                  <w:noWrap w:val="0"/>
                  <w:vAlign w:val="center"/>
                </w:tcPr>
                <w:p w14:paraId="772181D3">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pacing w:val="2"/>
                      <w:sz w:val="21"/>
                      <w:szCs w:val="21"/>
                      <w:highlight w:val="none"/>
                      <w:u w:val="none"/>
                      <w14:textFill>
                        <w14:solidFill>
                          <w14:schemeClr w14:val="tx1"/>
                        </w14:solidFill>
                      </w14:textFill>
                    </w:rPr>
                    <w:t>核算排</w:t>
                  </w:r>
                  <w:r>
                    <w:rPr>
                      <w:rFonts w:hint="default" w:ascii="Times New Roman" w:hAnsi="Times New Roman" w:eastAsia="仿宋" w:cs="Times New Roman"/>
                      <w:b/>
                      <w:bCs/>
                      <w:color w:val="000000" w:themeColor="text1"/>
                      <w:spacing w:val="-1"/>
                      <w:sz w:val="21"/>
                      <w:szCs w:val="21"/>
                      <w:highlight w:val="none"/>
                      <w:u w:val="none"/>
                      <w14:textFill>
                        <w14:solidFill>
                          <w14:schemeClr w14:val="tx1"/>
                        </w14:solidFill>
                      </w14:textFill>
                    </w:rPr>
                    <w:t>放</w:t>
                  </w: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浓</w:t>
                  </w:r>
                  <w:r>
                    <w:rPr>
                      <w:rFonts w:hint="default" w:ascii="Times New Roman" w:hAnsi="Times New Roman" w:eastAsia="仿宋" w:cs="Times New Roman"/>
                      <w:b/>
                      <w:bCs/>
                      <w:color w:val="000000" w:themeColor="text1"/>
                      <w:spacing w:val="-2"/>
                      <w:sz w:val="21"/>
                      <w:szCs w:val="21"/>
                      <w:highlight w:val="none"/>
                      <w:u w:val="none"/>
                      <w14:textFill>
                        <w14:solidFill>
                          <w14:schemeClr w14:val="tx1"/>
                        </w14:solidFill>
                      </w14:textFill>
                    </w:rPr>
                    <w:t>度/（mg/m</w:t>
                  </w:r>
                  <w:r>
                    <w:rPr>
                      <w:rFonts w:hint="default" w:ascii="Times New Roman" w:hAnsi="Times New Roman" w:eastAsia="仿宋" w:cs="Times New Roman"/>
                      <w:b/>
                      <w:bCs/>
                      <w:color w:val="000000" w:themeColor="text1"/>
                      <w:spacing w:val="-2"/>
                      <w:sz w:val="21"/>
                      <w:szCs w:val="21"/>
                      <w:highlight w:val="none"/>
                      <w:u w:val="none"/>
                      <w:vertAlign w:val="superscript"/>
                      <w14:textFill>
                        <w14:solidFill>
                          <w14:schemeClr w14:val="tx1"/>
                        </w14:solidFill>
                      </w14:textFill>
                    </w:rPr>
                    <w:t>3</w:t>
                  </w:r>
                  <w:r>
                    <w:rPr>
                      <w:rFonts w:hint="default" w:ascii="Times New Roman" w:hAnsi="Times New Roman" w:eastAsia="仿宋" w:cs="Times New Roman"/>
                      <w:b/>
                      <w:bCs/>
                      <w:color w:val="000000" w:themeColor="text1"/>
                      <w:spacing w:val="-2"/>
                      <w:sz w:val="21"/>
                      <w:szCs w:val="21"/>
                      <w:highlight w:val="none"/>
                      <w:u w:val="none"/>
                      <w14:textFill>
                        <w14:solidFill>
                          <w14:schemeClr w14:val="tx1"/>
                        </w14:solidFill>
                      </w14:textFill>
                    </w:rPr>
                    <w:t>）</w:t>
                  </w:r>
                </w:p>
              </w:tc>
              <w:tc>
                <w:tcPr>
                  <w:tcW w:w="767" w:type="pct"/>
                  <w:tcBorders>
                    <w:tl2br w:val="nil"/>
                    <w:tr2bl w:val="nil"/>
                  </w:tcBorders>
                  <w:noWrap w:val="0"/>
                  <w:vAlign w:val="center"/>
                </w:tcPr>
                <w:p w14:paraId="1EA3ECA9">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pacing w:val="2"/>
                      <w:sz w:val="21"/>
                      <w:szCs w:val="21"/>
                      <w:highlight w:val="none"/>
                      <w:u w:val="none"/>
                      <w14:textFill>
                        <w14:solidFill>
                          <w14:schemeClr w14:val="tx1"/>
                        </w14:solidFill>
                      </w14:textFill>
                    </w:rPr>
                    <w:t>核算排</w:t>
                  </w:r>
                  <w:r>
                    <w:rPr>
                      <w:rFonts w:hint="default" w:ascii="Times New Roman" w:hAnsi="Times New Roman" w:eastAsia="仿宋" w:cs="Times New Roman"/>
                      <w:b/>
                      <w:bCs/>
                      <w:color w:val="000000" w:themeColor="text1"/>
                      <w:spacing w:val="-1"/>
                      <w:sz w:val="21"/>
                      <w:szCs w:val="21"/>
                      <w:highlight w:val="none"/>
                      <w:u w:val="none"/>
                      <w14:textFill>
                        <w14:solidFill>
                          <w14:schemeClr w14:val="tx1"/>
                        </w14:solidFill>
                      </w14:textFill>
                    </w:rPr>
                    <w:t>放</w:t>
                  </w: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速</w:t>
                  </w:r>
                  <w:r>
                    <w:rPr>
                      <w:rFonts w:hint="default" w:ascii="Times New Roman" w:hAnsi="Times New Roman" w:eastAsia="仿宋" w:cs="Times New Roman"/>
                      <w:b/>
                      <w:bCs/>
                      <w:color w:val="000000" w:themeColor="text1"/>
                      <w:w w:val="95"/>
                      <w:sz w:val="21"/>
                      <w:szCs w:val="21"/>
                      <w:highlight w:val="none"/>
                      <w:u w:val="none"/>
                      <w14:textFill>
                        <w14:solidFill>
                          <w14:schemeClr w14:val="tx1"/>
                        </w14:solidFill>
                      </w14:textFill>
                    </w:rPr>
                    <w:t>率/（kg/h）</w:t>
                  </w:r>
                </w:p>
              </w:tc>
              <w:tc>
                <w:tcPr>
                  <w:tcW w:w="844" w:type="pct"/>
                  <w:tcBorders>
                    <w:tl2br w:val="nil"/>
                    <w:tr2bl w:val="nil"/>
                  </w:tcBorders>
                  <w:noWrap w:val="0"/>
                  <w:vAlign w:val="center"/>
                </w:tcPr>
                <w:p w14:paraId="5FC2FCD8">
                  <w:pPr>
                    <w:pStyle w:val="64"/>
                    <w:snapToGrid w:val="0"/>
                    <w:spacing w:before="36" w:beforeLines="15" w:line="276" w:lineRule="auto"/>
                    <w:jc w:val="center"/>
                    <w:rPr>
                      <w:rFonts w:hint="default" w:ascii="Times New Roman" w:hAnsi="Times New Roman" w:eastAsia="仿宋" w:cs="Times New Roman"/>
                      <w:b/>
                      <w:bCs/>
                      <w:color w:val="000000" w:themeColor="text1"/>
                      <w:spacing w:val="2"/>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pacing w:val="2"/>
                      <w:sz w:val="21"/>
                      <w:szCs w:val="21"/>
                      <w:highlight w:val="none"/>
                      <w:u w:val="none"/>
                      <w14:textFill>
                        <w14:solidFill>
                          <w14:schemeClr w14:val="tx1"/>
                        </w14:solidFill>
                      </w14:textFill>
                    </w:rPr>
                    <w:t>核算年排放量/（t/a）</w:t>
                  </w:r>
                </w:p>
              </w:tc>
            </w:tr>
            <w:tr w14:paraId="21991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7"/>
                  <w:tcBorders>
                    <w:tl2br w:val="nil"/>
                    <w:tr2bl w:val="nil"/>
                  </w:tcBorders>
                  <w:noWrap w:val="0"/>
                  <w:vAlign w:val="center"/>
                </w:tcPr>
                <w:p w14:paraId="182DD105">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一般排放口</w:t>
                  </w:r>
                </w:p>
              </w:tc>
            </w:tr>
            <w:tr w14:paraId="5E1C7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46" w:type="pct"/>
                  <w:tcBorders>
                    <w:tl2br w:val="nil"/>
                    <w:tr2bl w:val="nil"/>
                  </w:tcBorders>
                  <w:noWrap w:val="0"/>
                  <w:vAlign w:val="center"/>
                </w:tcPr>
                <w:p w14:paraId="60EC8D9F">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1</w:t>
                  </w:r>
                </w:p>
              </w:tc>
              <w:tc>
                <w:tcPr>
                  <w:tcW w:w="778" w:type="pct"/>
                  <w:tcBorders>
                    <w:tl2br w:val="nil"/>
                    <w:tr2bl w:val="nil"/>
                  </w:tcBorders>
                  <w:noWrap w:val="0"/>
                  <w:vAlign w:val="center"/>
                </w:tcPr>
                <w:p w14:paraId="0B8B73DF">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DA00</w:t>
                  </w: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w:t>
                  </w:r>
                </w:p>
              </w:tc>
              <w:tc>
                <w:tcPr>
                  <w:tcW w:w="440" w:type="pct"/>
                  <w:tcBorders>
                    <w:tl2br w:val="nil"/>
                    <w:tr2bl w:val="nil"/>
                  </w:tcBorders>
                  <w:noWrap w:val="0"/>
                  <w:vAlign w:val="center"/>
                </w:tcPr>
                <w:p w14:paraId="6B2DD3D9">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颗粒物</w:t>
                  </w:r>
                </w:p>
              </w:tc>
              <w:tc>
                <w:tcPr>
                  <w:tcW w:w="993" w:type="pct"/>
                  <w:tcBorders>
                    <w:tl2br w:val="nil"/>
                    <w:tr2bl w:val="nil"/>
                  </w:tcBorders>
                  <w:noWrap w:val="0"/>
                  <w:vAlign w:val="center"/>
                </w:tcPr>
                <w:p w14:paraId="6CE01425">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布袋除尘</w:t>
                  </w: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w:t>
                  </w:r>
                  <w:r>
                    <w:rPr>
                      <w:rFonts w:hint="eastAsia" w:eastAsia="仿宋" w:cs="Times New Roman"/>
                      <w:color w:val="000000" w:themeColor="text1"/>
                      <w:sz w:val="21"/>
                      <w:szCs w:val="21"/>
                      <w:highlight w:val="none"/>
                      <w:u w:val="none"/>
                      <w:lang w:eastAsia="zh-CN"/>
                      <w14:textFill>
                        <w14:solidFill>
                          <w14:schemeClr w14:val="tx1"/>
                        </w14:solidFill>
                      </w14:textFill>
                    </w:rPr>
                    <w:t>16m</w:t>
                  </w: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高排气筒</w:t>
                  </w:r>
                </w:p>
              </w:tc>
              <w:tc>
                <w:tcPr>
                  <w:tcW w:w="929" w:type="pct"/>
                  <w:tcBorders>
                    <w:tl2br w:val="nil"/>
                    <w:tr2bl w:val="nil"/>
                  </w:tcBorders>
                  <w:noWrap w:val="0"/>
                  <w:vAlign w:val="center"/>
                </w:tcPr>
                <w:p w14:paraId="658C9C96">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kern w:val="0"/>
                      <w:szCs w:val="21"/>
                      <w:highlight w:val="none"/>
                      <w:u w:val="none"/>
                      <w:lang w:val="en-US" w:eastAsia="zh-CN"/>
                      <w14:textFill>
                        <w14:solidFill>
                          <w14:schemeClr w14:val="tx1"/>
                        </w14:solidFill>
                      </w14:textFill>
                    </w:rPr>
                  </w:pPr>
                  <w:r>
                    <w:rPr>
                      <w:rFonts w:hint="eastAsia" w:eastAsia="仿宋" w:cs="Times New Roman"/>
                      <w:color w:val="000000" w:themeColor="text1"/>
                      <w:kern w:val="0"/>
                      <w:szCs w:val="21"/>
                      <w:highlight w:val="none"/>
                      <w:u w:val="none"/>
                      <w:lang w:val="en-US" w:eastAsia="zh-CN"/>
                      <w14:textFill>
                        <w14:solidFill>
                          <w14:schemeClr w14:val="tx1"/>
                        </w14:solidFill>
                      </w14:textFill>
                    </w:rPr>
                    <w:t>91.67</w:t>
                  </w:r>
                </w:p>
              </w:tc>
              <w:tc>
                <w:tcPr>
                  <w:tcW w:w="767" w:type="pct"/>
                  <w:tcBorders>
                    <w:tl2br w:val="nil"/>
                    <w:tr2bl w:val="nil"/>
                  </w:tcBorders>
                  <w:noWrap w:val="0"/>
                  <w:vAlign w:val="center"/>
                </w:tcPr>
                <w:p w14:paraId="53CA105F">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kern w:val="0"/>
                      <w:szCs w:val="21"/>
                      <w:highlight w:val="none"/>
                      <w:u w:val="none"/>
                      <w:lang w:val="en-US" w:eastAsia="zh-CN"/>
                      <w14:textFill>
                        <w14:solidFill>
                          <w14:schemeClr w14:val="tx1"/>
                        </w14:solidFill>
                      </w14:textFill>
                    </w:rPr>
                  </w:pPr>
                  <w:r>
                    <w:rPr>
                      <w:rFonts w:hint="eastAsia" w:eastAsia="仿宋" w:cs="Times New Roman"/>
                      <w:color w:val="000000" w:themeColor="text1"/>
                      <w:kern w:val="0"/>
                      <w:szCs w:val="21"/>
                      <w:highlight w:val="none"/>
                      <w:u w:val="none"/>
                      <w:lang w:val="en-US" w:eastAsia="zh-CN"/>
                      <w14:textFill>
                        <w14:solidFill>
                          <w14:schemeClr w14:val="tx1"/>
                        </w14:solidFill>
                      </w14:textFill>
                    </w:rPr>
                    <w:t>1.375</w:t>
                  </w:r>
                </w:p>
              </w:tc>
              <w:tc>
                <w:tcPr>
                  <w:tcW w:w="844" w:type="pct"/>
                  <w:tcBorders>
                    <w:tl2br w:val="nil"/>
                    <w:tr2bl w:val="nil"/>
                  </w:tcBorders>
                  <w:noWrap w:val="0"/>
                  <w:vAlign w:val="center"/>
                </w:tcPr>
                <w:p w14:paraId="4111D701">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kern w:val="0"/>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kern w:val="0"/>
                      <w:szCs w:val="21"/>
                      <w:highlight w:val="none"/>
                      <w:u w:val="none"/>
                      <w:lang w:val="en-US" w:eastAsia="zh-CN"/>
                      <w14:textFill>
                        <w14:solidFill>
                          <w14:schemeClr w14:val="tx1"/>
                        </w14:solidFill>
                      </w14:textFill>
                    </w:rPr>
                    <w:t>1.1</w:t>
                  </w:r>
                </w:p>
              </w:tc>
            </w:tr>
            <w:tr w14:paraId="7E6E7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7"/>
                  <w:tcBorders>
                    <w:tl2br w:val="nil"/>
                    <w:tr2bl w:val="nil"/>
                  </w:tcBorders>
                  <w:noWrap w:val="0"/>
                  <w:vAlign w:val="center"/>
                </w:tcPr>
                <w:p w14:paraId="5D33EA92">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有组织排放总计</w:t>
                  </w:r>
                </w:p>
              </w:tc>
            </w:tr>
            <w:tr w14:paraId="0AEC7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25" w:type="pct"/>
                  <w:gridSpan w:val="2"/>
                  <w:tcBorders>
                    <w:tl2br w:val="nil"/>
                    <w:tr2bl w:val="nil"/>
                  </w:tcBorders>
                  <w:noWrap w:val="0"/>
                  <w:vAlign w:val="center"/>
                </w:tcPr>
                <w:p w14:paraId="087A3F43">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有组织排放总计</w:t>
                  </w:r>
                </w:p>
              </w:tc>
              <w:tc>
                <w:tcPr>
                  <w:tcW w:w="3130" w:type="pct"/>
                  <w:gridSpan w:val="4"/>
                  <w:tcBorders>
                    <w:tl2br w:val="nil"/>
                    <w:tr2bl w:val="nil"/>
                  </w:tcBorders>
                  <w:noWrap w:val="0"/>
                  <w:vAlign w:val="center"/>
                </w:tcPr>
                <w:p w14:paraId="0F51147C">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颗粒物</w:t>
                  </w:r>
                </w:p>
              </w:tc>
              <w:tc>
                <w:tcPr>
                  <w:tcW w:w="844" w:type="pct"/>
                  <w:tcBorders>
                    <w:tl2br w:val="nil"/>
                    <w:tr2bl w:val="nil"/>
                  </w:tcBorders>
                  <w:noWrap w:val="0"/>
                  <w:vAlign w:val="center"/>
                </w:tcPr>
                <w:p w14:paraId="2BEBE0B3">
                  <w:pPr>
                    <w:jc w:val="center"/>
                    <w:rPr>
                      <w:rFonts w:hint="default" w:ascii="Times New Roman" w:hAnsi="Times New Roman" w:eastAsia="仿宋" w:cs="Times New Roman"/>
                      <w:color w:val="000000" w:themeColor="text1"/>
                      <w:kern w:val="0"/>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Cs w:val="21"/>
                      <w:highlight w:val="none"/>
                      <w:u w:val="none"/>
                      <w:lang w:val="en-US" w:eastAsia="zh-CN"/>
                      <w14:textFill>
                        <w14:solidFill>
                          <w14:schemeClr w14:val="tx1"/>
                        </w14:solidFill>
                      </w14:textFill>
                    </w:rPr>
                    <w:t>1.1</w:t>
                  </w:r>
                </w:p>
              </w:tc>
            </w:tr>
          </w:tbl>
          <w:p w14:paraId="3B01668F">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表4-5项目大气污染物无组织排放量核算表</w:t>
            </w:r>
          </w:p>
          <w:tbl>
            <w:tblPr>
              <w:tblStyle w:val="24"/>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48"/>
              <w:gridCol w:w="604"/>
              <w:gridCol w:w="836"/>
              <w:gridCol w:w="795"/>
              <w:gridCol w:w="1707"/>
              <w:gridCol w:w="2010"/>
              <w:gridCol w:w="986"/>
              <w:gridCol w:w="1073"/>
            </w:tblGrid>
            <w:tr w14:paraId="5E336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65" w:type="pct"/>
                  <w:vMerge w:val="restart"/>
                  <w:tcBorders>
                    <w:tl2br w:val="nil"/>
                    <w:tr2bl w:val="nil"/>
                  </w:tcBorders>
                  <w:noWrap w:val="0"/>
                  <w:vAlign w:val="center"/>
                </w:tcPr>
                <w:p w14:paraId="5A238975">
                  <w:pPr>
                    <w:pStyle w:val="64"/>
                    <w:snapToGrid w:val="0"/>
                    <w:spacing w:before="36" w:beforeLines="15"/>
                    <w:jc w:val="cente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序号</w:t>
                  </w:r>
                </w:p>
              </w:tc>
              <w:tc>
                <w:tcPr>
                  <w:tcW w:w="356" w:type="pct"/>
                  <w:vMerge w:val="restart"/>
                  <w:tcBorders>
                    <w:tl2br w:val="nil"/>
                    <w:tr2bl w:val="nil"/>
                  </w:tcBorders>
                  <w:noWrap w:val="0"/>
                  <w:vAlign w:val="center"/>
                </w:tcPr>
                <w:p w14:paraId="68793253">
                  <w:pPr>
                    <w:pStyle w:val="64"/>
                    <w:snapToGrid w:val="0"/>
                    <w:spacing w:before="36" w:beforeLines="15"/>
                    <w:jc w:val="cente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排放口编号</w:t>
                  </w:r>
                </w:p>
              </w:tc>
              <w:tc>
                <w:tcPr>
                  <w:tcW w:w="494" w:type="pct"/>
                  <w:vMerge w:val="restart"/>
                  <w:tcBorders>
                    <w:tl2br w:val="nil"/>
                    <w:tr2bl w:val="nil"/>
                  </w:tcBorders>
                  <w:noWrap w:val="0"/>
                  <w:vAlign w:val="center"/>
                </w:tcPr>
                <w:p w14:paraId="4E6FACED">
                  <w:pPr>
                    <w:pStyle w:val="64"/>
                    <w:snapToGrid w:val="0"/>
                    <w:spacing w:before="36" w:beforeLines="15"/>
                    <w:jc w:val="cente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产污环节</w:t>
                  </w:r>
                </w:p>
              </w:tc>
              <w:tc>
                <w:tcPr>
                  <w:tcW w:w="470" w:type="pct"/>
                  <w:vMerge w:val="restart"/>
                  <w:tcBorders>
                    <w:tl2br w:val="nil"/>
                    <w:tr2bl w:val="nil"/>
                  </w:tcBorders>
                  <w:noWrap w:val="0"/>
                  <w:vAlign w:val="center"/>
                </w:tcPr>
                <w:p w14:paraId="78205DA7">
                  <w:pPr>
                    <w:pStyle w:val="64"/>
                    <w:snapToGrid w:val="0"/>
                    <w:spacing w:before="36" w:beforeLines="15"/>
                    <w:jc w:val="cente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pacing w:val="1"/>
                      <w:sz w:val="21"/>
                      <w:szCs w:val="21"/>
                      <w:highlight w:val="none"/>
                      <w:u w:val="none"/>
                      <w14:textFill>
                        <w14:solidFill>
                          <w14:schemeClr w14:val="tx1"/>
                        </w14:solidFill>
                      </w14:textFill>
                    </w:rPr>
                    <w:t>污染物</w:t>
                  </w:r>
                </w:p>
              </w:tc>
              <w:tc>
                <w:tcPr>
                  <w:tcW w:w="1009" w:type="pct"/>
                  <w:vMerge w:val="restart"/>
                  <w:tcBorders>
                    <w:tl2br w:val="nil"/>
                    <w:tr2bl w:val="nil"/>
                  </w:tcBorders>
                  <w:noWrap w:val="0"/>
                  <w:vAlign w:val="center"/>
                </w:tcPr>
                <w:p w14:paraId="799AD9F9">
                  <w:pPr>
                    <w:pStyle w:val="64"/>
                    <w:snapToGrid w:val="0"/>
                    <w:spacing w:before="36" w:beforeLines="15"/>
                    <w:jc w:val="cente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主要污染防治措施</w:t>
                  </w:r>
                </w:p>
              </w:tc>
              <w:tc>
                <w:tcPr>
                  <w:tcW w:w="1771" w:type="pct"/>
                  <w:gridSpan w:val="2"/>
                  <w:tcBorders>
                    <w:tl2br w:val="nil"/>
                    <w:tr2bl w:val="nil"/>
                  </w:tcBorders>
                  <w:noWrap w:val="0"/>
                  <w:vAlign w:val="center"/>
                </w:tcPr>
                <w:p w14:paraId="0EB76D19">
                  <w:pPr>
                    <w:pStyle w:val="64"/>
                    <w:snapToGrid w:val="0"/>
                    <w:spacing w:before="36" w:beforeLines="15"/>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pacing w:val="1"/>
                      <w:sz w:val="21"/>
                      <w:szCs w:val="21"/>
                      <w:highlight w:val="none"/>
                      <w:u w:val="none"/>
                      <w14:textFill>
                        <w14:solidFill>
                          <w14:schemeClr w14:val="tx1"/>
                        </w14:solidFill>
                      </w14:textFill>
                    </w:rPr>
                    <w:t>国家或地方污染物排放标准</w:t>
                  </w:r>
                </w:p>
              </w:tc>
              <w:tc>
                <w:tcPr>
                  <w:tcW w:w="632" w:type="pct"/>
                  <w:vMerge w:val="restart"/>
                  <w:tcBorders>
                    <w:tl2br w:val="nil"/>
                    <w:tr2bl w:val="nil"/>
                  </w:tcBorders>
                  <w:noWrap w:val="0"/>
                  <w:vAlign w:val="center"/>
                </w:tcPr>
                <w:p w14:paraId="3913A736">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pacing w:val="1"/>
                      <w:sz w:val="21"/>
                      <w:szCs w:val="21"/>
                      <w:highlight w:val="none"/>
                      <w:u w:val="none"/>
                      <w14:textFill>
                        <w14:solidFill>
                          <w14:schemeClr w14:val="tx1"/>
                        </w14:solidFill>
                      </w14:textFill>
                    </w:rPr>
                    <w:t>年排放量</w:t>
                  </w: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（t/a）</w:t>
                  </w:r>
                </w:p>
              </w:tc>
            </w:tr>
            <w:tr w14:paraId="13938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65" w:type="pct"/>
                  <w:vMerge w:val="continue"/>
                  <w:tcBorders>
                    <w:tl2br w:val="nil"/>
                    <w:tr2bl w:val="nil"/>
                  </w:tcBorders>
                  <w:noWrap w:val="0"/>
                  <w:vAlign w:val="center"/>
                </w:tcPr>
                <w:p w14:paraId="3C4A6B8A">
                  <w:pPr>
                    <w:adjustRightInd w:val="0"/>
                    <w:snapToGrid w:val="0"/>
                    <w:spacing w:before="36" w:beforeLines="15"/>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p>
              </w:tc>
              <w:tc>
                <w:tcPr>
                  <w:tcW w:w="356" w:type="pct"/>
                  <w:vMerge w:val="continue"/>
                  <w:tcBorders>
                    <w:tl2br w:val="nil"/>
                    <w:tr2bl w:val="nil"/>
                  </w:tcBorders>
                  <w:noWrap w:val="0"/>
                  <w:vAlign w:val="center"/>
                </w:tcPr>
                <w:p w14:paraId="27F57E49">
                  <w:pPr>
                    <w:adjustRightInd w:val="0"/>
                    <w:snapToGrid w:val="0"/>
                    <w:spacing w:before="36" w:beforeLines="15"/>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p>
              </w:tc>
              <w:tc>
                <w:tcPr>
                  <w:tcW w:w="494" w:type="pct"/>
                  <w:vMerge w:val="continue"/>
                  <w:tcBorders>
                    <w:tl2br w:val="nil"/>
                    <w:tr2bl w:val="nil"/>
                  </w:tcBorders>
                  <w:noWrap w:val="0"/>
                  <w:vAlign w:val="center"/>
                </w:tcPr>
                <w:p w14:paraId="6587540D">
                  <w:pPr>
                    <w:adjustRightInd w:val="0"/>
                    <w:snapToGrid w:val="0"/>
                    <w:spacing w:before="36" w:beforeLines="15"/>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p>
              </w:tc>
              <w:tc>
                <w:tcPr>
                  <w:tcW w:w="470" w:type="pct"/>
                  <w:vMerge w:val="continue"/>
                  <w:tcBorders>
                    <w:tl2br w:val="nil"/>
                    <w:tr2bl w:val="nil"/>
                  </w:tcBorders>
                  <w:noWrap w:val="0"/>
                  <w:vAlign w:val="center"/>
                </w:tcPr>
                <w:p w14:paraId="1E4FF317">
                  <w:pPr>
                    <w:adjustRightInd w:val="0"/>
                    <w:snapToGrid w:val="0"/>
                    <w:spacing w:before="36" w:beforeLines="15"/>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p>
              </w:tc>
              <w:tc>
                <w:tcPr>
                  <w:tcW w:w="1009" w:type="pct"/>
                  <w:vMerge w:val="continue"/>
                  <w:tcBorders>
                    <w:tl2br w:val="nil"/>
                    <w:tr2bl w:val="nil"/>
                  </w:tcBorders>
                  <w:noWrap w:val="0"/>
                  <w:vAlign w:val="center"/>
                </w:tcPr>
                <w:p w14:paraId="2B152600">
                  <w:pPr>
                    <w:adjustRightInd w:val="0"/>
                    <w:snapToGrid w:val="0"/>
                    <w:spacing w:before="36" w:beforeLines="15"/>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p>
              </w:tc>
              <w:tc>
                <w:tcPr>
                  <w:tcW w:w="1188" w:type="pct"/>
                  <w:tcBorders>
                    <w:tl2br w:val="nil"/>
                    <w:tr2bl w:val="nil"/>
                  </w:tcBorders>
                  <w:noWrap w:val="0"/>
                  <w:vAlign w:val="center"/>
                </w:tcPr>
                <w:p w14:paraId="6EA2F312">
                  <w:pPr>
                    <w:pStyle w:val="64"/>
                    <w:snapToGrid w:val="0"/>
                    <w:spacing w:before="36" w:beforeLines="15"/>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pacing w:val="1"/>
                      <w:sz w:val="21"/>
                      <w:szCs w:val="21"/>
                      <w:highlight w:val="none"/>
                      <w:u w:val="none"/>
                      <w14:textFill>
                        <w14:solidFill>
                          <w14:schemeClr w14:val="tx1"/>
                        </w14:solidFill>
                      </w14:textFill>
                    </w:rPr>
                    <w:t>标准名称</w:t>
                  </w:r>
                </w:p>
              </w:tc>
              <w:tc>
                <w:tcPr>
                  <w:tcW w:w="583" w:type="pct"/>
                  <w:tcBorders>
                    <w:tl2br w:val="nil"/>
                    <w:tr2bl w:val="nil"/>
                  </w:tcBorders>
                  <w:noWrap w:val="0"/>
                  <w:vAlign w:val="center"/>
                </w:tcPr>
                <w:p w14:paraId="7CB78796">
                  <w:pPr>
                    <w:pStyle w:val="64"/>
                    <w:snapToGrid w:val="0"/>
                    <w:spacing w:before="36" w:beforeLines="15"/>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pacing w:val="2"/>
                      <w:sz w:val="21"/>
                      <w:szCs w:val="21"/>
                      <w:highlight w:val="none"/>
                      <w:u w:val="none"/>
                      <w14:textFill>
                        <w14:solidFill>
                          <w14:schemeClr w14:val="tx1"/>
                        </w14:solidFill>
                      </w14:textFill>
                    </w:rPr>
                    <w:t>浓度限</w:t>
                  </w:r>
                  <w:r>
                    <w:rPr>
                      <w:rFonts w:hint="default" w:ascii="Times New Roman" w:hAnsi="Times New Roman" w:eastAsia="仿宋" w:cs="Times New Roman"/>
                      <w:b/>
                      <w:bCs/>
                      <w:color w:val="000000" w:themeColor="text1"/>
                      <w:spacing w:val="-1"/>
                      <w:sz w:val="21"/>
                      <w:szCs w:val="21"/>
                      <w:highlight w:val="none"/>
                      <w:u w:val="none"/>
                      <w14:textFill>
                        <w14:solidFill>
                          <w14:schemeClr w14:val="tx1"/>
                        </w14:solidFill>
                      </w14:textFill>
                    </w:rPr>
                    <w:t>值</w:t>
                  </w: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/（g/m</w:t>
                  </w:r>
                  <w:r>
                    <w:rPr>
                      <w:rFonts w:hint="default" w:ascii="Times New Roman" w:hAnsi="Times New Roman" w:eastAsia="仿宋" w:cs="Times New Roman"/>
                      <w:b/>
                      <w:bCs/>
                      <w:color w:val="000000" w:themeColor="text1"/>
                      <w:sz w:val="21"/>
                      <w:szCs w:val="21"/>
                      <w:highlight w:val="none"/>
                      <w:u w:val="none"/>
                      <w:vertAlign w:val="superscript"/>
                      <w14:textFill>
                        <w14:solidFill>
                          <w14:schemeClr w14:val="tx1"/>
                        </w14:solidFill>
                      </w14:textFill>
                    </w:rPr>
                    <w:t>3</w:t>
                  </w: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w:t>
                  </w:r>
                </w:p>
              </w:tc>
              <w:tc>
                <w:tcPr>
                  <w:tcW w:w="632" w:type="pct"/>
                  <w:vMerge w:val="continue"/>
                  <w:tcBorders>
                    <w:tl2br w:val="nil"/>
                    <w:tr2bl w:val="nil"/>
                  </w:tcBorders>
                  <w:noWrap w:val="0"/>
                  <w:vAlign w:val="center"/>
                </w:tcPr>
                <w:p w14:paraId="0A1366EF">
                  <w:pPr>
                    <w:adjustRightInd w:val="0"/>
                    <w:snapToGrid w:val="0"/>
                    <w:spacing w:before="36" w:beforeLines="15" w:line="276" w:lineRule="auto"/>
                    <w:rPr>
                      <w:rFonts w:hint="default" w:ascii="Times New Roman" w:hAnsi="Times New Roman" w:eastAsia="仿宋" w:cs="Times New Roman"/>
                      <w:color w:val="000000" w:themeColor="text1"/>
                      <w:szCs w:val="21"/>
                      <w:highlight w:val="none"/>
                      <w:u w:val="none"/>
                      <w14:textFill>
                        <w14:solidFill>
                          <w14:schemeClr w14:val="tx1"/>
                        </w14:solidFill>
                      </w14:textFill>
                    </w:rPr>
                  </w:pPr>
                </w:p>
              </w:tc>
            </w:tr>
            <w:tr w14:paraId="2F5AC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55" w:hRule="atLeast"/>
                <w:jc w:val="center"/>
              </w:trPr>
              <w:tc>
                <w:tcPr>
                  <w:tcW w:w="265" w:type="pct"/>
                  <w:tcBorders>
                    <w:tl2br w:val="nil"/>
                    <w:tr2bl w:val="nil"/>
                  </w:tcBorders>
                  <w:noWrap w:val="0"/>
                  <w:vAlign w:val="center"/>
                </w:tcPr>
                <w:p w14:paraId="36A1E7C5">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1</w:t>
                  </w:r>
                </w:p>
              </w:tc>
              <w:tc>
                <w:tcPr>
                  <w:tcW w:w="356" w:type="pct"/>
                  <w:tcBorders>
                    <w:tl2br w:val="nil"/>
                    <w:tr2bl w:val="nil"/>
                  </w:tcBorders>
                  <w:noWrap w:val="0"/>
                  <w:vAlign w:val="center"/>
                </w:tcPr>
                <w:p w14:paraId="54790E21">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生产车间</w:t>
                  </w:r>
                </w:p>
              </w:tc>
              <w:tc>
                <w:tcPr>
                  <w:tcW w:w="494" w:type="pct"/>
                  <w:tcBorders>
                    <w:tl2br w:val="nil"/>
                    <w:tr2bl w:val="nil"/>
                  </w:tcBorders>
                  <w:noWrap w:val="0"/>
                  <w:vAlign w:val="center"/>
                </w:tcPr>
                <w:p w14:paraId="65D82EAA">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制粒</w:t>
                  </w:r>
                </w:p>
              </w:tc>
              <w:tc>
                <w:tcPr>
                  <w:tcW w:w="470" w:type="pct"/>
                  <w:vMerge w:val="restart"/>
                  <w:tcBorders>
                    <w:tl2br w:val="nil"/>
                    <w:tr2bl w:val="nil"/>
                  </w:tcBorders>
                  <w:noWrap w:val="0"/>
                  <w:vAlign w:val="center"/>
                </w:tcPr>
                <w:p w14:paraId="2286604E">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颗粒物</w:t>
                  </w:r>
                </w:p>
              </w:tc>
              <w:tc>
                <w:tcPr>
                  <w:tcW w:w="1009" w:type="pct"/>
                  <w:vMerge w:val="restart"/>
                  <w:tcBorders>
                    <w:tl2br w:val="nil"/>
                    <w:tr2bl w:val="nil"/>
                  </w:tcBorders>
                  <w:noWrap w:val="0"/>
                  <w:vAlign w:val="center"/>
                </w:tcPr>
                <w:p w14:paraId="5E24198B">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加强收集措</w:t>
                  </w:r>
                </w:p>
                <w:p w14:paraId="70ECF582">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施维护，减少</w:t>
                  </w:r>
                </w:p>
                <w:p w14:paraId="4C7453C4">
                  <w:pPr>
                    <w:pStyle w:val="64"/>
                    <w:snapToGrid w:val="0"/>
                    <w:spacing w:before="36" w:beforeLines="15" w:line="276" w:lineRule="auto"/>
                    <w:jc w:val="center"/>
                    <w:rPr>
                      <w:rFonts w:hint="eastAsia" w:ascii="Times New Roman" w:hAnsi="Times New Roman" w:eastAsia="仿宋"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无组织排放</w:t>
                  </w:r>
                  <w:r>
                    <w:rPr>
                      <w:rFonts w:hint="eastAsia" w:ascii="Times New Roman" w:hAnsi="Times New Roman" w:eastAsia="仿宋" w:cs="Times New Roman"/>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车间内落地粉尘定期进行打扫清理</w:t>
                  </w:r>
                </w:p>
              </w:tc>
              <w:tc>
                <w:tcPr>
                  <w:tcW w:w="1188" w:type="pct"/>
                  <w:vMerge w:val="restart"/>
                  <w:tcBorders>
                    <w:tl2br w:val="nil"/>
                    <w:tr2bl w:val="nil"/>
                  </w:tcBorders>
                  <w:noWrap w:val="0"/>
                  <w:vAlign w:val="center"/>
                </w:tcPr>
                <w:p w14:paraId="110AE459">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《大气污染物综合排放标准》（GB16297-1996）</w:t>
                  </w:r>
                </w:p>
              </w:tc>
              <w:tc>
                <w:tcPr>
                  <w:tcW w:w="583" w:type="pct"/>
                  <w:vMerge w:val="restart"/>
                  <w:tcBorders>
                    <w:tl2br w:val="nil"/>
                    <w:tr2bl w:val="nil"/>
                  </w:tcBorders>
                  <w:noWrap w:val="0"/>
                  <w:vAlign w:val="center"/>
                </w:tcPr>
                <w:p w14:paraId="2F9345D9">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1.0</w:t>
                  </w:r>
                </w:p>
              </w:tc>
              <w:tc>
                <w:tcPr>
                  <w:tcW w:w="632" w:type="pct"/>
                  <w:tcBorders>
                    <w:tl2br w:val="nil"/>
                    <w:tr2bl w:val="nil"/>
                  </w:tcBorders>
                  <w:noWrap w:val="0"/>
                  <w:vAlign w:val="center"/>
                </w:tcPr>
                <w:p w14:paraId="70B8AD1A">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0.144</w:t>
                  </w:r>
                </w:p>
              </w:tc>
            </w:tr>
            <w:tr w14:paraId="55926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65" w:type="pct"/>
                  <w:tcBorders>
                    <w:tl2br w:val="nil"/>
                    <w:tr2bl w:val="nil"/>
                  </w:tcBorders>
                  <w:noWrap w:val="0"/>
                  <w:vAlign w:val="center"/>
                </w:tcPr>
                <w:p w14:paraId="7259DC2C">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2</w:t>
                  </w:r>
                </w:p>
              </w:tc>
              <w:tc>
                <w:tcPr>
                  <w:tcW w:w="356" w:type="pct"/>
                  <w:tcBorders>
                    <w:tl2br w:val="nil"/>
                    <w:tr2bl w:val="nil"/>
                  </w:tcBorders>
                  <w:noWrap w:val="0"/>
                  <w:vAlign w:val="center"/>
                </w:tcPr>
                <w:p w14:paraId="3E8C994C">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原料车间</w:t>
                  </w:r>
                </w:p>
              </w:tc>
              <w:tc>
                <w:tcPr>
                  <w:tcW w:w="494" w:type="pct"/>
                  <w:tcBorders>
                    <w:tl2br w:val="nil"/>
                    <w:tr2bl w:val="nil"/>
                  </w:tcBorders>
                  <w:noWrap w:val="0"/>
                  <w:vAlign w:val="center"/>
                </w:tcPr>
                <w:p w14:paraId="3BA118A7">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装卸、转移粉尘</w:t>
                  </w:r>
                </w:p>
              </w:tc>
              <w:tc>
                <w:tcPr>
                  <w:tcW w:w="470" w:type="pct"/>
                  <w:vMerge w:val="continue"/>
                  <w:tcBorders>
                    <w:tl2br w:val="nil"/>
                    <w:tr2bl w:val="nil"/>
                  </w:tcBorders>
                  <w:noWrap w:val="0"/>
                  <w:vAlign w:val="center"/>
                </w:tcPr>
                <w:p w14:paraId="3E8068BC">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p>
              </w:tc>
              <w:tc>
                <w:tcPr>
                  <w:tcW w:w="1009" w:type="pct"/>
                  <w:vMerge w:val="continue"/>
                  <w:tcBorders>
                    <w:tl2br w:val="nil"/>
                    <w:tr2bl w:val="nil"/>
                  </w:tcBorders>
                  <w:noWrap w:val="0"/>
                  <w:vAlign w:val="center"/>
                </w:tcPr>
                <w:p w14:paraId="52832AE1">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p>
              </w:tc>
              <w:tc>
                <w:tcPr>
                  <w:tcW w:w="1188" w:type="pct"/>
                  <w:vMerge w:val="continue"/>
                  <w:tcBorders>
                    <w:tl2br w:val="nil"/>
                    <w:tr2bl w:val="nil"/>
                  </w:tcBorders>
                  <w:noWrap w:val="0"/>
                  <w:vAlign w:val="center"/>
                </w:tcPr>
                <w:p w14:paraId="771E4E24">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p>
              </w:tc>
              <w:tc>
                <w:tcPr>
                  <w:tcW w:w="583" w:type="pct"/>
                  <w:vMerge w:val="continue"/>
                  <w:tcBorders>
                    <w:tl2br w:val="nil"/>
                    <w:tr2bl w:val="nil"/>
                  </w:tcBorders>
                  <w:noWrap w:val="0"/>
                  <w:vAlign w:val="center"/>
                </w:tcPr>
                <w:p w14:paraId="0DACFF40">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p>
              </w:tc>
              <w:tc>
                <w:tcPr>
                  <w:tcW w:w="632" w:type="pct"/>
                  <w:tcBorders>
                    <w:tl2br w:val="nil"/>
                    <w:tr2bl w:val="nil"/>
                  </w:tcBorders>
                  <w:noWrap w:val="0"/>
                  <w:vAlign w:val="center"/>
                </w:tcPr>
                <w:p w14:paraId="1CB921B0">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0.043</w:t>
                  </w:r>
                </w:p>
              </w:tc>
            </w:tr>
            <w:tr w14:paraId="73D88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8"/>
                  <w:tcBorders>
                    <w:tl2br w:val="nil"/>
                    <w:tr2bl w:val="nil"/>
                  </w:tcBorders>
                  <w:noWrap w:val="0"/>
                  <w:vAlign w:val="center"/>
                </w:tcPr>
                <w:p w14:paraId="23F05372">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无组织排放总计</w:t>
                  </w:r>
                </w:p>
              </w:tc>
            </w:tr>
            <w:tr w14:paraId="22F0D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22" w:type="pct"/>
                  <w:gridSpan w:val="2"/>
                  <w:tcBorders>
                    <w:tl2br w:val="nil"/>
                    <w:tr2bl w:val="nil"/>
                  </w:tcBorders>
                  <w:noWrap w:val="0"/>
                  <w:vAlign w:val="center"/>
                </w:tcPr>
                <w:p w14:paraId="378E0AC7">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无组织排放总计</w:t>
                  </w:r>
                </w:p>
              </w:tc>
              <w:tc>
                <w:tcPr>
                  <w:tcW w:w="3161" w:type="pct"/>
                  <w:gridSpan w:val="4"/>
                  <w:tcBorders>
                    <w:tl2br w:val="nil"/>
                    <w:tr2bl w:val="nil"/>
                  </w:tcBorders>
                  <w:noWrap w:val="0"/>
                  <w:vAlign w:val="center"/>
                </w:tcPr>
                <w:p w14:paraId="2140B108">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颗粒物</w:t>
                  </w:r>
                </w:p>
              </w:tc>
              <w:tc>
                <w:tcPr>
                  <w:tcW w:w="1216" w:type="pct"/>
                  <w:gridSpan w:val="2"/>
                  <w:tcBorders>
                    <w:tl2br w:val="nil"/>
                    <w:tr2bl w:val="nil"/>
                  </w:tcBorders>
                  <w:noWrap w:val="0"/>
                  <w:vAlign w:val="center"/>
                </w:tcPr>
                <w:p w14:paraId="30D60159">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0.187</w:t>
                  </w:r>
                </w:p>
              </w:tc>
            </w:tr>
          </w:tbl>
          <w:p w14:paraId="61075598">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表4-6项目大气污染物年排放量核算表</w:t>
            </w:r>
          </w:p>
          <w:tbl>
            <w:tblPr>
              <w:tblStyle w:val="24"/>
              <w:tblW w:w="4996" w:type="pct"/>
              <w:tblInd w:w="15"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82"/>
              <w:gridCol w:w="4515"/>
              <w:gridCol w:w="2867"/>
            </w:tblGrid>
            <w:tr w14:paraId="3E11874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39" w:type="pct"/>
                  <w:tcBorders>
                    <w:tl2br w:val="nil"/>
                    <w:tr2bl w:val="nil"/>
                  </w:tcBorders>
                  <w:noWrap w:val="0"/>
                  <w:vAlign w:val="center"/>
                </w:tcPr>
                <w:p w14:paraId="2D088D1C">
                  <w:pPr>
                    <w:pStyle w:val="64"/>
                    <w:spacing w:line="261" w:lineRule="exact"/>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pacing w:val="2"/>
                      <w:sz w:val="21"/>
                      <w:szCs w:val="21"/>
                      <w:highlight w:val="none"/>
                      <w:u w:val="none"/>
                      <w14:textFill>
                        <w14:solidFill>
                          <w14:schemeClr w14:val="tx1"/>
                        </w14:solidFill>
                      </w14:textFill>
                    </w:rPr>
                    <w:t>序</w:t>
                  </w: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号</w:t>
                  </w:r>
                </w:p>
              </w:tc>
              <w:tc>
                <w:tcPr>
                  <w:tcW w:w="2666" w:type="pct"/>
                  <w:tcBorders>
                    <w:tl2br w:val="nil"/>
                    <w:tr2bl w:val="nil"/>
                  </w:tcBorders>
                  <w:noWrap w:val="0"/>
                  <w:vAlign w:val="center"/>
                </w:tcPr>
                <w:p w14:paraId="13BCE0ED">
                  <w:pPr>
                    <w:pStyle w:val="64"/>
                    <w:spacing w:line="261" w:lineRule="exact"/>
                    <w:ind w:left="2"/>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pacing w:val="1"/>
                      <w:sz w:val="21"/>
                      <w:szCs w:val="21"/>
                      <w:highlight w:val="none"/>
                      <w:u w:val="none"/>
                      <w14:textFill>
                        <w14:solidFill>
                          <w14:schemeClr w14:val="tx1"/>
                        </w14:solidFill>
                      </w14:textFill>
                    </w:rPr>
                    <w:t>污染物</w:t>
                  </w:r>
                </w:p>
              </w:tc>
              <w:tc>
                <w:tcPr>
                  <w:tcW w:w="1693" w:type="pct"/>
                  <w:tcBorders>
                    <w:tl2br w:val="nil"/>
                    <w:tr2bl w:val="nil"/>
                  </w:tcBorders>
                  <w:noWrap w:val="0"/>
                  <w:vAlign w:val="center"/>
                </w:tcPr>
                <w:p w14:paraId="75DEE820">
                  <w:pPr>
                    <w:pStyle w:val="64"/>
                    <w:spacing w:line="277" w:lineRule="exact"/>
                    <w:ind w:left="753"/>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年排放量/（t/a）</w:t>
                  </w:r>
                </w:p>
              </w:tc>
            </w:tr>
            <w:tr w14:paraId="4F7CA2F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39" w:type="pct"/>
                  <w:tcBorders>
                    <w:tl2br w:val="nil"/>
                    <w:tr2bl w:val="nil"/>
                  </w:tcBorders>
                  <w:noWrap w:val="0"/>
                  <w:vAlign w:val="center"/>
                </w:tcPr>
                <w:p w14:paraId="66073347">
                  <w:pPr>
                    <w:pStyle w:val="64"/>
                    <w:snapToGrid w:val="0"/>
                    <w:spacing w:before="34"/>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highlight w:val="none"/>
                      <w:u w:val="none"/>
                      <w14:textFill>
                        <w14:solidFill>
                          <w14:schemeClr w14:val="tx1"/>
                        </w14:solidFill>
                      </w14:textFill>
                    </w:rPr>
                    <w:t>1</w:t>
                  </w:r>
                </w:p>
              </w:tc>
              <w:tc>
                <w:tcPr>
                  <w:tcW w:w="2666" w:type="pct"/>
                  <w:tcBorders>
                    <w:tl2br w:val="nil"/>
                    <w:tr2bl w:val="nil"/>
                  </w:tcBorders>
                  <w:noWrap w:val="0"/>
                  <w:vAlign w:val="center"/>
                </w:tcPr>
                <w:p w14:paraId="088C34B2">
                  <w:pPr>
                    <w:pStyle w:val="64"/>
                    <w:spacing w:line="260" w:lineRule="exact"/>
                    <w:ind w:right="2"/>
                    <w:jc w:val="center"/>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颗粒物</w:t>
                  </w:r>
                </w:p>
              </w:tc>
              <w:tc>
                <w:tcPr>
                  <w:tcW w:w="1693" w:type="pct"/>
                  <w:tcBorders>
                    <w:tl2br w:val="nil"/>
                    <w:tr2bl w:val="nil"/>
                  </w:tcBorders>
                  <w:noWrap w:val="0"/>
                  <w:vAlign w:val="center"/>
                </w:tcPr>
                <w:p w14:paraId="2DE27AE3">
                  <w:pPr>
                    <w:pStyle w:val="64"/>
                    <w:spacing w:before="34"/>
                    <w:ind w:right="7"/>
                    <w:jc w:val="cente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1.287</w:t>
                  </w:r>
                </w:p>
              </w:tc>
            </w:tr>
          </w:tbl>
          <w:p w14:paraId="3A28F4BC">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表4-7排放口基本情况一览表</w:t>
            </w:r>
          </w:p>
          <w:tbl>
            <w:tblPr>
              <w:tblStyle w:val="24"/>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15"/>
              <w:gridCol w:w="2156"/>
              <w:gridCol w:w="1217"/>
              <w:gridCol w:w="993"/>
              <w:gridCol w:w="747"/>
              <w:gridCol w:w="554"/>
              <w:gridCol w:w="386"/>
              <w:gridCol w:w="1024"/>
              <w:gridCol w:w="676"/>
            </w:tblGrid>
            <w:tr w14:paraId="557F0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52" w:hRule="atLeast"/>
              </w:trPr>
              <w:tc>
                <w:tcPr>
                  <w:tcW w:w="422" w:type="pct"/>
                  <w:tcBorders>
                    <w:tl2br w:val="nil"/>
                    <w:tr2bl w:val="nil"/>
                  </w:tcBorders>
                  <w:noWrap w:val="0"/>
                  <w:vAlign w:val="center"/>
                </w:tcPr>
                <w:p w14:paraId="2D13478B">
                  <w:pPr>
                    <w:pStyle w:val="50"/>
                    <w:spacing w:before="0" w:line="240" w:lineRule="auto"/>
                    <w:ind w:right="0" w:firstLine="0" w:firstLineChars="0"/>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t>排气筒编号</w:t>
                  </w:r>
                </w:p>
              </w:tc>
              <w:tc>
                <w:tcPr>
                  <w:tcW w:w="1272" w:type="pct"/>
                  <w:tcBorders>
                    <w:tl2br w:val="nil"/>
                    <w:tr2bl w:val="nil"/>
                  </w:tcBorders>
                  <w:noWrap w:val="0"/>
                  <w:vAlign w:val="center"/>
                </w:tcPr>
                <w:p w14:paraId="1D9FF9DC">
                  <w:pPr>
                    <w:pStyle w:val="50"/>
                    <w:spacing w:before="0" w:line="240" w:lineRule="auto"/>
                    <w:ind w:right="0" w:firstLine="0" w:firstLineChars="0"/>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t>排气筒坐标</w:t>
                  </w:r>
                </w:p>
              </w:tc>
              <w:tc>
                <w:tcPr>
                  <w:tcW w:w="718" w:type="pct"/>
                  <w:tcBorders>
                    <w:tl2br w:val="nil"/>
                    <w:tr2bl w:val="nil"/>
                  </w:tcBorders>
                  <w:noWrap w:val="0"/>
                  <w:vAlign w:val="center"/>
                </w:tcPr>
                <w:p w14:paraId="59E09F5E">
                  <w:pPr>
                    <w:pStyle w:val="50"/>
                    <w:spacing w:before="0" w:line="240" w:lineRule="auto"/>
                    <w:ind w:right="0" w:firstLine="0" w:firstLineChars="0"/>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t>排气筒高度/m</w:t>
                  </w:r>
                </w:p>
              </w:tc>
              <w:tc>
                <w:tcPr>
                  <w:tcW w:w="586" w:type="pct"/>
                  <w:tcBorders>
                    <w:tl2br w:val="nil"/>
                    <w:tr2bl w:val="nil"/>
                  </w:tcBorders>
                  <w:noWrap w:val="0"/>
                  <w:vAlign w:val="center"/>
                </w:tcPr>
                <w:p w14:paraId="60A1534B">
                  <w:pPr>
                    <w:pStyle w:val="50"/>
                    <w:spacing w:before="0" w:line="240" w:lineRule="auto"/>
                    <w:ind w:right="0" w:firstLine="0" w:firstLineChars="0"/>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t>排气筒出口内径/m</w:t>
                  </w:r>
                </w:p>
              </w:tc>
              <w:tc>
                <w:tcPr>
                  <w:tcW w:w="441" w:type="pct"/>
                  <w:tcBorders>
                    <w:tl2br w:val="nil"/>
                    <w:tr2bl w:val="nil"/>
                  </w:tcBorders>
                  <w:noWrap w:val="0"/>
                  <w:vAlign w:val="center"/>
                </w:tcPr>
                <w:p w14:paraId="2F56BEC8">
                  <w:pPr>
                    <w:pStyle w:val="50"/>
                    <w:spacing w:before="0" w:line="240" w:lineRule="auto"/>
                    <w:ind w:right="0" w:firstLine="0" w:firstLineChars="0"/>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t>温度（℃）</w:t>
                  </w:r>
                </w:p>
              </w:tc>
              <w:tc>
                <w:tcPr>
                  <w:tcW w:w="327" w:type="pct"/>
                  <w:tcBorders>
                    <w:tl2br w:val="nil"/>
                    <w:tr2bl w:val="nil"/>
                  </w:tcBorders>
                  <w:noWrap w:val="0"/>
                  <w:vAlign w:val="center"/>
                </w:tcPr>
                <w:p w14:paraId="0835C2DF">
                  <w:pPr>
                    <w:pStyle w:val="50"/>
                    <w:spacing w:before="0" w:line="240" w:lineRule="auto"/>
                    <w:ind w:right="0" w:firstLine="0" w:firstLineChars="0"/>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t>名称</w:t>
                  </w:r>
                </w:p>
              </w:tc>
              <w:tc>
                <w:tcPr>
                  <w:tcW w:w="228" w:type="pct"/>
                  <w:tcBorders>
                    <w:tl2br w:val="nil"/>
                    <w:tr2bl w:val="nil"/>
                  </w:tcBorders>
                  <w:noWrap w:val="0"/>
                  <w:vAlign w:val="center"/>
                </w:tcPr>
                <w:p w14:paraId="5CAB723D">
                  <w:pPr>
                    <w:pStyle w:val="50"/>
                    <w:spacing w:before="0" w:line="240" w:lineRule="auto"/>
                    <w:ind w:right="0" w:firstLine="0" w:firstLineChars="0"/>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t>类型</w:t>
                  </w:r>
                </w:p>
              </w:tc>
              <w:tc>
                <w:tcPr>
                  <w:tcW w:w="1002" w:type="pct"/>
                  <w:gridSpan w:val="2"/>
                  <w:tcBorders>
                    <w:tl2br w:val="nil"/>
                    <w:tr2bl w:val="nil"/>
                  </w:tcBorders>
                  <w:noWrap w:val="0"/>
                  <w:vAlign w:val="center"/>
                </w:tcPr>
                <w:p w14:paraId="0098201F">
                  <w:pPr>
                    <w:pStyle w:val="50"/>
                    <w:spacing w:before="0" w:line="240" w:lineRule="auto"/>
                    <w:ind w:right="0" w:firstLine="0" w:firstLineChars="0"/>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t>排放标准</w:t>
                  </w:r>
                </w:p>
                <w:p w14:paraId="13BC8C6C">
                  <w:pPr>
                    <w:pStyle w:val="50"/>
                    <w:spacing w:before="0" w:line="240" w:lineRule="auto"/>
                    <w:ind w:right="0" w:firstLine="0" w:firstLineChars="0"/>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t>浓度限值（mg/m</w:t>
                  </w:r>
                  <w:r>
                    <w:rPr>
                      <w:rFonts w:hint="default" w:ascii="Times New Roman" w:hAnsi="Times New Roman" w:eastAsia="仿宋" w:cs="Times New Roman"/>
                      <w:b/>
                      <w:bCs/>
                      <w:color w:val="000000" w:themeColor="text1"/>
                      <w:sz w:val="21"/>
                      <w:szCs w:val="21"/>
                      <w:highlight w:val="none"/>
                      <w:u w:val="none"/>
                      <w:vertAlign w:val="superscript"/>
                      <w:lang w:val="en-US" w:eastAsia="zh-CN"/>
                      <w14:textFill>
                        <w14:solidFill>
                          <w14:schemeClr w14:val="tx1"/>
                        </w14:solidFill>
                      </w14:textFill>
                    </w:rPr>
                    <w:t>3</w:t>
                  </w:r>
                  <w:r>
                    <w:rPr>
                      <w:rFonts w:hint="default" w:ascii="Times New Roman" w:hAnsi="Times New Roman" w:eastAsia="仿宋" w:cs="Times New Roman"/>
                      <w:b/>
                      <w:bCs/>
                      <w:color w:val="000000" w:themeColor="text1"/>
                      <w:sz w:val="21"/>
                      <w:szCs w:val="21"/>
                      <w:highlight w:val="none"/>
                      <w:u w:val="none"/>
                      <w:lang w:val="en-US" w:eastAsia="zh-CN"/>
                      <w14:textFill>
                        <w14:solidFill>
                          <w14:schemeClr w14:val="tx1"/>
                        </w14:solidFill>
                      </w14:textFill>
                    </w:rPr>
                    <w:t>）</w:t>
                  </w:r>
                </w:p>
              </w:tc>
            </w:tr>
            <w:tr w14:paraId="30CCA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3" w:hRule="atLeast"/>
              </w:trPr>
              <w:tc>
                <w:tcPr>
                  <w:tcW w:w="422" w:type="pct"/>
                  <w:tcBorders>
                    <w:tl2br w:val="nil"/>
                    <w:tr2bl w:val="nil"/>
                  </w:tcBorders>
                  <w:noWrap w:val="0"/>
                  <w:vAlign w:val="center"/>
                </w:tcPr>
                <w:p w14:paraId="7E5A14A7">
                  <w:pPr>
                    <w:pStyle w:val="50"/>
                    <w:spacing w:before="0" w:line="240" w:lineRule="auto"/>
                    <w:ind w:right="0" w:firstLine="0" w:firstLineChars="0"/>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DA001</w:t>
                  </w:r>
                </w:p>
              </w:tc>
              <w:tc>
                <w:tcPr>
                  <w:tcW w:w="1272" w:type="pct"/>
                  <w:tcBorders>
                    <w:tl2br w:val="nil"/>
                    <w:tr2bl w:val="nil"/>
                  </w:tcBorders>
                  <w:noWrap w:val="0"/>
                  <w:vAlign w:val="center"/>
                </w:tcPr>
                <w:p w14:paraId="0E00CEA8">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131.496627°</w:t>
                  </w:r>
                </w:p>
                <w:p w14:paraId="192D89F6">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45.271912°</w:t>
                  </w:r>
                </w:p>
              </w:tc>
              <w:tc>
                <w:tcPr>
                  <w:tcW w:w="718" w:type="pct"/>
                  <w:tcBorders>
                    <w:tl2br w:val="nil"/>
                    <w:tr2bl w:val="nil"/>
                  </w:tcBorders>
                  <w:noWrap w:val="0"/>
                  <w:vAlign w:val="center"/>
                </w:tcPr>
                <w:p w14:paraId="090C36A7">
                  <w:pPr>
                    <w:pStyle w:val="50"/>
                    <w:spacing w:before="0" w:line="240" w:lineRule="auto"/>
                    <w:ind w:right="0" w:firstLine="0" w:firstLineChars="0"/>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16</w:t>
                  </w:r>
                </w:p>
              </w:tc>
              <w:tc>
                <w:tcPr>
                  <w:tcW w:w="586" w:type="pct"/>
                  <w:tcBorders>
                    <w:tl2br w:val="nil"/>
                    <w:tr2bl w:val="nil"/>
                  </w:tcBorders>
                  <w:noWrap w:val="0"/>
                  <w:vAlign w:val="center"/>
                </w:tcPr>
                <w:p w14:paraId="4296392F">
                  <w:pPr>
                    <w:pStyle w:val="50"/>
                    <w:spacing w:before="0" w:line="240" w:lineRule="auto"/>
                    <w:ind w:right="0" w:firstLine="0" w:firstLineChars="0"/>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0.5</w:t>
                  </w:r>
                </w:p>
              </w:tc>
              <w:tc>
                <w:tcPr>
                  <w:tcW w:w="441" w:type="pct"/>
                  <w:tcBorders>
                    <w:tl2br w:val="nil"/>
                    <w:tr2bl w:val="nil"/>
                  </w:tcBorders>
                  <w:noWrap w:val="0"/>
                  <w:vAlign w:val="center"/>
                </w:tcPr>
                <w:p w14:paraId="4D2A9307">
                  <w:pPr>
                    <w:pStyle w:val="50"/>
                    <w:spacing w:before="0" w:line="240" w:lineRule="auto"/>
                    <w:ind w:right="0" w:firstLine="0" w:firstLineChars="0"/>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20</w:t>
                  </w:r>
                </w:p>
              </w:tc>
              <w:tc>
                <w:tcPr>
                  <w:tcW w:w="327" w:type="pct"/>
                  <w:tcBorders>
                    <w:tl2br w:val="nil"/>
                    <w:tr2bl w:val="nil"/>
                  </w:tcBorders>
                  <w:noWrap w:val="0"/>
                  <w:vAlign w:val="center"/>
                </w:tcPr>
                <w:p w14:paraId="6E7308C6">
                  <w:pPr>
                    <w:pStyle w:val="50"/>
                    <w:spacing w:before="0" w:line="240" w:lineRule="auto"/>
                    <w:ind w:right="0" w:firstLine="0" w:firstLineChars="0"/>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粉尘废气排气筒</w:t>
                  </w:r>
                </w:p>
              </w:tc>
              <w:tc>
                <w:tcPr>
                  <w:tcW w:w="228" w:type="pct"/>
                  <w:tcBorders>
                    <w:tl2br w:val="nil"/>
                    <w:tr2bl w:val="nil"/>
                  </w:tcBorders>
                  <w:noWrap w:val="0"/>
                  <w:vAlign w:val="center"/>
                </w:tcPr>
                <w:p w14:paraId="1B11149D">
                  <w:pPr>
                    <w:pStyle w:val="50"/>
                    <w:spacing w:before="0" w:line="240" w:lineRule="auto"/>
                    <w:ind w:right="0" w:firstLine="0" w:firstLineChars="0"/>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一般排放口</w:t>
                  </w:r>
                </w:p>
              </w:tc>
              <w:tc>
                <w:tcPr>
                  <w:tcW w:w="604" w:type="pct"/>
                  <w:tcBorders>
                    <w:tl2br w:val="nil"/>
                    <w:tr2bl w:val="nil"/>
                  </w:tcBorders>
                  <w:noWrap w:val="0"/>
                  <w:vAlign w:val="center"/>
                </w:tcPr>
                <w:p w14:paraId="0CDD3929">
                  <w:pPr>
                    <w:pStyle w:val="64"/>
                    <w:snapToGrid w:val="0"/>
                    <w:spacing w:before="36" w:beforeLines="15" w:line="276" w:lineRule="auto"/>
                    <w:jc w:val="cente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颗粒物</w:t>
                  </w:r>
                </w:p>
              </w:tc>
              <w:tc>
                <w:tcPr>
                  <w:tcW w:w="397" w:type="pct"/>
                  <w:tcBorders>
                    <w:tl2br w:val="nil"/>
                    <w:tr2bl w:val="nil"/>
                  </w:tcBorders>
                  <w:noWrap w:val="0"/>
                  <w:vAlign w:val="center"/>
                </w:tcPr>
                <w:p w14:paraId="7AB613D4">
                  <w:pPr>
                    <w:pStyle w:val="50"/>
                    <w:spacing w:before="0" w:line="240" w:lineRule="auto"/>
                    <w:ind w:right="0" w:firstLine="0" w:firstLineChars="0"/>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120</w:t>
                  </w:r>
                </w:p>
              </w:tc>
            </w:tr>
          </w:tbl>
          <w:p w14:paraId="50263FCA">
            <w:pPr>
              <w:spacing w:before="120" w:beforeLines="50" w:line="360" w:lineRule="auto"/>
              <w:ind w:firstLine="482" w:firstLineChars="200"/>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t>2、废气达标排放可行性分析</w:t>
            </w:r>
          </w:p>
          <w:p w14:paraId="7327BC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仿宋" w:cs="Times New Roman"/>
                <w:color w:val="000000" w:themeColor="text1"/>
                <w:sz w:val="24"/>
                <w:szCs w:val="32"/>
                <w:highlight w:val="none"/>
                <w:u w:val="none"/>
                <w:lang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项目制粒工序粉尘通过</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集气罩收集，</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经布袋</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除尘器</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处理</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后</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由</w:t>
            </w:r>
            <w:r>
              <w:rPr>
                <w:rFonts w:hint="eastAsia" w:eastAsia="仿宋" w:cs="Times New Roman"/>
                <w:color w:val="000000" w:themeColor="text1"/>
                <w:sz w:val="24"/>
                <w:szCs w:val="32"/>
                <w:highlight w:val="none"/>
                <w:u w:val="none"/>
                <w:lang w:eastAsia="zh-CN"/>
                <w14:textFill>
                  <w14:solidFill>
                    <w14:schemeClr w14:val="tx1"/>
                  </w14:solidFill>
                </w14:textFill>
              </w:rPr>
              <w:t>16m</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高排气筒（DA001）排放。</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根据《排污许可证申请与核发技术规范 废弃资源加工业》（HJ 1034-2019）</w:t>
            </w:r>
            <w:r>
              <w:rPr>
                <w:rFonts w:hint="eastAsia" w:ascii="Times New Roman" w:hAnsi="Times New Roman" w:eastAsia="仿宋" w:cs="Times New Roman"/>
                <w:color w:val="000000" w:themeColor="text1"/>
                <w:sz w:val="24"/>
                <w:szCs w:val="32"/>
                <w:highlight w:val="none"/>
                <w:u w:val="none"/>
                <w14:textFill>
                  <w14:solidFill>
                    <w14:schemeClr w14:val="tx1"/>
                  </w14:solidFill>
                </w14:textFill>
              </w:rPr>
              <w:t>表A.1废弃资源加工工业排污单位废气污染防治可行技术参考表</w:t>
            </w:r>
            <w:r>
              <w:rPr>
                <w:rFonts w:hint="eastAsia" w:ascii="Times New Roman" w:hAnsi="Times New Roman" w:eastAsia="仿宋" w:cs="Times New Roman"/>
                <w:color w:val="000000" w:themeColor="text1"/>
                <w:sz w:val="24"/>
                <w:szCs w:val="32"/>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“布袋除尘”进行处理均属于可行技术</w:t>
            </w:r>
            <w:r>
              <w:rPr>
                <w:rFonts w:hint="eastAsia" w:ascii="Times New Roman" w:hAnsi="Times New Roman" w:eastAsia="仿宋" w:cs="Times New Roman"/>
                <w:color w:val="000000" w:themeColor="text1"/>
                <w:sz w:val="24"/>
                <w:szCs w:val="32"/>
                <w:highlight w:val="none"/>
                <w:u w:val="none"/>
                <w:lang w:eastAsia="zh-CN"/>
                <w14:textFill>
                  <w14:solidFill>
                    <w14:schemeClr w14:val="tx1"/>
                  </w14:solidFill>
                </w14:textFill>
              </w:rPr>
              <w:t>。</w:t>
            </w:r>
          </w:p>
          <w:p w14:paraId="452C52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依据《工业源产排污核算方法和系数手册》（2021年6月发布）2542生物质致密成型燃料加工行业系数手册，末端治理技术名称包括</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旋风除尘（处理效率为90%）</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袋式除尘（处理效率为92%）</w:t>
            </w:r>
            <w:r>
              <w:rPr>
                <w:rFonts w:hint="default" w:ascii="Times New Roman" w:hAnsi="Times New Roman" w:eastAsia="仿宋" w:cs="Times New Roman"/>
                <w:color w:val="000000" w:themeColor="text1"/>
                <w:sz w:val="24"/>
                <w:szCs w:val="32"/>
                <w:highlight w:val="none"/>
                <w:u w:val="none"/>
                <w:lang w:eastAsia="zh-CN"/>
                <w14:textFill>
                  <w14:solidFill>
                    <w14:schemeClr w14:val="tx1"/>
                  </w14:solidFill>
                </w14:textFill>
              </w:rPr>
              <w:t>。</w:t>
            </w:r>
          </w:p>
          <w:p w14:paraId="0C27BE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布袋除尘器工作原理：袋式除尘器是指通过喷吹压缩空气的方法除掉过滤介质（布袋或滤筒）上附着的粉尘；根据除尘器的大小可能有几组脉冲阀，由脉冲控制仪或PLC控制，每次开一组脉冲阀来除去它所控制的那部分布袋或滤筒的灰尘，而其他的布袋或滤筒正常工作，隔一段时间后下一组脉冲阀打开，清理下一部分除尘器由灰斗、上箱体、中箱体、下箱体等部分组成，上、中、下箱体为分室结构。工作时，含尘体由进风道进入灰斗，粗尘粒直接落入灰斗底部，细尘粒随气流转折向上进入中、下箱体，粉尘积附在滤袋外表面，过滤后的气体进入上箱体至净气集合管-排风道，经排风机排至大气。清灰过程是先切断该室的净气出口风道，使该室的布袋处于无气流通过的状态（分室停风清灰）。然后开启脉冲阀用压缩空气进行脉冲喷吹清灰，切断阀关闭时间足以保证在喷吹后从滤袋上剥离的粉尘沉降至灰斗，避免了粉尘在脱离滤袋表面后又随气流附集到相邻滤袋表面的现象，使滤袋清灰彻底，并由可编程序控制仪对排气阀、脉冲阀及卸灰阀等进行全自动控制。含尘气体由进风口进入，经过灰斗时，气体中部分大颗粒粉尘受惯性力和重力作用被分离出来，直接落入灰斗底部。含尘气体通过灰斗后进入中箱体的滤袋过滤区，气体穿过滤袋，粉尘被阻留在滤袋外表面，净化后的气体经滤袋口进入上箱体后，再由出风口排出。</w:t>
            </w:r>
          </w:p>
          <w:p w14:paraId="48C310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经过上述措施后，排气筒DA001废气中的颗粒物</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满足</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lang w:eastAsia="zh-CN"/>
                <w14:textFill>
                  <w14:solidFill>
                    <w14:schemeClr w14:val="tx1"/>
                  </w14:solidFill>
                </w14:textFill>
              </w:rPr>
              <w:t>大气污染物综合排放标准》（GB16297-1996）表2标准，</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能够实现达标排放，对周边</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大气环境</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基本不会产生影响。</w:t>
            </w:r>
          </w:p>
          <w:p w14:paraId="50CCE4B0">
            <w:pPr>
              <w:spacing w:line="360" w:lineRule="auto"/>
              <w:ind w:firstLine="482" w:firstLineChars="200"/>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t>3、非正常工况</w:t>
            </w:r>
          </w:p>
          <w:p w14:paraId="4020DCB0">
            <w:pPr>
              <w:spacing w:line="360" w:lineRule="auto"/>
              <w:ind w:firstLine="480" w:firstLineChars="200"/>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根据《环境影响评价技术导则大气环境》（HJ2.2-2018）中对废气非正常排放的定义“生产过程中开停车、设备检修、工艺设备运转异常等非正常工况下的污染物排放，以及污染物排放控制措施达不到应有效率等情况下的排放”。本评价非正常排放主要考虑废气处理设施失效的情况，具体非正常排放情况见下表。</w:t>
            </w:r>
          </w:p>
          <w:p w14:paraId="0989550D">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表4-8污染源非正常排放量核算表</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1131"/>
              <w:gridCol w:w="596"/>
              <w:gridCol w:w="1146"/>
              <w:gridCol w:w="1146"/>
              <w:gridCol w:w="1019"/>
              <w:gridCol w:w="992"/>
              <w:gridCol w:w="817"/>
              <w:gridCol w:w="776"/>
            </w:tblGrid>
            <w:tr w14:paraId="50F9E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4" w:type="pct"/>
                  <w:tcBorders>
                    <w:tl2br w:val="nil"/>
                    <w:tr2bl w:val="nil"/>
                  </w:tcBorders>
                  <w:noWrap w:val="0"/>
                  <w:vAlign w:val="center"/>
                </w:tcPr>
                <w:p w14:paraId="1DF80B03">
                  <w:pPr>
                    <w:keepNext w:val="0"/>
                    <w:keepLines w:val="0"/>
                    <w:pageBreakBefore w:val="0"/>
                    <w:kinsoku/>
                    <w:wordWrap/>
                    <w:overflowPunct/>
                    <w:topLinePunct w:val="0"/>
                    <w:autoSpaceDE/>
                    <w:autoSpaceDN/>
                    <w:bidi w:val="0"/>
                    <w:ind w:left="-105" w:leftChars="-50" w:right="-105" w:rightChars="-50"/>
                    <w:jc w:val="center"/>
                    <w:textAlignment w:val="auto"/>
                    <w:rPr>
                      <w:rFonts w:hint="default" w:ascii="Times New Roman" w:hAnsi="Times New Roman" w:eastAsia="仿宋" w:cs="Times New Roman"/>
                      <w:b/>
                      <w:bCs/>
                      <w:color w:val="000000" w:themeColor="text1"/>
                      <w:highlight w:val="none"/>
                      <w:u w:val="none"/>
                      <w14:textFill>
                        <w14:solidFill>
                          <w14:schemeClr w14:val="tx1"/>
                        </w14:solidFill>
                      </w14:textFill>
                    </w:rPr>
                  </w:pPr>
                  <w:r>
                    <w:rPr>
                      <w:rFonts w:hint="default" w:ascii="Times New Roman" w:hAnsi="Times New Roman" w:eastAsia="仿宋" w:cs="Times New Roman"/>
                      <w:b/>
                      <w:bCs/>
                      <w:color w:val="000000" w:themeColor="text1"/>
                      <w:highlight w:val="none"/>
                      <w:u w:val="none"/>
                      <w14:textFill>
                        <w14:solidFill>
                          <w14:schemeClr w14:val="tx1"/>
                        </w14:solidFill>
                      </w14:textFill>
                    </w:rPr>
                    <w:t>污染源</w:t>
                  </w:r>
                </w:p>
              </w:tc>
              <w:tc>
                <w:tcPr>
                  <w:tcW w:w="674" w:type="pct"/>
                  <w:tcBorders>
                    <w:tl2br w:val="nil"/>
                    <w:tr2bl w:val="nil"/>
                  </w:tcBorders>
                  <w:noWrap w:val="0"/>
                  <w:vAlign w:val="center"/>
                </w:tcPr>
                <w:p w14:paraId="4A019A7C">
                  <w:pPr>
                    <w:keepNext w:val="0"/>
                    <w:keepLines w:val="0"/>
                    <w:pageBreakBefore w:val="0"/>
                    <w:kinsoku/>
                    <w:wordWrap/>
                    <w:overflowPunct/>
                    <w:topLinePunct w:val="0"/>
                    <w:autoSpaceDE/>
                    <w:autoSpaceDN/>
                    <w:bidi w:val="0"/>
                    <w:ind w:left="-105" w:leftChars="-50" w:right="-105" w:rightChars="-50"/>
                    <w:jc w:val="center"/>
                    <w:textAlignment w:val="auto"/>
                    <w:rPr>
                      <w:rFonts w:hint="default" w:ascii="Times New Roman" w:hAnsi="Times New Roman" w:eastAsia="仿宋" w:cs="Times New Roman"/>
                      <w:b/>
                      <w:bCs/>
                      <w:color w:val="000000" w:themeColor="text1"/>
                      <w:highlight w:val="none"/>
                      <w:u w:val="none"/>
                      <w14:textFill>
                        <w14:solidFill>
                          <w14:schemeClr w14:val="tx1"/>
                        </w14:solidFill>
                      </w14:textFill>
                    </w:rPr>
                  </w:pPr>
                  <w:r>
                    <w:rPr>
                      <w:rFonts w:hint="default" w:ascii="Times New Roman" w:hAnsi="Times New Roman" w:eastAsia="仿宋" w:cs="Times New Roman"/>
                      <w:b/>
                      <w:bCs/>
                      <w:color w:val="000000" w:themeColor="text1"/>
                      <w:highlight w:val="none"/>
                      <w:u w:val="none"/>
                      <w14:textFill>
                        <w14:solidFill>
                          <w14:schemeClr w14:val="tx1"/>
                        </w14:solidFill>
                      </w14:textFill>
                    </w:rPr>
                    <w:t>非正常排放原因</w:t>
                  </w:r>
                </w:p>
              </w:tc>
              <w:tc>
                <w:tcPr>
                  <w:tcW w:w="358" w:type="pct"/>
                  <w:tcBorders>
                    <w:tl2br w:val="nil"/>
                    <w:tr2bl w:val="nil"/>
                  </w:tcBorders>
                  <w:noWrap w:val="0"/>
                  <w:vAlign w:val="center"/>
                </w:tcPr>
                <w:p w14:paraId="4B3F232F">
                  <w:pPr>
                    <w:keepNext w:val="0"/>
                    <w:keepLines w:val="0"/>
                    <w:pageBreakBefore w:val="0"/>
                    <w:kinsoku/>
                    <w:wordWrap/>
                    <w:overflowPunct/>
                    <w:topLinePunct w:val="0"/>
                    <w:autoSpaceDE/>
                    <w:autoSpaceDN/>
                    <w:bidi w:val="0"/>
                    <w:ind w:left="-105" w:leftChars="-50" w:right="-105" w:rightChars="-50"/>
                    <w:jc w:val="center"/>
                    <w:textAlignment w:val="auto"/>
                    <w:rPr>
                      <w:rFonts w:hint="default" w:ascii="Times New Roman" w:hAnsi="Times New Roman" w:eastAsia="仿宋" w:cs="Times New Roman"/>
                      <w:b/>
                      <w:bCs/>
                      <w:color w:val="000000" w:themeColor="text1"/>
                      <w:highlight w:val="none"/>
                      <w:u w:val="none"/>
                      <w14:textFill>
                        <w14:solidFill>
                          <w14:schemeClr w14:val="tx1"/>
                        </w14:solidFill>
                      </w14:textFill>
                    </w:rPr>
                  </w:pPr>
                  <w:r>
                    <w:rPr>
                      <w:rFonts w:hint="default" w:ascii="Times New Roman" w:hAnsi="Times New Roman" w:eastAsia="仿宋" w:cs="Times New Roman"/>
                      <w:b/>
                      <w:bCs/>
                      <w:color w:val="000000" w:themeColor="text1"/>
                      <w:highlight w:val="none"/>
                      <w:u w:val="none"/>
                      <w14:textFill>
                        <w14:solidFill>
                          <w14:schemeClr w14:val="tx1"/>
                        </w14:solidFill>
                      </w14:textFill>
                    </w:rPr>
                    <w:t>污染物</w:t>
                  </w:r>
                </w:p>
              </w:tc>
              <w:tc>
                <w:tcPr>
                  <w:tcW w:w="683" w:type="pct"/>
                  <w:tcBorders>
                    <w:tl2br w:val="nil"/>
                    <w:tr2bl w:val="nil"/>
                  </w:tcBorders>
                  <w:noWrap w:val="0"/>
                  <w:vAlign w:val="center"/>
                </w:tcPr>
                <w:p w14:paraId="370BA1E0">
                  <w:pPr>
                    <w:keepNext w:val="0"/>
                    <w:keepLines w:val="0"/>
                    <w:pageBreakBefore w:val="0"/>
                    <w:kinsoku/>
                    <w:wordWrap/>
                    <w:overflowPunct/>
                    <w:topLinePunct w:val="0"/>
                    <w:autoSpaceDE/>
                    <w:autoSpaceDN/>
                    <w:bidi w:val="0"/>
                    <w:ind w:left="-105" w:leftChars="-50" w:right="-105" w:rightChars="-50"/>
                    <w:jc w:val="center"/>
                    <w:textAlignment w:val="auto"/>
                    <w:rPr>
                      <w:rFonts w:hint="eastAsia" w:ascii="Times New Roman" w:hAnsi="Times New Roman" w:eastAsia="仿宋" w:cs="Times New Roman"/>
                      <w:b/>
                      <w:bCs/>
                      <w:color w:val="000000" w:themeColor="text1"/>
                      <w:highlight w:val="none"/>
                      <w:u w:val="none"/>
                      <w:lang w:val="en-US" w:eastAsia="zh-CN"/>
                      <w14:textFill>
                        <w14:solidFill>
                          <w14:schemeClr w14:val="tx1"/>
                        </w14:solidFill>
                      </w14:textFill>
                    </w:rPr>
                  </w:pPr>
                  <w:r>
                    <w:rPr>
                      <w:rFonts w:hint="eastAsia" w:eastAsia="仿宋" w:cs="Times New Roman"/>
                      <w:b/>
                      <w:bCs/>
                      <w:color w:val="000000" w:themeColor="text1"/>
                      <w:highlight w:val="none"/>
                      <w:u w:val="none"/>
                      <w:lang w:val="en-US" w:eastAsia="zh-CN"/>
                      <w14:textFill>
                        <w14:solidFill>
                          <w14:schemeClr w14:val="tx1"/>
                        </w14:solidFill>
                      </w14:textFill>
                    </w:rPr>
                    <w:t>效率（%）</w:t>
                  </w:r>
                </w:p>
              </w:tc>
              <w:tc>
                <w:tcPr>
                  <w:tcW w:w="683" w:type="pct"/>
                  <w:tcBorders>
                    <w:tl2br w:val="nil"/>
                    <w:tr2bl w:val="nil"/>
                  </w:tcBorders>
                  <w:noWrap w:val="0"/>
                  <w:vAlign w:val="center"/>
                </w:tcPr>
                <w:p w14:paraId="396C774C">
                  <w:pPr>
                    <w:keepNext w:val="0"/>
                    <w:keepLines w:val="0"/>
                    <w:pageBreakBefore w:val="0"/>
                    <w:kinsoku/>
                    <w:wordWrap/>
                    <w:overflowPunct/>
                    <w:topLinePunct w:val="0"/>
                    <w:autoSpaceDE/>
                    <w:autoSpaceDN/>
                    <w:bidi w:val="0"/>
                    <w:ind w:left="-105" w:leftChars="-50" w:right="-105" w:rightChars="-50"/>
                    <w:jc w:val="center"/>
                    <w:textAlignment w:val="auto"/>
                    <w:rPr>
                      <w:rFonts w:hint="default" w:ascii="Times New Roman" w:hAnsi="Times New Roman" w:eastAsia="仿宋" w:cs="Times New Roman"/>
                      <w:b/>
                      <w:bCs/>
                      <w:color w:val="000000" w:themeColor="text1"/>
                      <w:highlight w:val="none"/>
                      <w:u w:val="none"/>
                      <w14:textFill>
                        <w14:solidFill>
                          <w14:schemeClr w14:val="tx1"/>
                        </w14:solidFill>
                      </w14:textFill>
                    </w:rPr>
                  </w:pPr>
                  <w:r>
                    <w:rPr>
                      <w:rFonts w:hint="default" w:ascii="Times New Roman" w:hAnsi="Times New Roman" w:eastAsia="仿宋" w:cs="Times New Roman"/>
                      <w:b/>
                      <w:bCs/>
                      <w:color w:val="000000" w:themeColor="text1"/>
                      <w:highlight w:val="none"/>
                      <w:u w:val="none"/>
                      <w14:textFill>
                        <w14:solidFill>
                          <w14:schemeClr w14:val="tx1"/>
                        </w14:solidFill>
                      </w14:textFill>
                    </w:rPr>
                    <w:t>非正常排放浓度</w:t>
                  </w:r>
                  <w:r>
                    <w:rPr>
                      <w:rFonts w:hint="default" w:ascii="Times New Roman" w:hAnsi="Times New Roman" w:eastAsia="仿宋" w:cs="Times New Roman"/>
                      <w:b/>
                      <w:bCs/>
                      <w:color w:val="000000" w:themeColor="text1"/>
                      <w:spacing w:val="-2"/>
                      <w:szCs w:val="21"/>
                      <w:highlight w:val="none"/>
                      <w:u w:val="none"/>
                      <w14:textFill>
                        <w14:solidFill>
                          <w14:schemeClr w14:val="tx1"/>
                        </w14:solidFill>
                      </w14:textFill>
                    </w:rPr>
                    <w:t>（mg/m</w:t>
                  </w:r>
                  <w:r>
                    <w:rPr>
                      <w:rFonts w:hint="default" w:ascii="Times New Roman" w:hAnsi="Times New Roman" w:eastAsia="仿宋" w:cs="Times New Roman"/>
                      <w:b/>
                      <w:bCs/>
                      <w:color w:val="000000" w:themeColor="text1"/>
                      <w:spacing w:val="-2"/>
                      <w:szCs w:val="21"/>
                      <w:highlight w:val="none"/>
                      <w:u w:val="none"/>
                      <w:vertAlign w:val="superscript"/>
                      <w14:textFill>
                        <w14:solidFill>
                          <w14:schemeClr w14:val="tx1"/>
                        </w14:solidFill>
                      </w14:textFill>
                    </w:rPr>
                    <w:t>3</w:t>
                  </w:r>
                  <w:r>
                    <w:rPr>
                      <w:rFonts w:hint="default" w:ascii="Times New Roman" w:hAnsi="Times New Roman" w:eastAsia="仿宋" w:cs="Times New Roman"/>
                      <w:b/>
                      <w:bCs/>
                      <w:color w:val="000000" w:themeColor="text1"/>
                      <w:spacing w:val="-2"/>
                      <w:szCs w:val="21"/>
                      <w:highlight w:val="none"/>
                      <w:u w:val="none"/>
                      <w14:textFill>
                        <w14:solidFill>
                          <w14:schemeClr w14:val="tx1"/>
                        </w14:solidFill>
                      </w14:textFill>
                    </w:rPr>
                    <w:t>）</w:t>
                  </w:r>
                </w:p>
              </w:tc>
              <w:tc>
                <w:tcPr>
                  <w:tcW w:w="607" w:type="pct"/>
                  <w:tcBorders>
                    <w:tl2br w:val="nil"/>
                    <w:tr2bl w:val="nil"/>
                  </w:tcBorders>
                  <w:noWrap w:val="0"/>
                  <w:vAlign w:val="center"/>
                </w:tcPr>
                <w:p w14:paraId="3101B1B9">
                  <w:pPr>
                    <w:keepNext w:val="0"/>
                    <w:keepLines w:val="0"/>
                    <w:pageBreakBefore w:val="0"/>
                    <w:kinsoku/>
                    <w:wordWrap/>
                    <w:overflowPunct/>
                    <w:topLinePunct w:val="0"/>
                    <w:autoSpaceDE/>
                    <w:autoSpaceDN/>
                    <w:bidi w:val="0"/>
                    <w:ind w:left="-105" w:leftChars="-50" w:right="-105" w:rightChars="-50"/>
                    <w:jc w:val="center"/>
                    <w:textAlignment w:val="auto"/>
                    <w:rPr>
                      <w:rFonts w:hint="default" w:ascii="Times New Roman" w:hAnsi="Times New Roman" w:eastAsia="仿宋" w:cs="Times New Roman"/>
                      <w:b/>
                      <w:bCs/>
                      <w:color w:val="000000" w:themeColor="text1"/>
                      <w:highlight w:val="none"/>
                      <w:u w:val="none"/>
                      <w:lang w:eastAsia="zh-CN"/>
                      <w14:textFill>
                        <w14:solidFill>
                          <w14:schemeClr w14:val="tx1"/>
                        </w14:solidFill>
                      </w14:textFill>
                    </w:rPr>
                  </w:pPr>
                  <w:r>
                    <w:rPr>
                      <w:rFonts w:hint="default" w:ascii="Times New Roman" w:hAnsi="Times New Roman" w:eastAsia="仿宋" w:cs="Times New Roman"/>
                      <w:b/>
                      <w:bCs/>
                      <w:color w:val="000000" w:themeColor="text1"/>
                      <w:highlight w:val="none"/>
                      <w:u w:val="none"/>
                      <w14:textFill>
                        <w14:solidFill>
                          <w14:schemeClr w14:val="tx1"/>
                        </w14:solidFill>
                      </w14:textFill>
                    </w:rPr>
                    <w:t>非正常排放速率</w:t>
                  </w:r>
                  <w:r>
                    <w:rPr>
                      <w:rFonts w:hint="default" w:ascii="Times New Roman" w:hAnsi="Times New Roman" w:eastAsia="仿宋" w:cs="Times New Roman"/>
                      <w:b/>
                      <w:bCs/>
                      <w:color w:val="000000" w:themeColor="text1"/>
                      <w:highlight w:val="none"/>
                      <w:u w:val="none"/>
                      <w:lang w:eastAsia="zh-CN"/>
                      <w14:textFill>
                        <w14:solidFill>
                          <w14:schemeClr w14:val="tx1"/>
                        </w14:solidFill>
                      </w14:textFill>
                    </w:rPr>
                    <w:t>（</w:t>
                  </w:r>
                  <w:r>
                    <w:rPr>
                      <w:rFonts w:hint="default" w:ascii="Times New Roman" w:hAnsi="Times New Roman" w:eastAsia="仿宋" w:cs="Times New Roman"/>
                      <w:b/>
                      <w:bCs/>
                      <w:color w:val="000000" w:themeColor="text1"/>
                      <w:highlight w:val="none"/>
                      <w:u w:val="none"/>
                      <w:lang w:val="en-US" w:eastAsia="zh-CN"/>
                      <w14:textFill>
                        <w14:solidFill>
                          <w14:schemeClr w14:val="tx1"/>
                        </w14:solidFill>
                      </w14:textFill>
                    </w:rPr>
                    <w:t>kg/h</w:t>
                  </w:r>
                  <w:r>
                    <w:rPr>
                      <w:rFonts w:hint="default" w:ascii="Times New Roman" w:hAnsi="Times New Roman" w:eastAsia="仿宋" w:cs="Times New Roman"/>
                      <w:b/>
                      <w:bCs/>
                      <w:color w:val="000000" w:themeColor="text1"/>
                      <w:highlight w:val="none"/>
                      <w:u w:val="none"/>
                      <w:lang w:eastAsia="zh-CN"/>
                      <w14:textFill>
                        <w14:solidFill>
                          <w14:schemeClr w14:val="tx1"/>
                        </w14:solidFill>
                      </w14:textFill>
                    </w:rPr>
                    <w:t>）</w:t>
                  </w:r>
                </w:p>
              </w:tc>
              <w:tc>
                <w:tcPr>
                  <w:tcW w:w="535" w:type="pct"/>
                  <w:tcBorders>
                    <w:tl2br w:val="nil"/>
                    <w:tr2bl w:val="nil"/>
                  </w:tcBorders>
                  <w:noWrap w:val="0"/>
                  <w:vAlign w:val="center"/>
                </w:tcPr>
                <w:p w14:paraId="0015A5E6">
                  <w:pPr>
                    <w:keepNext w:val="0"/>
                    <w:keepLines w:val="0"/>
                    <w:pageBreakBefore w:val="0"/>
                    <w:kinsoku/>
                    <w:wordWrap/>
                    <w:overflowPunct/>
                    <w:topLinePunct w:val="0"/>
                    <w:autoSpaceDE/>
                    <w:autoSpaceDN/>
                    <w:bidi w:val="0"/>
                    <w:ind w:left="-105" w:leftChars="-50" w:right="-105" w:rightChars="-50"/>
                    <w:jc w:val="center"/>
                    <w:textAlignment w:val="auto"/>
                    <w:rPr>
                      <w:rFonts w:hint="default" w:ascii="Times New Roman" w:hAnsi="Times New Roman" w:eastAsia="仿宋" w:cs="Times New Roman"/>
                      <w:b/>
                      <w:bCs/>
                      <w:color w:val="000000" w:themeColor="text1"/>
                      <w:highlight w:val="none"/>
                      <w:u w:val="none"/>
                      <w14:textFill>
                        <w14:solidFill>
                          <w14:schemeClr w14:val="tx1"/>
                        </w14:solidFill>
                      </w14:textFill>
                    </w:rPr>
                  </w:pPr>
                  <w:r>
                    <w:rPr>
                      <w:rFonts w:hint="default" w:ascii="Times New Roman" w:hAnsi="Times New Roman" w:eastAsia="仿宋" w:cs="Times New Roman"/>
                      <w:b/>
                      <w:bCs/>
                      <w:color w:val="000000" w:themeColor="text1"/>
                      <w:highlight w:val="none"/>
                      <w:u w:val="none"/>
                      <w14:textFill>
                        <w14:solidFill>
                          <w14:schemeClr w14:val="tx1"/>
                        </w14:solidFill>
                      </w14:textFill>
                    </w:rPr>
                    <w:t>执行标准</w:t>
                  </w:r>
                  <w:r>
                    <w:rPr>
                      <w:rFonts w:hint="default" w:ascii="Times New Roman" w:hAnsi="Times New Roman" w:eastAsia="仿宋" w:cs="Times New Roman"/>
                      <w:b/>
                      <w:bCs/>
                      <w:color w:val="000000" w:themeColor="text1"/>
                      <w:spacing w:val="-2"/>
                      <w:szCs w:val="21"/>
                      <w:highlight w:val="none"/>
                      <w:u w:val="none"/>
                      <w14:textFill>
                        <w14:solidFill>
                          <w14:schemeClr w14:val="tx1"/>
                        </w14:solidFill>
                      </w14:textFill>
                    </w:rPr>
                    <w:t>（mg/m</w:t>
                  </w:r>
                  <w:r>
                    <w:rPr>
                      <w:rFonts w:hint="default" w:ascii="Times New Roman" w:hAnsi="Times New Roman" w:eastAsia="仿宋" w:cs="Times New Roman"/>
                      <w:b/>
                      <w:bCs/>
                      <w:color w:val="000000" w:themeColor="text1"/>
                      <w:spacing w:val="-2"/>
                      <w:szCs w:val="21"/>
                      <w:highlight w:val="none"/>
                      <w:u w:val="none"/>
                      <w:vertAlign w:val="superscript"/>
                      <w14:textFill>
                        <w14:solidFill>
                          <w14:schemeClr w14:val="tx1"/>
                        </w14:solidFill>
                      </w14:textFill>
                    </w:rPr>
                    <w:t>3</w:t>
                  </w:r>
                  <w:r>
                    <w:rPr>
                      <w:rFonts w:hint="default" w:ascii="Times New Roman" w:hAnsi="Times New Roman" w:eastAsia="仿宋" w:cs="Times New Roman"/>
                      <w:b/>
                      <w:bCs/>
                      <w:color w:val="000000" w:themeColor="text1"/>
                      <w:spacing w:val="-2"/>
                      <w:szCs w:val="21"/>
                      <w:highlight w:val="none"/>
                      <w:u w:val="none"/>
                      <w14:textFill>
                        <w14:solidFill>
                          <w14:schemeClr w14:val="tx1"/>
                        </w14:solidFill>
                      </w14:textFill>
                    </w:rPr>
                    <w:t>）</w:t>
                  </w:r>
                </w:p>
              </w:tc>
              <w:tc>
                <w:tcPr>
                  <w:tcW w:w="488" w:type="pct"/>
                  <w:tcBorders>
                    <w:tl2br w:val="nil"/>
                    <w:tr2bl w:val="nil"/>
                  </w:tcBorders>
                  <w:noWrap w:val="0"/>
                  <w:vAlign w:val="center"/>
                </w:tcPr>
                <w:p w14:paraId="613D92B7">
                  <w:pPr>
                    <w:keepNext w:val="0"/>
                    <w:keepLines w:val="0"/>
                    <w:pageBreakBefore w:val="0"/>
                    <w:kinsoku/>
                    <w:wordWrap/>
                    <w:overflowPunct/>
                    <w:topLinePunct w:val="0"/>
                    <w:autoSpaceDE/>
                    <w:autoSpaceDN/>
                    <w:bidi w:val="0"/>
                    <w:ind w:left="-105" w:leftChars="-50" w:right="-105" w:rightChars="-50"/>
                    <w:jc w:val="center"/>
                    <w:textAlignment w:val="auto"/>
                    <w:rPr>
                      <w:rFonts w:hint="default" w:ascii="Times New Roman" w:hAnsi="Times New Roman" w:eastAsia="仿宋" w:cs="Times New Roman"/>
                      <w:b/>
                      <w:bCs/>
                      <w:color w:val="000000" w:themeColor="text1"/>
                      <w:highlight w:val="none"/>
                      <w:u w:val="none"/>
                      <w14:textFill>
                        <w14:solidFill>
                          <w14:schemeClr w14:val="tx1"/>
                        </w14:solidFill>
                      </w14:textFill>
                    </w:rPr>
                  </w:pPr>
                  <w:r>
                    <w:rPr>
                      <w:rFonts w:hint="default" w:ascii="Times New Roman" w:hAnsi="Times New Roman" w:eastAsia="仿宋" w:cs="Times New Roman"/>
                      <w:b/>
                      <w:bCs/>
                      <w:color w:val="000000" w:themeColor="text1"/>
                      <w:highlight w:val="none"/>
                      <w:u w:val="none"/>
                      <w14:textFill>
                        <w14:solidFill>
                          <w14:schemeClr w14:val="tx1"/>
                        </w14:solidFill>
                      </w14:textFill>
                    </w:rPr>
                    <w:t>单次持续时间/h</w:t>
                  </w:r>
                </w:p>
              </w:tc>
              <w:tc>
                <w:tcPr>
                  <w:tcW w:w="464" w:type="pct"/>
                  <w:tcBorders>
                    <w:tl2br w:val="nil"/>
                    <w:tr2bl w:val="nil"/>
                  </w:tcBorders>
                  <w:noWrap w:val="0"/>
                  <w:vAlign w:val="center"/>
                </w:tcPr>
                <w:p w14:paraId="31757347">
                  <w:pPr>
                    <w:keepNext w:val="0"/>
                    <w:keepLines w:val="0"/>
                    <w:pageBreakBefore w:val="0"/>
                    <w:kinsoku/>
                    <w:wordWrap/>
                    <w:overflowPunct/>
                    <w:topLinePunct w:val="0"/>
                    <w:autoSpaceDE/>
                    <w:autoSpaceDN/>
                    <w:bidi w:val="0"/>
                    <w:ind w:left="-105" w:leftChars="-50" w:right="-105" w:rightChars="-50"/>
                    <w:jc w:val="center"/>
                    <w:textAlignment w:val="auto"/>
                    <w:rPr>
                      <w:rFonts w:hint="default" w:ascii="Times New Roman" w:hAnsi="Times New Roman" w:eastAsia="仿宋" w:cs="Times New Roman"/>
                      <w:b/>
                      <w:bCs/>
                      <w:color w:val="000000" w:themeColor="text1"/>
                      <w:highlight w:val="none"/>
                      <w:u w:val="none"/>
                      <w14:textFill>
                        <w14:solidFill>
                          <w14:schemeClr w14:val="tx1"/>
                        </w14:solidFill>
                      </w14:textFill>
                    </w:rPr>
                  </w:pPr>
                  <w:r>
                    <w:rPr>
                      <w:rFonts w:hint="default" w:ascii="Times New Roman" w:hAnsi="Times New Roman" w:eastAsia="仿宋" w:cs="Times New Roman"/>
                      <w:b/>
                      <w:bCs/>
                      <w:color w:val="000000" w:themeColor="text1"/>
                      <w:highlight w:val="none"/>
                      <w:u w:val="none"/>
                      <w14:textFill>
                        <w14:solidFill>
                          <w14:schemeClr w14:val="tx1"/>
                        </w14:solidFill>
                      </w14:textFill>
                    </w:rPr>
                    <w:t>年发生频次/次</w:t>
                  </w:r>
                </w:p>
              </w:tc>
            </w:tr>
            <w:tr w14:paraId="63519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4" w:type="pct"/>
                  <w:tcBorders>
                    <w:tl2br w:val="nil"/>
                    <w:tr2bl w:val="nil"/>
                  </w:tcBorders>
                  <w:noWrap w:val="0"/>
                  <w:vAlign w:val="center"/>
                </w:tcPr>
                <w:p w14:paraId="19930846">
                  <w:pPr>
                    <w:keepNext w:val="0"/>
                    <w:keepLines w:val="0"/>
                    <w:pageBreakBefore w:val="0"/>
                    <w:kinsoku/>
                    <w:wordWrap/>
                    <w:overflowPunct/>
                    <w:topLinePunct w:val="0"/>
                    <w:autoSpaceDE/>
                    <w:autoSpaceDN/>
                    <w:bidi w:val="0"/>
                    <w:ind w:left="-105" w:leftChars="-50" w:right="-105" w:rightChars="-50"/>
                    <w:jc w:val="center"/>
                    <w:textAlignment w:val="auto"/>
                    <w:rPr>
                      <w:rFonts w:hint="default" w:ascii="Times New Roman" w:hAnsi="Times New Roman" w:eastAsia="仿宋" w:cs="Times New Roman"/>
                      <w:color w:val="000000" w:themeColor="text1"/>
                      <w:highlight w:val="none"/>
                      <w:u w:val="none"/>
                      <w:lang w:eastAsia="zh-CN"/>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DA00</w:t>
                  </w:r>
                  <w:r>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t>1</w:t>
                  </w:r>
                </w:p>
              </w:tc>
              <w:tc>
                <w:tcPr>
                  <w:tcW w:w="674" w:type="pct"/>
                  <w:tcBorders>
                    <w:tl2br w:val="nil"/>
                    <w:tr2bl w:val="nil"/>
                  </w:tcBorders>
                  <w:noWrap w:val="0"/>
                  <w:vAlign w:val="center"/>
                </w:tcPr>
                <w:p w14:paraId="389ACF45">
                  <w:pPr>
                    <w:keepNext w:val="0"/>
                    <w:keepLines w:val="0"/>
                    <w:pageBreakBefore w:val="0"/>
                    <w:kinsoku/>
                    <w:wordWrap/>
                    <w:overflowPunct/>
                    <w:topLinePunct w:val="0"/>
                    <w:autoSpaceDE/>
                    <w:autoSpaceDN/>
                    <w:bidi w:val="0"/>
                    <w:ind w:left="-105" w:leftChars="-50" w:right="-105" w:rightChars="-50"/>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工艺设备运转异常、污染</w:t>
                  </w:r>
                </w:p>
                <w:p w14:paraId="4D25753D">
                  <w:pPr>
                    <w:keepNext w:val="0"/>
                    <w:keepLines w:val="0"/>
                    <w:pageBreakBefore w:val="0"/>
                    <w:kinsoku/>
                    <w:wordWrap/>
                    <w:overflowPunct/>
                    <w:topLinePunct w:val="0"/>
                    <w:autoSpaceDE/>
                    <w:autoSpaceDN/>
                    <w:bidi w:val="0"/>
                    <w:ind w:left="-105" w:leftChars="-50" w:right="-105" w:rightChars="-50"/>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物排放控制措施达不到应有效率等</w:t>
                  </w:r>
                </w:p>
              </w:tc>
              <w:tc>
                <w:tcPr>
                  <w:tcW w:w="358" w:type="pct"/>
                  <w:tcBorders>
                    <w:tl2br w:val="nil"/>
                    <w:tr2bl w:val="nil"/>
                  </w:tcBorders>
                  <w:noWrap w:val="0"/>
                  <w:vAlign w:val="center"/>
                </w:tcPr>
                <w:p w14:paraId="3AADBEDF">
                  <w:pPr>
                    <w:pStyle w:val="50"/>
                    <w:keepNext w:val="0"/>
                    <w:keepLines w:val="0"/>
                    <w:pageBreakBefore w:val="0"/>
                    <w:kinsoku/>
                    <w:wordWrap/>
                    <w:overflowPunct/>
                    <w:topLinePunct w:val="0"/>
                    <w:autoSpaceDE/>
                    <w:autoSpaceDN/>
                    <w:bidi w:val="0"/>
                    <w:spacing w:before="0" w:line="240" w:lineRule="auto"/>
                    <w:ind w:left="-105" w:leftChars="-50" w:right="-105" w:rightChars="-50" w:firstLine="0" w:firstLineChars="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颗粒物</w:t>
                  </w:r>
                </w:p>
              </w:tc>
              <w:tc>
                <w:tcPr>
                  <w:tcW w:w="683" w:type="pct"/>
                  <w:tcBorders>
                    <w:tl2br w:val="nil"/>
                    <w:tr2bl w:val="nil"/>
                  </w:tcBorders>
                  <w:noWrap w:val="0"/>
                  <w:vAlign w:val="center"/>
                </w:tcPr>
                <w:p w14:paraId="58B2E257">
                  <w:pPr>
                    <w:pStyle w:val="50"/>
                    <w:keepNext w:val="0"/>
                    <w:keepLines w:val="0"/>
                    <w:pageBreakBefore w:val="0"/>
                    <w:kinsoku/>
                    <w:wordWrap/>
                    <w:overflowPunct/>
                    <w:topLinePunct w:val="0"/>
                    <w:autoSpaceDE/>
                    <w:autoSpaceDN/>
                    <w:bidi w:val="0"/>
                    <w:spacing w:before="0" w:line="240" w:lineRule="auto"/>
                    <w:ind w:left="-105" w:leftChars="-50" w:right="-105" w:rightChars="-50" w:firstLine="0" w:firstLineChars="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0</w:t>
                  </w:r>
                </w:p>
              </w:tc>
              <w:tc>
                <w:tcPr>
                  <w:tcW w:w="683" w:type="pct"/>
                  <w:tcBorders>
                    <w:tl2br w:val="nil"/>
                    <w:tr2bl w:val="nil"/>
                  </w:tcBorders>
                  <w:noWrap w:val="0"/>
                  <w:vAlign w:val="center"/>
                </w:tcPr>
                <w:p w14:paraId="5E940F10">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1017</w:t>
                  </w:r>
                </w:p>
              </w:tc>
              <w:tc>
                <w:tcPr>
                  <w:tcW w:w="607" w:type="pct"/>
                  <w:tcBorders>
                    <w:tl2br w:val="nil"/>
                    <w:tr2bl w:val="nil"/>
                  </w:tcBorders>
                  <w:noWrap w:val="0"/>
                  <w:vAlign w:val="center"/>
                </w:tcPr>
                <w:p w14:paraId="481C5B4D">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14:textFill>
                        <w14:solidFill>
                          <w14:schemeClr w14:val="tx1"/>
                        </w14:solidFill>
                      </w14:textFill>
                    </w:rPr>
                  </w:pPr>
                  <w:r>
                    <w:rPr>
                      <w:rFonts w:hint="eastAsia" w:eastAsia="仿宋" w:cs="Times New Roman"/>
                      <w:color w:val="000000" w:themeColor="text1"/>
                      <w:sz w:val="21"/>
                      <w:szCs w:val="21"/>
                      <w:highlight w:val="none"/>
                      <w:u w:val="none"/>
                      <w:lang w:val="en-US" w:eastAsia="zh-CN"/>
                      <w14:textFill>
                        <w14:solidFill>
                          <w14:schemeClr w14:val="tx1"/>
                        </w14:solidFill>
                      </w14:textFill>
                    </w:rPr>
                    <w:t>17.1625</w:t>
                  </w:r>
                </w:p>
              </w:tc>
              <w:tc>
                <w:tcPr>
                  <w:tcW w:w="535" w:type="pct"/>
                  <w:tcBorders>
                    <w:tl2br w:val="nil"/>
                    <w:tr2bl w:val="nil"/>
                  </w:tcBorders>
                  <w:noWrap w:val="0"/>
                  <w:vAlign w:val="center"/>
                </w:tcPr>
                <w:p w14:paraId="74292BB5">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仿宋" w:cs="Times New Roman"/>
                      <w:color w:val="000000" w:themeColor="text1"/>
                      <w:szCs w:val="21"/>
                      <w:highlight w:val="none"/>
                      <w:u w:val="none"/>
                      <w:lang w:val="en-US"/>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120</w:t>
                  </w:r>
                </w:p>
              </w:tc>
              <w:tc>
                <w:tcPr>
                  <w:tcW w:w="488" w:type="pct"/>
                  <w:tcBorders>
                    <w:tl2br w:val="nil"/>
                    <w:tr2bl w:val="nil"/>
                  </w:tcBorders>
                  <w:noWrap w:val="0"/>
                  <w:vAlign w:val="center"/>
                </w:tcPr>
                <w:p w14:paraId="5C7F9E1C">
                  <w:pPr>
                    <w:keepNext w:val="0"/>
                    <w:keepLines w:val="0"/>
                    <w:pageBreakBefore w:val="0"/>
                    <w:kinsoku/>
                    <w:wordWrap/>
                    <w:overflowPunct/>
                    <w:topLinePunct w:val="0"/>
                    <w:autoSpaceDE/>
                    <w:autoSpaceDN/>
                    <w:bidi w:val="0"/>
                    <w:ind w:left="-105" w:leftChars="-50" w:right="-105" w:rightChars="-50"/>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0.5</w:t>
                  </w:r>
                </w:p>
              </w:tc>
              <w:tc>
                <w:tcPr>
                  <w:tcW w:w="464" w:type="pct"/>
                  <w:tcBorders>
                    <w:tl2br w:val="nil"/>
                    <w:tr2bl w:val="nil"/>
                  </w:tcBorders>
                  <w:noWrap w:val="0"/>
                  <w:vAlign w:val="center"/>
                </w:tcPr>
                <w:p w14:paraId="1AD1A143">
                  <w:pPr>
                    <w:keepNext w:val="0"/>
                    <w:keepLines w:val="0"/>
                    <w:pageBreakBefore w:val="0"/>
                    <w:kinsoku/>
                    <w:wordWrap/>
                    <w:overflowPunct/>
                    <w:topLinePunct w:val="0"/>
                    <w:autoSpaceDE/>
                    <w:autoSpaceDN/>
                    <w:bidi w:val="0"/>
                    <w:ind w:left="-105" w:leftChars="-50" w:right="-105" w:rightChars="-50"/>
                    <w:jc w:val="center"/>
                    <w:textAlignment w:val="auto"/>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1</w:t>
                  </w:r>
                </w:p>
              </w:tc>
            </w:tr>
          </w:tbl>
          <w:p w14:paraId="794CD46F">
            <w:pPr>
              <w:spacing w:before="120" w:beforeLines="50" w:line="360" w:lineRule="auto"/>
              <w:ind w:firstLine="480" w:firstLineChars="200"/>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由上表可知，非正常工况下，DA00</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1</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废气排气筒排放的</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颗粒物</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浓度</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超</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标。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342B3BD2">
            <w:pPr>
              <w:spacing w:line="360" w:lineRule="auto"/>
              <w:ind w:firstLine="480" w:firstLineChars="200"/>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①当废气处理设施出现急停车时立即停止车间一切生产工序，不再向停车部分输送物料。此时，积极抢修，排除故障。待停车原因消除后，按开车的程序恢复生产。</w:t>
            </w:r>
          </w:p>
          <w:p w14:paraId="45F620CD">
            <w:pPr>
              <w:spacing w:line="360" w:lineRule="auto"/>
              <w:ind w:firstLine="480" w:firstLineChars="200"/>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②设备检修期间停止生产。</w:t>
            </w:r>
          </w:p>
          <w:p w14:paraId="0BBC1057">
            <w:pPr>
              <w:spacing w:line="360" w:lineRule="auto"/>
              <w:ind w:firstLine="480" w:firstLineChars="200"/>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③环保设施定期检查、保养、维修，确保处理效率。</w:t>
            </w:r>
          </w:p>
          <w:p w14:paraId="0F55F686">
            <w:pPr>
              <w:spacing w:line="360" w:lineRule="auto"/>
              <w:ind w:firstLine="482" w:firstLineChars="200"/>
              <w:rPr>
                <w:rFonts w:hint="default" w:ascii="Times New Roman" w:hAnsi="Times New Roman" w:eastAsia="仿宋" w:cs="Times New Roman"/>
                <w:b/>
                <w:bCs/>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4"/>
                <w:szCs w:val="32"/>
                <w:highlight w:val="none"/>
                <w:u w:val="none"/>
                <w:lang w:val="en-US" w:eastAsia="zh-CN"/>
                <w14:textFill>
                  <w14:solidFill>
                    <w14:schemeClr w14:val="tx1"/>
                  </w14:solidFill>
                </w14:textFill>
              </w:rPr>
              <w:t>4、无组织粉尘控制措施</w:t>
            </w:r>
          </w:p>
          <w:p w14:paraId="1929783D">
            <w:pPr>
              <w:spacing w:line="360" w:lineRule="auto"/>
              <w:ind w:firstLine="480" w:firstLineChars="200"/>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项目车间为封闭车间，大部分颗粒物沉降在车间内，为针对厂区内外的落地粉尘的处理采取下列措施：</w:t>
            </w:r>
          </w:p>
          <w:p w14:paraId="71BA8DB8">
            <w:pPr>
              <w:spacing w:line="360" w:lineRule="auto"/>
              <w:ind w:firstLine="480" w:firstLineChars="200"/>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厂内车间：</w:t>
            </w:r>
          </w:p>
          <w:p w14:paraId="2F364474">
            <w:pPr>
              <w:spacing w:line="360" w:lineRule="auto"/>
              <w:ind w:firstLine="480" w:firstLineChars="200"/>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①加强收集措施维护，车间封闭，防止粉尘外逸；</w:t>
            </w:r>
          </w:p>
          <w:p w14:paraId="19C0613C">
            <w:pPr>
              <w:spacing w:line="360" w:lineRule="auto"/>
              <w:ind w:firstLine="480" w:firstLineChars="200"/>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②加强个人卫生防护，从事粉尘作业者应穿戴工作服、工作帽，减少身体暴露部位，要根据粉尘的性质，选戴防尘口罩，以防止粉尘从呼吸道吸入，造成危害；</w:t>
            </w:r>
          </w:p>
          <w:p w14:paraId="23AEB554">
            <w:pPr>
              <w:spacing w:line="360" w:lineRule="auto"/>
              <w:ind w:firstLine="480" w:firstLineChars="200"/>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③安排专人对车间内落地粉尘定期进行打扫清理保持地面清洁，一般为2~3次一天。</w:t>
            </w:r>
          </w:p>
          <w:p w14:paraId="21570CA1">
            <w:pPr>
              <w:spacing w:line="360" w:lineRule="auto"/>
              <w:ind w:firstLine="480" w:firstLineChars="200"/>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厂区外：</w:t>
            </w:r>
          </w:p>
          <w:p w14:paraId="4C3ED83B">
            <w:pPr>
              <w:spacing w:line="360" w:lineRule="auto"/>
              <w:ind w:firstLine="480" w:firstLineChars="200"/>
              <w:rPr>
                <w:rFonts w:hint="default" w:ascii="Times New Roman" w:hAnsi="Times New Roman" w:eastAsia="仿宋" w:cs="Times New Roman"/>
                <w:b/>
                <w:bCs/>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安排专人对厂区外落地粉尘定期进行打扫清理保持地面清洁，一般为2~3次一天。</w:t>
            </w:r>
          </w:p>
          <w:p w14:paraId="7D75B9D3">
            <w:pPr>
              <w:spacing w:line="360" w:lineRule="auto"/>
              <w:ind w:firstLine="482" w:firstLineChars="200"/>
              <w:rPr>
                <w:rFonts w:hint="default" w:ascii="Times New Roman" w:hAnsi="Times New Roman" w:eastAsia="仿宋" w:cs="Times New Roman"/>
                <w:b/>
                <w:bCs/>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b/>
                <w:bCs/>
                <w:color w:val="000000" w:themeColor="text1"/>
                <w:sz w:val="24"/>
                <w:szCs w:val="32"/>
                <w:highlight w:val="none"/>
                <w:u w:val="none"/>
                <w:lang w:val="en-US" w:eastAsia="zh-CN"/>
                <w14:textFill>
                  <w14:solidFill>
                    <w14:schemeClr w14:val="tx1"/>
                  </w14:solidFill>
                </w14:textFill>
              </w:rPr>
              <w:t>5、排气筒设置的合理性分析</w:t>
            </w:r>
          </w:p>
          <w:p w14:paraId="7E14E45A">
            <w:pPr>
              <w:spacing w:line="360" w:lineRule="auto"/>
              <w:ind w:firstLine="480" w:firstLineChars="200"/>
              <w:rPr>
                <w:rFonts w:hint="default" w:ascii="Times New Roman" w:hAnsi="Times New Roman" w:eastAsia="仿宋" w:cs="Times New Roman"/>
                <w:b w:val="0"/>
                <w:bCs w:val="0"/>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4"/>
                <w:szCs w:val="32"/>
                <w:highlight w:val="none"/>
                <w:u w:val="none"/>
                <w:lang w:val="en-US" w:eastAsia="zh-CN"/>
                <w14:textFill>
                  <w14:solidFill>
                    <w14:schemeClr w14:val="tx1"/>
                  </w14:solidFill>
                </w14:textFill>
              </w:rPr>
              <w:t>参考《大气污染物综合排放标准》（GB16297-1996）中对排气筒高度的要求：①新污染源的排气筒一般不应低于15m；②排气筒高度须遵守表列排放速率标准值；③排气筒高度应高出周围200m半径范围的建筑5m以上。</w:t>
            </w:r>
          </w:p>
          <w:p w14:paraId="46C218FF">
            <w:pPr>
              <w:spacing w:line="360" w:lineRule="auto"/>
              <w:ind w:firstLine="480" w:firstLineChars="200"/>
              <w:rPr>
                <w:rFonts w:hint="default" w:ascii="Times New Roman" w:hAnsi="Times New Roman" w:eastAsia="仿宋" w:cs="Times New Roman"/>
                <w:b w:val="0"/>
                <w:bCs w:val="0"/>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4"/>
                <w:szCs w:val="32"/>
                <w:highlight w:val="none"/>
                <w:u w:val="none"/>
                <w:lang w:val="en-US" w:eastAsia="zh-CN"/>
                <w14:textFill>
                  <w14:solidFill>
                    <w14:schemeClr w14:val="tx1"/>
                  </w14:solidFill>
                </w14:textFill>
              </w:rPr>
              <w:t>本项目为新建项目，根据现场踏勘可知，目前项目周围200m范围内最高的建筑低于</w:t>
            </w:r>
            <w:r>
              <w:rPr>
                <w:rFonts w:hint="eastAsia" w:eastAsia="仿宋" w:cs="Times New Roman"/>
                <w:b w:val="0"/>
                <w:bCs w:val="0"/>
                <w:color w:val="000000" w:themeColor="text1"/>
                <w:sz w:val="24"/>
                <w:szCs w:val="32"/>
                <w:highlight w:val="none"/>
                <w:u w:val="none"/>
                <w:lang w:val="en-US" w:eastAsia="zh-CN"/>
                <w14:textFill>
                  <w14:solidFill>
                    <w14:schemeClr w14:val="tx1"/>
                  </w14:solidFill>
                </w14:textFill>
              </w:rPr>
              <w:t>11</w:t>
            </w:r>
            <w:r>
              <w:rPr>
                <w:rFonts w:hint="default" w:ascii="Times New Roman" w:hAnsi="Times New Roman" w:eastAsia="仿宋" w:cs="Times New Roman"/>
                <w:b w:val="0"/>
                <w:bCs w:val="0"/>
                <w:color w:val="000000" w:themeColor="text1"/>
                <w:sz w:val="24"/>
                <w:szCs w:val="32"/>
                <w:highlight w:val="none"/>
                <w:u w:val="none"/>
                <w:lang w:val="en-US" w:eastAsia="zh-CN"/>
                <w14:textFill>
                  <w14:solidFill>
                    <w14:schemeClr w14:val="tx1"/>
                  </w14:solidFill>
                </w14:textFill>
              </w:rPr>
              <w:t>m，故本项目排气筒高度</w:t>
            </w:r>
            <w:r>
              <w:rPr>
                <w:rFonts w:hint="eastAsia" w:eastAsia="仿宋" w:cs="Times New Roman"/>
                <w:b w:val="0"/>
                <w:bCs w:val="0"/>
                <w:color w:val="000000" w:themeColor="text1"/>
                <w:sz w:val="24"/>
                <w:szCs w:val="32"/>
                <w:highlight w:val="none"/>
                <w:u w:val="none"/>
                <w:lang w:val="en-US" w:eastAsia="zh-CN"/>
                <w14:textFill>
                  <w14:solidFill>
                    <w14:schemeClr w14:val="tx1"/>
                  </w14:solidFill>
                </w14:textFill>
              </w:rPr>
              <w:t>16m</w:t>
            </w:r>
            <w:r>
              <w:rPr>
                <w:rFonts w:hint="default" w:ascii="Times New Roman" w:hAnsi="Times New Roman" w:eastAsia="仿宋" w:cs="Times New Roman"/>
                <w:b w:val="0"/>
                <w:bCs w:val="0"/>
                <w:color w:val="000000" w:themeColor="text1"/>
                <w:sz w:val="24"/>
                <w:szCs w:val="32"/>
                <w:highlight w:val="none"/>
                <w:u w:val="none"/>
                <w:lang w:val="en-US" w:eastAsia="zh-CN"/>
                <w14:textFill>
                  <w14:solidFill>
                    <w14:schemeClr w14:val="tx1"/>
                  </w14:solidFill>
                </w14:textFill>
              </w:rPr>
              <w:t>满足大于周边建筑5m以上，排气筒设置排放满足《大气污染物综合排放标准》（GB16297-1996）的要求。</w:t>
            </w:r>
          </w:p>
          <w:p w14:paraId="117F55E2">
            <w:pPr>
              <w:spacing w:line="360" w:lineRule="auto"/>
              <w:ind w:firstLine="482" w:firstLineChars="200"/>
              <w:rPr>
                <w:rFonts w:hint="default" w:ascii="Times New Roman" w:hAnsi="Times New Roman" w:eastAsia="仿宋" w:cs="Times New Roman"/>
                <w:b/>
                <w:bCs/>
                <w:color w:val="000000" w:themeColor="text1"/>
                <w:sz w:val="24"/>
                <w:szCs w:val="32"/>
                <w:highlight w:val="none"/>
                <w:u w:val="none"/>
                <w:lang w:eastAsia="zh-CN"/>
                <w14:textFill>
                  <w14:solidFill>
                    <w14:schemeClr w14:val="tx1"/>
                  </w14:solidFill>
                </w14:textFill>
              </w:rPr>
            </w:pPr>
            <w:r>
              <w:rPr>
                <w:rFonts w:hint="default" w:ascii="Times New Roman" w:hAnsi="Times New Roman" w:eastAsia="仿宋" w:cs="Times New Roman"/>
                <w:b/>
                <w:bCs/>
                <w:color w:val="000000" w:themeColor="text1"/>
                <w:sz w:val="24"/>
                <w:szCs w:val="32"/>
                <w:highlight w:val="none"/>
                <w:u w:val="none"/>
                <w:lang w:val="en-US" w:eastAsia="zh-CN"/>
                <w14:textFill>
                  <w14:solidFill>
                    <w14:schemeClr w14:val="tx1"/>
                  </w14:solidFill>
                </w14:textFill>
              </w:rPr>
              <w:t>6</w:t>
            </w:r>
            <w:r>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t>、</w:t>
            </w:r>
            <w:r>
              <w:rPr>
                <w:rFonts w:hint="default" w:ascii="Times New Roman" w:hAnsi="Times New Roman" w:eastAsia="仿宋" w:cs="Times New Roman"/>
                <w:b/>
                <w:bCs/>
                <w:color w:val="000000" w:themeColor="text1"/>
                <w:sz w:val="24"/>
                <w:szCs w:val="32"/>
                <w:highlight w:val="none"/>
                <w:u w:val="none"/>
                <w:lang w:val="en-US" w:eastAsia="zh-CN"/>
                <w14:textFill>
                  <w14:solidFill>
                    <w14:schemeClr w14:val="tx1"/>
                  </w14:solidFill>
                </w14:textFill>
              </w:rPr>
              <w:t>废气环境</w:t>
            </w:r>
            <w:r>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t>影响</w:t>
            </w:r>
            <w:r>
              <w:rPr>
                <w:rFonts w:hint="default" w:ascii="Times New Roman" w:hAnsi="Times New Roman" w:eastAsia="仿宋" w:cs="Times New Roman"/>
                <w:b/>
                <w:bCs/>
                <w:color w:val="000000" w:themeColor="text1"/>
                <w:sz w:val="24"/>
                <w:szCs w:val="32"/>
                <w:highlight w:val="none"/>
                <w:u w:val="none"/>
                <w:lang w:val="en-US" w:eastAsia="zh-CN"/>
                <w14:textFill>
                  <w14:solidFill>
                    <w14:schemeClr w14:val="tx1"/>
                  </w14:solidFill>
                </w14:textFill>
              </w:rPr>
              <w:t>分析</w:t>
            </w:r>
          </w:p>
          <w:p w14:paraId="2D7B5E81">
            <w:pPr>
              <w:spacing w:line="360" w:lineRule="auto"/>
              <w:ind w:firstLine="480" w:firstLineChars="200"/>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项目生产过程中产生的废气污染物主要为颗粒物。本项目废气经过“布袋除尘器”处理后通过高</w:t>
            </w:r>
            <w:r>
              <w:rPr>
                <w:rFonts w:hint="eastAsia" w:eastAsia="仿宋" w:cs="Times New Roman"/>
                <w:color w:val="000000" w:themeColor="text1"/>
                <w:sz w:val="24"/>
                <w:szCs w:val="32"/>
                <w:highlight w:val="none"/>
                <w:u w:val="none"/>
                <w:lang w:val="en-US" w:eastAsia="zh-CN"/>
                <w14:textFill>
                  <w14:solidFill>
                    <w14:schemeClr w14:val="tx1"/>
                  </w14:solidFill>
                </w14:textFill>
              </w:rPr>
              <w:t>16m</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的排气筒排放，通过计算分析，本项目拟采取的废气处理措施可行，各项废气污染物均可实现达标排放，项目产生和排放的大气污染物对周围大气环境质量影响不大，不会造成周围大气环境质量明显下降。</w:t>
            </w:r>
          </w:p>
          <w:p w14:paraId="28D151F4">
            <w:pPr>
              <w:spacing w:line="360" w:lineRule="auto"/>
              <w:ind w:firstLine="480" w:firstLineChars="200"/>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为了进一步减轻本项目对周围大气环境的影响程度和范围，企业在生产过程中应该加强管理，保证废气治理设备正常运行。当废气治理设备出现故障不能正常运行时，应尽快修复废气处理措施，必要时进行停产维修，避免对周围大气环境造成污染影响。</w:t>
            </w:r>
          </w:p>
          <w:p w14:paraId="45D1496C">
            <w:pPr>
              <w:spacing w:line="360" w:lineRule="auto"/>
              <w:ind w:firstLine="482" w:firstLineChars="200"/>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t>二、废水环境影响分析和保护措施</w:t>
            </w:r>
          </w:p>
          <w:p w14:paraId="716D2689">
            <w:pPr>
              <w:adjustRightInd w:val="0"/>
              <w:snapToGrid w:val="0"/>
              <w:spacing w:line="360" w:lineRule="auto"/>
              <w:ind w:firstLine="480" w:firstLineChars="200"/>
              <w:jc w:val="left"/>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bCs/>
                <w:color w:val="000000" w:themeColor="text1"/>
                <w:sz w:val="24"/>
                <w:highlight w:val="none"/>
                <w:u w:val="none"/>
                <w14:textFill>
                  <w14:solidFill>
                    <w14:schemeClr w14:val="tx1"/>
                  </w14:solidFill>
                </w14:textFill>
              </w:rPr>
              <w:t>项目劳动定员</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6</w:t>
            </w:r>
            <w:r>
              <w:rPr>
                <w:rFonts w:hint="default" w:ascii="Times New Roman" w:hAnsi="Times New Roman" w:eastAsia="仿宋" w:cs="Times New Roman"/>
                <w:bCs/>
                <w:color w:val="000000" w:themeColor="text1"/>
                <w:sz w:val="24"/>
                <w:highlight w:val="none"/>
                <w:u w:val="none"/>
                <w14:textFill>
                  <w14:solidFill>
                    <w14:schemeClr w14:val="tx1"/>
                  </w14:solidFill>
                </w14:textFill>
              </w:rPr>
              <w:t>人，</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不在厂内食宿，年工作</w:t>
            </w:r>
            <w:r>
              <w:rPr>
                <w:rFonts w:hint="eastAsia" w:ascii="Times New Roman" w:hAnsi="Times New Roman" w:eastAsia="仿宋" w:cs="Times New Roman"/>
                <w:bCs/>
                <w:color w:val="000000" w:themeColor="text1"/>
                <w:sz w:val="24"/>
                <w:highlight w:val="none"/>
                <w:u w:val="none"/>
                <w:lang w:val="en-US" w:eastAsia="zh-CN"/>
                <w14:textFill>
                  <w14:solidFill>
                    <w14:schemeClr w14:val="tx1"/>
                  </w14:solidFill>
                </w14:textFill>
              </w:rPr>
              <w:t>100</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天。</w:t>
            </w:r>
            <w:r>
              <w:rPr>
                <w:rFonts w:hint="eastAsia" w:eastAsia="仿宋" w:cs="Times New Roman"/>
                <w:color w:val="000000" w:themeColor="text1"/>
                <w:kern w:val="0"/>
                <w:sz w:val="24"/>
                <w:highlight w:val="none"/>
                <w:u w:val="none"/>
                <w:lang w:val="en-US" w:eastAsia="zh-CN"/>
                <w14:textFill>
                  <w14:solidFill>
                    <w14:schemeClr w14:val="tx1"/>
                  </w14:solidFill>
                </w14:textFill>
              </w:rPr>
              <w:t>饮用水采取外购桶装水，生产不需用水，</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根据《用水定额》（黑龙江省地方标准DB23/T727-2021），取80L/人·d计算，则用水量为</w:t>
            </w:r>
            <w:r>
              <w:rPr>
                <w:rFonts w:hint="eastAsia" w:eastAsia="仿宋" w:cs="Times New Roman"/>
                <w:color w:val="000000" w:themeColor="text1"/>
                <w:sz w:val="24"/>
                <w:szCs w:val="24"/>
                <w:highlight w:val="none"/>
                <w:u w:val="none"/>
                <w:lang w:val="en-US" w:eastAsia="zh-CN"/>
                <w14:textFill>
                  <w14:solidFill>
                    <w14:schemeClr w14:val="tx1"/>
                  </w14:solidFill>
                </w14:textFill>
              </w:rPr>
              <w:t>0.48</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m</w:t>
            </w:r>
            <w:r>
              <w:rPr>
                <w:rFonts w:hint="default" w:ascii="Times New Roman" w:hAnsi="Times New Roman" w:eastAsia="仿宋" w:cs="Times New Roman"/>
                <w:color w:val="000000" w:themeColor="text1"/>
                <w:sz w:val="24"/>
                <w:szCs w:val="24"/>
                <w:highlight w:val="none"/>
                <w:u w:val="none"/>
                <w:vertAlign w:val="superscript"/>
                <w14:textFill>
                  <w14:solidFill>
                    <w14:schemeClr w14:val="tx1"/>
                  </w14:solidFill>
                </w14:textFill>
              </w:rPr>
              <w:t>3</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/d、</w:t>
            </w:r>
            <w:r>
              <w:rPr>
                <w:rFonts w:hint="eastAsia" w:eastAsia="仿宋" w:cs="Times New Roman"/>
                <w:color w:val="000000" w:themeColor="text1"/>
                <w:sz w:val="24"/>
                <w:szCs w:val="24"/>
                <w:highlight w:val="none"/>
                <w:u w:val="none"/>
                <w:lang w:val="en-US" w:eastAsia="zh-CN"/>
                <w14:textFill>
                  <w14:solidFill>
                    <w14:schemeClr w14:val="tx1"/>
                  </w14:solidFill>
                </w14:textFill>
              </w:rPr>
              <w:t>48</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m</w:t>
            </w:r>
            <w:r>
              <w:rPr>
                <w:rFonts w:hint="default" w:ascii="Times New Roman" w:hAnsi="Times New Roman" w:eastAsia="仿宋" w:cs="Times New Roman"/>
                <w:color w:val="000000" w:themeColor="text1"/>
                <w:sz w:val="24"/>
                <w:szCs w:val="24"/>
                <w:highlight w:val="none"/>
                <w:u w:val="none"/>
                <w:vertAlign w:val="superscript"/>
                <w14:textFill>
                  <w14:solidFill>
                    <w14:schemeClr w14:val="tx1"/>
                  </w14:solidFill>
                </w14:textFill>
              </w:rPr>
              <w:t>3</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/a。生活用水量为</w:t>
            </w: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48</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t/a，废水排放量按用水量的</w:t>
            </w: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80</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%计，则项目生活污水量为</w:t>
            </w: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38.4t</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/a（</w:t>
            </w:r>
            <w:r>
              <w:rPr>
                <w:rFonts w:hint="default"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0.</w:t>
            </w: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384</w:t>
            </w:r>
            <w:r>
              <w:rPr>
                <w:rFonts w:hint="default"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2</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t/d）</w:t>
            </w:r>
            <w:r>
              <w:rPr>
                <w:rFonts w:hint="default" w:ascii="Times New Roman" w:hAnsi="Times New Roman" w:eastAsia="仿宋"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 w:val="24"/>
                <w:szCs w:val="24"/>
                <w:highlight w:val="none"/>
                <w:u w:val="none"/>
                <w14:textFill>
                  <w14:solidFill>
                    <w14:schemeClr w14:val="tx1"/>
                  </w14:solidFill>
                </w14:textFill>
              </w:rPr>
              <w:t>本项目生活污水产生量小，生活污水经</w:t>
            </w: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防渗旱厕，定期清掏，外运堆肥，</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生活污水对周边影响较小</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w:t>
            </w:r>
          </w:p>
          <w:p w14:paraId="4510F8F1">
            <w:pPr>
              <w:spacing w:line="360" w:lineRule="auto"/>
              <w:ind w:firstLine="482" w:firstLineChars="200"/>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t>三、声环境影响分析和保护措施</w:t>
            </w:r>
          </w:p>
          <w:p w14:paraId="2F23C713">
            <w:pPr>
              <w:spacing w:line="360" w:lineRule="auto"/>
              <w:ind w:firstLine="482" w:firstLineChars="200"/>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t>1、噪声源强</w:t>
            </w:r>
          </w:p>
          <w:p w14:paraId="28115E06">
            <w:pPr>
              <w:spacing w:line="360" w:lineRule="auto"/>
              <w:ind w:firstLine="480" w:firstLineChars="200"/>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项目主要噪声源于设备运行时产生的噪声，根据《实用环境保护数据大全》（第六册）及类比其他同类型项目，这类生产设备噪声值</w:t>
            </w:r>
            <w:r>
              <w:rPr>
                <w:rFonts w:hint="eastAsia" w:eastAsia="仿宋" w:cs="Times New Roman"/>
                <w:color w:val="000000" w:themeColor="text1"/>
                <w:sz w:val="24"/>
                <w:szCs w:val="32"/>
                <w:highlight w:val="none"/>
                <w:u w:val="none"/>
                <w:lang w:val="en-US" w:eastAsia="zh-CN"/>
                <w14:textFill>
                  <w14:solidFill>
                    <w14:schemeClr w14:val="tx1"/>
                  </w14:solidFill>
                </w14:textFill>
              </w:rPr>
              <w:t>见下表</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w:t>
            </w:r>
          </w:p>
          <w:p w14:paraId="33B0080E">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表4-9项目主要噪声源及控制措施一览表</w:t>
            </w:r>
          </w:p>
          <w:tbl>
            <w:tblPr>
              <w:tblStyle w:val="78"/>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90"/>
              <w:gridCol w:w="590"/>
              <w:gridCol w:w="629"/>
              <w:gridCol w:w="1038"/>
              <w:gridCol w:w="585"/>
              <w:gridCol w:w="541"/>
              <w:gridCol w:w="567"/>
              <w:gridCol w:w="578"/>
              <w:gridCol w:w="612"/>
              <w:gridCol w:w="573"/>
              <w:gridCol w:w="757"/>
              <w:gridCol w:w="612"/>
              <w:gridCol w:w="467"/>
              <w:gridCol w:w="627"/>
            </w:tblGrid>
            <w:tr w14:paraId="7E6DEC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 w:type="pct"/>
                  <w:vMerge w:val="restart"/>
                  <w:tcBorders>
                    <w:tl2br w:val="nil"/>
                    <w:tr2bl w:val="nil"/>
                  </w:tcBorders>
                  <w:vAlign w:val="center"/>
                </w:tcPr>
                <w:p w14:paraId="328E7228">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序号</w:t>
                  </w:r>
                </w:p>
              </w:tc>
              <w:tc>
                <w:tcPr>
                  <w:tcW w:w="354" w:type="pct"/>
                  <w:vMerge w:val="restart"/>
                  <w:tcBorders>
                    <w:tl2br w:val="nil"/>
                    <w:tr2bl w:val="nil"/>
                  </w:tcBorders>
                  <w:vAlign w:val="center"/>
                </w:tcPr>
                <w:p w14:paraId="7388F1CF">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建筑物名称</w:t>
                  </w:r>
                </w:p>
              </w:tc>
              <w:tc>
                <w:tcPr>
                  <w:tcW w:w="377" w:type="pct"/>
                  <w:vMerge w:val="restart"/>
                  <w:tcBorders>
                    <w:tl2br w:val="nil"/>
                    <w:tr2bl w:val="nil"/>
                  </w:tcBorders>
                  <w:vAlign w:val="center"/>
                </w:tcPr>
                <w:p w14:paraId="27536285">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声源名称</w:t>
                  </w:r>
                </w:p>
              </w:tc>
              <w:tc>
                <w:tcPr>
                  <w:tcW w:w="538" w:type="pct"/>
                  <w:vMerge w:val="restart"/>
                  <w:tcBorders>
                    <w:tl2br w:val="nil"/>
                    <w:tr2bl w:val="nil"/>
                  </w:tcBorders>
                  <w:vAlign w:val="center"/>
                </w:tcPr>
                <w:p w14:paraId="2135D791">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型号</w:t>
                  </w:r>
                </w:p>
              </w:tc>
              <w:tc>
                <w:tcPr>
                  <w:tcW w:w="351" w:type="pct"/>
                  <w:tcBorders>
                    <w:tl2br w:val="nil"/>
                    <w:tr2bl w:val="nil"/>
                  </w:tcBorders>
                  <w:vAlign w:val="center"/>
                </w:tcPr>
                <w:p w14:paraId="5078D6A0">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声源源强</w:t>
                  </w:r>
                </w:p>
              </w:tc>
              <w:tc>
                <w:tcPr>
                  <w:tcW w:w="325" w:type="pct"/>
                  <w:vMerge w:val="restart"/>
                  <w:tcBorders>
                    <w:tl2br w:val="nil"/>
                    <w:tr2bl w:val="nil"/>
                  </w:tcBorders>
                  <w:vAlign w:val="center"/>
                </w:tcPr>
                <w:p w14:paraId="6375038F">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声源控制 措施</w:t>
                  </w:r>
                </w:p>
              </w:tc>
              <w:tc>
                <w:tcPr>
                  <w:tcW w:w="1054" w:type="pct"/>
                  <w:gridSpan w:val="3"/>
                  <w:tcBorders>
                    <w:tl2br w:val="nil"/>
                    <w:tr2bl w:val="nil"/>
                  </w:tcBorders>
                  <w:vAlign w:val="center"/>
                </w:tcPr>
                <w:p w14:paraId="2D58DFBE">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空间相对位置/m</w:t>
                  </w:r>
                </w:p>
              </w:tc>
              <w:tc>
                <w:tcPr>
                  <w:tcW w:w="343" w:type="pct"/>
                  <w:vMerge w:val="restart"/>
                  <w:tcBorders>
                    <w:tl2br w:val="nil"/>
                    <w:tr2bl w:val="nil"/>
                  </w:tcBorders>
                  <w:vAlign w:val="center"/>
                </w:tcPr>
                <w:p w14:paraId="41D92984">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距室内边 界距离/m</w:t>
                  </w:r>
                </w:p>
              </w:tc>
              <w:tc>
                <w:tcPr>
                  <w:tcW w:w="452" w:type="pct"/>
                  <w:vMerge w:val="restart"/>
                  <w:tcBorders>
                    <w:tl2br w:val="nil"/>
                    <w:tr2bl w:val="nil"/>
                  </w:tcBorders>
                  <w:vAlign w:val="center"/>
                </w:tcPr>
                <w:p w14:paraId="65319867">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建筑物</w:t>
                  </w:r>
                </w:p>
                <w:p w14:paraId="12E33890">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插入损失</w:t>
                  </w:r>
                </w:p>
                <w:p w14:paraId="25AEBA44">
                  <w:pPr>
                    <w:bidi w:val="0"/>
                    <w:jc w:val="center"/>
                    <w:rPr>
                      <w:rFonts w:hint="eastAsia" w:ascii="Times New Roman" w:hAnsi="Times New Roman" w:eastAsia="仿宋" w:cs="Times New Roman"/>
                      <w:color w:val="000000" w:themeColor="text1"/>
                      <w:highlight w:val="none"/>
                      <w:lang w:eastAsia="zh-CN"/>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/dB</w:t>
                  </w:r>
                  <w:r>
                    <w:rPr>
                      <w:rFonts w:hint="eastAsia" w:eastAsia="仿宋" w:cs="Times New Roman"/>
                      <w:color w:val="000000" w:themeColor="text1"/>
                      <w:highlight w:val="none"/>
                      <w:lang w:eastAsia="zh-CN"/>
                      <w14:textFill>
                        <w14:solidFill>
                          <w14:schemeClr w14:val="tx1"/>
                        </w14:solidFill>
                      </w14:textFill>
                    </w:rPr>
                    <w:t>（</w:t>
                  </w:r>
                  <w:r>
                    <w:rPr>
                      <w:rFonts w:hint="default" w:ascii="Times New Roman" w:hAnsi="Times New Roman" w:eastAsia="仿宋" w:cs="Times New Roman"/>
                      <w:color w:val="000000" w:themeColor="text1"/>
                      <w:highlight w:val="none"/>
                      <w14:textFill>
                        <w14:solidFill>
                          <w14:schemeClr w14:val="tx1"/>
                        </w14:solidFill>
                      </w14:textFill>
                    </w:rPr>
                    <w:t>A</w:t>
                  </w:r>
                  <w:r>
                    <w:rPr>
                      <w:rFonts w:hint="eastAsia" w:eastAsia="仿宋" w:cs="Times New Roman"/>
                      <w:color w:val="000000" w:themeColor="text1"/>
                      <w:highlight w:val="none"/>
                      <w:lang w:eastAsia="zh-CN"/>
                      <w14:textFill>
                        <w14:solidFill>
                          <w14:schemeClr w14:val="tx1"/>
                        </w14:solidFill>
                      </w14:textFill>
                    </w:rPr>
                    <w:t>）</w:t>
                  </w:r>
                </w:p>
              </w:tc>
              <w:tc>
                <w:tcPr>
                  <w:tcW w:w="647" w:type="pct"/>
                  <w:gridSpan w:val="2"/>
                  <w:tcBorders>
                    <w:tl2br w:val="nil"/>
                    <w:tr2bl w:val="nil"/>
                  </w:tcBorders>
                  <w:vAlign w:val="center"/>
                </w:tcPr>
                <w:p w14:paraId="7743720F">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建筑物外噪声</w:t>
                  </w:r>
                </w:p>
              </w:tc>
              <w:tc>
                <w:tcPr>
                  <w:tcW w:w="375" w:type="pct"/>
                  <w:vMerge w:val="restart"/>
                  <w:tcBorders>
                    <w:tl2br w:val="nil"/>
                    <w:tr2bl w:val="nil"/>
                  </w:tcBorders>
                  <w:vAlign w:val="center"/>
                </w:tcPr>
                <w:p w14:paraId="3A4B98BC">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运行时段</w:t>
                  </w:r>
                </w:p>
                <w:p w14:paraId="5D944FDE">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/h</w:t>
                  </w:r>
                </w:p>
              </w:tc>
            </w:tr>
            <w:tr w14:paraId="5F46E3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 w:type="pct"/>
                  <w:vMerge w:val="continue"/>
                  <w:tcBorders>
                    <w:tl2br w:val="nil"/>
                    <w:tr2bl w:val="nil"/>
                  </w:tcBorders>
                  <w:vAlign w:val="center"/>
                </w:tcPr>
                <w:p w14:paraId="427D119D">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354" w:type="pct"/>
                  <w:vMerge w:val="continue"/>
                  <w:tcBorders>
                    <w:tl2br w:val="nil"/>
                    <w:tr2bl w:val="nil"/>
                  </w:tcBorders>
                  <w:vAlign w:val="center"/>
                </w:tcPr>
                <w:p w14:paraId="7C649DE5">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377" w:type="pct"/>
                  <w:vMerge w:val="continue"/>
                  <w:tcBorders>
                    <w:tl2br w:val="nil"/>
                    <w:tr2bl w:val="nil"/>
                  </w:tcBorders>
                  <w:vAlign w:val="center"/>
                </w:tcPr>
                <w:p w14:paraId="2935EE08">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538" w:type="pct"/>
                  <w:vMerge w:val="continue"/>
                  <w:tcBorders>
                    <w:tl2br w:val="nil"/>
                    <w:tr2bl w:val="nil"/>
                  </w:tcBorders>
                  <w:vAlign w:val="center"/>
                </w:tcPr>
                <w:p w14:paraId="27A05BAA">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351" w:type="pct"/>
                  <w:tcBorders>
                    <w:tl2br w:val="nil"/>
                    <w:tr2bl w:val="nil"/>
                  </w:tcBorders>
                  <w:vAlign w:val="center"/>
                </w:tcPr>
                <w:p w14:paraId="6B7EC83E">
                  <w:pPr>
                    <w:bidi w:val="0"/>
                    <w:jc w:val="center"/>
                    <w:rPr>
                      <w:rFonts w:hint="eastAsia" w:ascii="Times New Roman" w:hAnsi="Times New Roman" w:eastAsia="仿宋" w:cs="Times New Roman"/>
                      <w:color w:val="000000" w:themeColor="text1"/>
                      <w:highlight w:val="none"/>
                      <w:lang w:eastAsia="zh-CN"/>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声功率级 /dB</w:t>
                  </w:r>
                  <w:r>
                    <w:rPr>
                      <w:rFonts w:hint="eastAsia" w:eastAsia="仿宋" w:cs="Times New Roman"/>
                      <w:color w:val="000000" w:themeColor="text1"/>
                      <w:highlight w:val="none"/>
                      <w:lang w:eastAsia="zh-CN"/>
                      <w14:textFill>
                        <w14:solidFill>
                          <w14:schemeClr w14:val="tx1"/>
                        </w14:solidFill>
                      </w14:textFill>
                    </w:rPr>
                    <w:t>（</w:t>
                  </w:r>
                  <w:r>
                    <w:rPr>
                      <w:rFonts w:hint="default" w:ascii="Times New Roman" w:hAnsi="Times New Roman" w:eastAsia="仿宋" w:cs="Times New Roman"/>
                      <w:color w:val="000000" w:themeColor="text1"/>
                      <w:highlight w:val="none"/>
                      <w14:textFill>
                        <w14:solidFill>
                          <w14:schemeClr w14:val="tx1"/>
                        </w14:solidFill>
                      </w14:textFill>
                    </w:rPr>
                    <w:t>A</w:t>
                  </w:r>
                  <w:r>
                    <w:rPr>
                      <w:rFonts w:hint="eastAsia" w:eastAsia="仿宋" w:cs="Times New Roman"/>
                      <w:color w:val="000000" w:themeColor="text1"/>
                      <w:highlight w:val="none"/>
                      <w:lang w:eastAsia="zh-CN"/>
                      <w14:textFill>
                        <w14:solidFill>
                          <w14:schemeClr w14:val="tx1"/>
                        </w14:solidFill>
                      </w14:textFill>
                    </w:rPr>
                    <w:t>）</w:t>
                  </w:r>
                </w:p>
              </w:tc>
              <w:tc>
                <w:tcPr>
                  <w:tcW w:w="325" w:type="pct"/>
                  <w:vMerge w:val="continue"/>
                  <w:tcBorders>
                    <w:tl2br w:val="nil"/>
                    <w:tr2bl w:val="nil"/>
                  </w:tcBorders>
                  <w:vAlign w:val="center"/>
                </w:tcPr>
                <w:p w14:paraId="4392D1A3">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340" w:type="pct"/>
                  <w:tcBorders>
                    <w:tl2br w:val="nil"/>
                    <w:tr2bl w:val="nil"/>
                  </w:tcBorders>
                  <w:vAlign w:val="center"/>
                </w:tcPr>
                <w:p w14:paraId="5472CCB4">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X</w:t>
                  </w:r>
                </w:p>
              </w:tc>
              <w:tc>
                <w:tcPr>
                  <w:tcW w:w="347" w:type="pct"/>
                  <w:tcBorders>
                    <w:tl2br w:val="nil"/>
                    <w:tr2bl w:val="nil"/>
                  </w:tcBorders>
                  <w:vAlign w:val="center"/>
                </w:tcPr>
                <w:p w14:paraId="4BFACE4E">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Y</w:t>
                  </w:r>
                </w:p>
              </w:tc>
              <w:tc>
                <w:tcPr>
                  <w:tcW w:w="367" w:type="pct"/>
                  <w:tcBorders>
                    <w:tl2br w:val="nil"/>
                    <w:tr2bl w:val="nil"/>
                  </w:tcBorders>
                  <w:vAlign w:val="center"/>
                </w:tcPr>
                <w:p w14:paraId="41588A68">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Z</w:t>
                  </w:r>
                </w:p>
              </w:tc>
              <w:tc>
                <w:tcPr>
                  <w:tcW w:w="343" w:type="pct"/>
                  <w:vMerge w:val="continue"/>
                  <w:tcBorders>
                    <w:tl2br w:val="nil"/>
                    <w:tr2bl w:val="nil"/>
                  </w:tcBorders>
                  <w:vAlign w:val="center"/>
                </w:tcPr>
                <w:p w14:paraId="6D54C904">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452" w:type="pct"/>
                  <w:vMerge w:val="continue"/>
                  <w:tcBorders>
                    <w:tl2br w:val="nil"/>
                    <w:tr2bl w:val="nil"/>
                  </w:tcBorders>
                  <w:vAlign w:val="center"/>
                </w:tcPr>
                <w:p w14:paraId="7C1C0ED6">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366" w:type="pct"/>
                  <w:tcBorders>
                    <w:tl2br w:val="nil"/>
                    <w:tr2bl w:val="nil"/>
                  </w:tcBorders>
                  <w:vAlign w:val="center"/>
                </w:tcPr>
                <w:p w14:paraId="249CCD7F">
                  <w:pPr>
                    <w:bidi w:val="0"/>
                    <w:jc w:val="center"/>
                    <w:rPr>
                      <w:rFonts w:hint="eastAsia" w:ascii="Times New Roman" w:hAnsi="Times New Roman" w:eastAsia="仿宋" w:cs="Times New Roman"/>
                      <w:color w:val="000000" w:themeColor="text1"/>
                      <w:highlight w:val="none"/>
                      <w:lang w:eastAsia="zh-CN"/>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声压级/dB</w:t>
                  </w:r>
                  <w:r>
                    <w:rPr>
                      <w:rFonts w:hint="eastAsia" w:eastAsia="仿宋" w:cs="Times New Roman"/>
                      <w:color w:val="000000" w:themeColor="text1"/>
                      <w:highlight w:val="none"/>
                      <w:lang w:eastAsia="zh-CN"/>
                      <w14:textFill>
                        <w14:solidFill>
                          <w14:schemeClr w14:val="tx1"/>
                        </w14:solidFill>
                      </w14:textFill>
                    </w:rPr>
                    <w:t>（</w:t>
                  </w:r>
                  <w:r>
                    <w:rPr>
                      <w:rFonts w:hint="default" w:ascii="Times New Roman" w:hAnsi="Times New Roman" w:eastAsia="仿宋" w:cs="Times New Roman"/>
                      <w:color w:val="000000" w:themeColor="text1"/>
                      <w:highlight w:val="none"/>
                      <w14:textFill>
                        <w14:solidFill>
                          <w14:schemeClr w14:val="tx1"/>
                        </w14:solidFill>
                      </w14:textFill>
                    </w:rPr>
                    <w:t>A</w:t>
                  </w:r>
                  <w:r>
                    <w:rPr>
                      <w:rFonts w:hint="eastAsia" w:eastAsia="仿宋" w:cs="Times New Roman"/>
                      <w:color w:val="000000" w:themeColor="text1"/>
                      <w:highlight w:val="none"/>
                      <w:lang w:eastAsia="zh-CN"/>
                      <w14:textFill>
                        <w14:solidFill>
                          <w14:schemeClr w14:val="tx1"/>
                        </w14:solidFill>
                      </w14:textFill>
                    </w:rPr>
                    <w:t>）</w:t>
                  </w:r>
                </w:p>
              </w:tc>
              <w:tc>
                <w:tcPr>
                  <w:tcW w:w="281" w:type="pct"/>
                  <w:tcBorders>
                    <w:tl2br w:val="nil"/>
                    <w:tr2bl w:val="nil"/>
                  </w:tcBorders>
                  <w:vAlign w:val="center"/>
                </w:tcPr>
                <w:p w14:paraId="2ADC0F7C">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建筑物外距离</w:t>
                  </w:r>
                </w:p>
              </w:tc>
              <w:tc>
                <w:tcPr>
                  <w:tcW w:w="375" w:type="pct"/>
                  <w:vMerge w:val="continue"/>
                  <w:tcBorders>
                    <w:tl2br w:val="nil"/>
                    <w:tr2bl w:val="nil"/>
                  </w:tcBorders>
                  <w:vAlign w:val="center"/>
                </w:tcPr>
                <w:p w14:paraId="7747E398">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r>
            <w:tr w14:paraId="5C99D6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 w:type="pct"/>
                  <w:tcBorders>
                    <w:tl2br w:val="nil"/>
                    <w:tr2bl w:val="nil"/>
                  </w:tcBorders>
                  <w:vAlign w:val="center"/>
                </w:tcPr>
                <w:p w14:paraId="1D5D88F8">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1</w:t>
                  </w:r>
                </w:p>
              </w:tc>
              <w:tc>
                <w:tcPr>
                  <w:tcW w:w="354" w:type="pct"/>
                  <w:vMerge w:val="restart"/>
                  <w:tcBorders>
                    <w:tl2br w:val="nil"/>
                    <w:tr2bl w:val="nil"/>
                  </w:tcBorders>
                  <w:vAlign w:val="center"/>
                </w:tcPr>
                <w:p w14:paraId="5C5F4BC4">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生产车间</w:t>
                  </w:r>
                </w:p>
              </w:tc>
              <w:tc>
                <w:tcPr>
                  <w:tcW w:w="377" w:type="pct"/>
                  <w:tcBorders>
                    <w:tl2br w:val="nil"/>
                    <w:tr2bl w:val="nil"/>
                  </w:tcBorders>
                  <w:vAlign w:val="center"/>
                </w:tcPr>
                <w:p w14:paraId="53AA1817">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制粒</w:t>
                  </w:r>
                  <w:r>
                    <w:rPr>
                      <w:rFonts w:hint="default" w:ascii="Times New Roman" w:hAnsi="Times New Roman" w:eastAsia="仿宋" w:cs="Times New Roman"/>
                      <w:color w:val="000000" w:themeColor="text1"/>
                      <w:highlight w:val="none"/>
                      <w14:textFill>
                        <w14:solidFill>
                          <w14:schemeClr w14:val="tx1"/>
                        </w14:solidFill>
                      </w14:textFill>
                    </w:rPr>
                    <w:t>机</w:t>
                  </w:r>
                </w:p>
              </w:tc>
              <w:tc>
                <w:tcPr>
                  <w:tcW w:w="538" w:type="pct"/>
                  <w:tcBorders>
                    <w:tl2br w:val="nil"/>
                    <w:tr2bl w:val="nil"/>
                  </w:tcBorders>
                  <w:vAlign w:val="center"/>
                </w:tcPr>
                <w:p w14:paraId="31A01675">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BSR-7280</w:t>
                  </w:r>
                </w:p>
              </w:tc>
              <w:tc>
                <w:tcPr>
                  <w:tcW w:w="351" w:type="pct"/>
                  <w:tcBorders>
                    <w:tl2br w:val="nil"/>
                    <w:tr2bl w:val="nil"/>
                  </w:tcBorders>
                  <w:vAlign w:val="center"/>
                </w:tcPr>
                <w:p w14:paraId="178DAF01">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70</w:t>
                  </w:r>
                </w:p>
              </w:tc>
              <w:tc>
                <w:tcPr>
                  <w:tcW w:w="325" w:type="pct"/>
                  <w:vMerge w:val="restart"/>
                  <w:tcBorders>
                    <w:tl2br w:val="nil"/>
                    <w:tr2bl w:val="nil"/>
                  </w:tcBorders>
                  <w:vAlign w:val="center"/>
                </w:tcPr>
                <w:p w14:paraId="021DDED9">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隔声、减震等措</w:t>
                  </w:r>
                </w:p>
                <w:p w14:paraId="6BCE3984">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施</w:t>
                  </w:r>
                </w:p>
              </w:tc>
              <w:tc>
                <w:tcPr>
                  <w:tcW w:w="340" w:type="pct"/>
                  <w:tcBorders>
                    <w:tl2br w:val="nil"/>
                    <w:tr2bl w:val="nil"/>
                  </w:tcBorders>
                  <w:vAlign w:val="center"/>
                </w:tcPr>
                <w:p w14:paraId="5D566E6C">
                  <w:pPr>
                    <w:bidi w:val="0"/>
                    <w:jc w:val="center"/>
                    <w:rPr>
                      <w:rFonts w:hint="default" w:ascii="Times New Roman" w:hAnsi="Times New Roman" w:eastAsia="仿宋" w:cs="Times New Roman"/>
                      <w:color w:val="000000" w:themeColor="text1"/>
                      <w:highlight w:val="none"/>
                      <w:lang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0</w:t>
                  </w:r>
                </w:p>
              </w:tc>
              <w:tc>
                <w:tcPr>
                  <w:tcW w:w="347" w:type="pct"/>
                  <w:tcBorders>
                    <w:tl2br w:val="nil"/>
                    <w:tr2bl w:val="nil"/>
                  </w:tcBorders>
                  <w:vAlign w:val="center"/>
                </w:tcPr>
                <w:p w14:paraId="7AA6862D">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eastAsia="zh-CN"/>
                      <w14:textFill>
                        <w14:solidFill>
                          <w14:schemeClr w14:val="tx1"/>
                        </w14:solidFill>
                      </w14:textFill>
                    </w:rPr>
                    <w:t>2</w:t>
                  </w:r>
                  <w:r>
                    <w:rPr>
                      <w:rFonts w:hint="default" w:ascii="Times New Roman" w:hAnsi="Times New Roman" w:eastAsia="仿宋" w:cs="Times New Roman"/>
                      <w:color w:val="000000" w:themeColor="text1"/>
                      <w:highlight w:val="none"/>
                      <w:lang w:val="en-US" w:eastAsia="zh-CN"/>
                      <w14:textFill>
                        <w14:solidFill>
                          <w14:schemeClr w14:val="tx1"/>
                        </w14:solidFill>
                      </w14:textFill>
                    </w:rPr>
                    <w:t>4</w:t>
                  </w:r>
                </w:p>
              </w:tc>
              <w:tc>
                <w:tcPr>
                  <w:tcW w:w="367" w:type="pct"/>
                  <w:tcBorders>
                    <w:tl2br w:val="nil"/>
                    <w:tr2bl w:val="nil"/>
                  </w:tcBorders>
                  <w:vAlign w:val="center"/>
                </w:tcPr>
                <w:p w14:paraId="152A4427">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1</w:t>
                  </w:r>
                </w:p>
              </w:tc>
              <w:tc>
                <w:tcPr>
                  <w:tcW w:w="343" w:type="pct"/>
                  <w:tcBorders>
                    <w:tl2br w:val="nil"/>
                    <w:tr2bl w:val="nil"/>
                  </w:tcBorders>
                  <w:vAlign w:val="center"/>
                </w:tcPr>
                <w:p w14:paraId="6B499C0A">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20</w:t>
                  </w:r>
                </w:p>
              </w:tc>
              <w:tc>
                <w:tcPr>
                  <w:tcW w:w="452" w:type="pct"/>
                  <w:tcBorders>
                    <w:tl2br w:val="nil"/>
                    <w:tr2bl w:val="nil"/>
                  </w:tcBorders>
                  <w:vAlign w:val="center"/>
                </w:tcPr>
                <w:p w14:paraId="1C4E173D">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20</w:t>
                  </w:r>
                </w:p>
              </w:tc>
              <w:tc>
                <w:tcPr>
                  <w:tcW w:w="366" w:type="pct"/>
                  <w:tcBorders>
                    <w:tl2br w:val="nil"/>
                    <w:tr2bl w:val="nil"/>
                  </w:tcBorders>
                  <w:vAlign w:val="center"/>
                </w:tcPr>
                <w:p w14:paraId="76B6CBDF">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50</w:t>
                  </w:r>
                </w:p>
              </w:tc>
              <w:tc>
                <w:tcPr>
                  <w:tcW w:w="281" w:type="pct"/>
                  <w:tcBorders>
                    <w:tl2br w:val="nil"/>
                    <w:tr2bl w:val="nil"/>
                  </w:tcBorders>
                  <w:vAlign w:val="center"/>
                </w:tcPr>
                <w:p w14:paraId="74F9B0E7">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1</w:t>
                  </w:r>
                </w:p>
              </w:tc>
              <w:tc>
                <w:tcPr>
                  <w:tcW w:w="375" w:type="pct"/>
                  <w:tcBorders>
                    <w:tl2br w:val="nil"/>
                    <w:tr2bl w:val="nil"/>
                  </w:tcBorders>
                  <w:vAlign w:val="center"/>
                </w:tcPr>
                <w:p w14:paraId="22F6C081">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900</w:t>
                  </w:r>
                </w:p>
              </w:tc>
            </w:tr>
            <w:tr w14:paraId="298FC0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 w:type="pct"/>
                  <w:tcBorders>
                    <w:tl2br w:val="nil"/>
                    <w:tr2bl w:val="nil"/>
                  </w:tcBorders>
                  <w:vAlign w:val="center"/>
                </w:tcPr>
                <w:p w14:paraId="0F36A175">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2</w:t>
                  </w:r>
                </w:p>
              </w:tc>
              <w:tc>
                <w:tcPr>
                  <w:tcW w:w="354" w:type="pct"/>
                  <w:vMerge w:val="continue"/>
                  <w:tcBorders>
                    <w:tl2br w:val="nil"/>
                    <w:tr2bl w:val="nil"/>
                  </w:tcBorders>
                  <w:vAlign w:val="center"/>
                </w:tcPr>
                <w:p w14:paraId="0CF35A45">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377" w:type="pct"/>
                  <w:tcBorders>
                    <w:tl2br w:val="nil"/>
                    <w:tr2bl w:val="nil"/>
                  </w:tcBorders>
                  <w:vAlign w:val="center"/>
                </w:tcPr>
                <w:p w14:paraId="0B62FA56">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制粒</w:t>
                  </w:r>
                  <w:r>
                    <w:rPr>
                      <w:rFonts w:hint="default" w:ascii="Times New Roman" w:hAnsi="Times New Roman" w:eastAsia="仿宋" w:cs="Times New Roman"/>
                      <w:color w:val="000000" w:themeColor="text1"/>
                      <w:highlight w:val="none"/>
                      <w14:textFill>
                        <w14:solidFill>
                          <w14:schemeClr w14:val="tx1"/>
                        </w14:solidFill>
                      </w14:textFill>
                    </w:rPr>
                    <w:t>机</w:t>
                  </w:r>
                </w:p>
              </w:tc>
              <w:tc>
                <w:tcPr>
                  <w:tcW w:w="538" w:type="pct"/>
                  <w:tcBorders>
                    <w:tl2br w:val="nil"/>
                    <w:tr2bl w:val="nil"/>
                  </w:tcBorders>
                  <w:vAlign w:val="center"/>
                </w:tcPr>
                <w:p w14:paraId="417078F1">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BSR-7280</w:t>
                  </w:r>
                </w:p>
              </w:tc>
              <w:tc>
                <w:tcPr>
                  <w:tcW w:w="351" w:type="pct"/>
                  <w:tcBorders>
                    <w:tl2br w:val="nil"/>
                    <w:tr2bl w:val="nil"/>
                  </w:tcBorders>
                  <w:vAlign w:val="center"/>
                </w:tcPr>
                <w:p w14:paraId="60AB1F30">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70</w:t>
                  </w:r>
                </w:p>
              </w:tc>
              <w:tc>
                <w:tcPr>
                  <w:tcW w:w="325" w:type="pct"/>
                  <w:vMerge w:val="continue"/>
                  <w:tcBorders>
                    <w:tl2br w:val="nil"/>
                    <w:tr2bl w:val="nil"/>
                  </w:tcBorders>
                  <w:vAlign w:val="center"/>
                </w:tcPr>
                <w:p w14:paraId="0E23187C">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340" w:type="pct"/>
                  <w:tcBorders>
                    <w:tl2br w:val="nil"/>
                    <w:tr2bl w:val="nil"/>
                  </w:tcBorders>
                  <w:vAlign w:val="center"/>
                </w:tcPr>
                <w:p w14:paraId="1B95B9EE">
                  <w:pPr>
                    <w:bidi w:val="0"/>
                    <w:jc w:val="center"/>
                    <w:rPr>
                      <w:rFonts w:hint="default" w:ascii="Times New Roman" w:hAnsi="Times New Roman" w:eastAsia="仿宋" w:cs="Times New Roman"/>
                      <w:color w:val="000000" w:themeColor="text1"/>
                      <w:highlight w:val="none"/>
                      <w:lang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4</w:t>
                  </w:r>
                </w:p>
              </w:tc>
              <w:tc>
                <w:tcPr>
                  <w:tcW w:w="347" w:type="pct"/>
                  <w:tcBorders>
                    <w:tl2br w:val="nil"/>
                    <w:tr2bl w:val="nil"/>
                  </w:tcBorders>
                  <w:vAlign w:val="center"/>
                </w:tcPr>
                <w:p w14:paraId="4CE26314">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24</w:t>
                  </w:r>
                </w:p>
              </w:tc>
              <w:tc>
                <w:tcPr>
                  <w:tcW w:w="367" w:type="pct"/>
                  <w:tcBorders>
                    <w:tl2br w:val="nil"/>
                    <w:tr2bl w:val="nil"/>
                  </w:tcBorders>
                  <w:vAlign w:val="center"/>
                </w:tcPr>
                <w:p w14:paraId="779A0ABF">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1</w:t>
                  </w:r>
                </w:p>
              </w:tc>
              <w:tc>
                <w:tcPr>
                  <w:tcW w:w="343" w:type="pct"/>
                  <w:tcBorders>
                    <w:tl2br w:val="nil"/>
                    <w:tr2bl w:val="nil"/>
                  </w:tcBorders>
                  <w:vAlign w:val="center"/>
                </w:tcPr>
                <w:p w14:paraId="1166C356">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16</w:t>
                  </w:r>
                </w:p>
              </w:tc>
              <w:tc>
                <w:tcPr>
                  <w:tcW w:w="452" w:type="pct"/>
                  <w:tcBorders>
                    <w:tl2br w:val="nil"/>
                    <w:tr2bl w:val="nil"/>
                  </w:tcBorders>
                  <w:vAlign w:val="center"/>
                </w:tcPr>
                <w:p w14:paraId="422FCF81">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20</w:t>
                  </w:r>
                </w:p>
              </w:tc>
              <w:tc>
                <w:tcPr>
                  <w:tcW w:w="366" w:type="pct"/>
                  <w:tcBorders>
                    <w:tl2br w:val="nil"/>
                    <w:tr2bl w:val="nil"/>
                  </w:tcBorders>
                  <w:vAlign w:val="center"/>
                </w:tcPr>
                <w:p w14:paraId="2DB124BE">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50</w:t>
                  </w:r>
                </w:p>
              </w:tc>
              <w:tc>
                <w:tcPr>
                  <w:tcW w:w="281" w:type="pct"/>
                  <w:tcBorders>
                    <w:tl2br w:val="nil"/>
                    <w:tr2bl w:val="nil"/>
                  </w:tcBorders>
                  <w:vAlign w:val="center"/>
                </w:tcPr>
                <w:p w14:paraId="52CB8442">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1</w:t>
                  </w:r>
                </w:p>
              </w:tc>
              <w:tc>
                <w:tcPr>
                  <w:tcW w:w="375" w:type="pct"/>
                  <w:tcBorders>
                    <w:tl2br w:val="nil"/>
                    <w:tr2bl w:val="nil"/>
                  </w:tcBorders>
                  <w:vAlign w:val="center"/>
                </w:tcPr>
                <w:p w14:paraId="007E9D75">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900</w:t>
                  </w:r>
                </w:p>
              </w:tc>
            </w:tr>
            <w:tr w14:paraId="434CD8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 w:type="pct"/>
                  <w:tcBorders>
                    <w:tl2br w:val="nil"/>
                    <w:tr2bl w:val="nil"/>
                  </w:tcBorders>
                  <w:vAlign w:val="center"/>
                </w:tcPr>
                <w:p w14:paraId="5ED04879">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3</w:t>
                  </w:r>
                </w:p>
              </w:tc>
              <w:tc>
                <w:tcPr>
                  <w:tcW w:w="354" w:type="pct"/>
                  <w:vMerge w:val="continue"/>
                  <w:tcBorders>
                    <w:tl2br w:val="nil"/>
                    <w:tr2bl w:val="nil"/>
                  </w:tcBorders>
                  <w:vAlign w:val="center"/>
                </w:tcPr>
                <w:p w14:paraId="74847528">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377" w:type="pct"/>
                  <w:tcBorders>
                    <w:tl2br w:val="nil"/>
                    <w:tr2bl w:val="nil"/>
                  </w:tcBorders>
                  <w:vAlign w:val="center"/>
                </w:tcPr>
                <w:p w14:paraId="5F713CAD">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制粒</w:t>
                  </w:r>
                  <w:r>
                    <w:rPr>
                      <w:rFonts w:hint="default" w:ascii="Times New Roman" w:hAnsi="Times New Roman" w:eastAsia="仿宋" w:cs="Times New Roman"/>
                      <w:color w:val="000000" w:themeColor="text1"/>
                      <w:highlight w:val="none"/>
                      <w14:textFill>
                        <w14:solidFill>
                          <w14:schemeClr w14:val="tx1"/>
                        </w14:solidFill>
                      </w14:textFill>
                    </w:rPr>
                    <w:t>机</w:t>
                  </w:r>
                </w:p>
              </w:tc>
              <w:tc>
                <w:tcPr>
                  <w:tcW w:w="538" w:type="pct"/>
                  <w:tcBorders>
                    <w:tl2br w:val="nil"/>
                    <w:tr2bl w:val="nil"/>
                  </w:tcBorders>
                  <w:vAlign w:val="center"/>
                </w:tcPr>
                <w:p w14:paraId="6C3D0E55">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BSR-7280</w:t>
                  </w:r>
                </w:p>
              </w:tc>
              <w:tc>
                <w:tcPr>
                  <w:tcW w:w="351" w:type="pct"/>
                  <w:tcBorders>
                    <w:tl2br w:val="nil"/>
                    <w:tr2bl w:val="nil"/>
                  </w:tcBorders>
                  <w:vAlign w:val="center"/>
                </w:tcPr>
                <w:p w14:paraId="555832D3">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70</w:t>
                  </w:r>
                </w:p>
              </w:tc>
              <w:tc>
                <w:tcPr>
                  <w:tcW w:w="325" w:type="pct"/>
                  <w:vMerge w:val="continue"/>
                  <w:tcBorders>
                    <w:tl2br w:val="nil"/>
                    <w:tr2bl w:val="nil"/>
                  </w:tcBorders>
                  <w:vAlign w:val="center"/>
                </w:tcPr>
                <w:p w14:paraId="72714759">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340" w:type="pct"/>
                  <w:tcBorders>
                    <w:tl2br w:val="nil"/>
                    <w:tr2bl w:val="nil"/>
                  </w:tcBorders>
                  <w:vAlign w:val="center"/>
                </w:tcPr>
                <w:p w14:paraId="2E0243E7">
                  <w:pPr>
                    <w:bidi w:val="0"/>
                    <w:jc w:val="center"/>
                    <w:rPr>
                      <w:rFonts w:hint="default" w:ascii="Times New Roman" w:hAnsi="Times New Roman" w:eastAsia="仿宋" w:cs="Times New Roman"/>
                      <w:color w:val="000000" w:themeColor="text1"/>
                      <w:highlight w:val="none"/>
                      <w:lang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8</w:t>
                  </w:r>
                </w:p>
              </w:tc>
              <w:tc>
                <w:tcPr>
                  <w:tcW w:w="347" w:type="pct"/>
                  <w:tcBorders>
                    <w:tl2br w:val="nil"/>
                    <w:tr2bl w:val="nil"/>
                  </w:tcBorders>
                  <w:vAlign w:val="center"/>
                </w:tcPr>
                <w:p w14:paraId="43E4D7AF">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24</w:t>
                  </w:r>
                </w:p>
              </w:tc>
              <w:tc>
                <w:tcPr>
                  <w:tcW w:w="367" w:type="pct"/>
                  <w:tcBorders>
                    <w:tl2br w:val="nil"/>
                    <w:tr2bl w:val="nil"/>
                  </w:tcBorders>
                  <w:vAlign w:val="center"/>
                </w:tcPr>
                <w:p w14:paraId="1714BDEC">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1</w:t>
                  </w:r>
                </w:p>
              </w:tc>
              <w:tc>
                <w:tcPr>
                  <w:tcW w:w="343" w:type="pct"/>
                  <w:tcBorders>
                    <w:tl2br w:val="nil"/>
                    <w:tr2bl w:val="nil"/>
                  </w:tcBorders>
                  <w:vAlign w:val="center"/>
                </w:tcPr>
                <w:p w14:paraId="6F3DB150">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12</w:t>
                  </w:r>
                </w:p>
              </w:tc>
              <w:tc>
                <w:tcPr>
                  <w:tcW w:w="452" w:type="pct"/>
                  <w:tcBorders>
                    <w:tl2br w:val="nil"/>
                    <w:tr2bl w:val="nil"/>
                  </w:tcBorders>
                  <w:vAlign w:val="center"/>
                </w:tcPr>
                <w:p w14:paraId="2E429AB0">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20</w:t>
                  </w:r>
                </w:p>
              </w:tc>
              <w:tc>
                <w:tcPr>
                  <w:tcW w:w="366" w:type="pct"/>
                  <w:tcBorders>
                    <w:tl2br w:val="nil"/>
                    <w:tr2bl w:val="nil"/>
                  </w:tcBorders>
                  <w:vAlign w:val="center"/>
                </w:tcPr>
                <w:p w14:paraId="418DE9AF">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50</w:t>
                  </w:r>
                </w:p>
              </w:tc>
              <w:tc>
                <w:tcPr>
                  <w:tcW w:w="281" w:type="pct"/>
                  <w:tcBorders>
                    <w:tl2br w:val="nil"/>
                    <w:tr2bl w:val="nil"/>
                  </w:tcBorders>
                  <w:vAlign w:val="center"/>
                </w:tcPr>
                <w:p w14:paraId="1520B645">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1</w:t>
                  </w:r>
                </w:p>
              </w:tc>
              <w:tc>
                <w:tcPr>
                  <w:tcW w:w="375" w:type="pct"/>
                  <w:tcBorders>
                    <w:tl2br w:val="nil"/>
                    <w:tr2bl w:val="nil"/>
                  </w:tcBorders>
                  <w:vAlign w:val="center"/>
                </w:tcPr>
                <w:p w14:paraId="5C9DC473">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900</w:t>
                  </w:r>
                </w:p>
              </w:tc>
            </w:tr>
            <w:tr w14:paraId="12B322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 w:type="pct"/>
                  <w:tcBorders>
                    <w:tl2br w:val="nil"/>
                    <w:tr2bl w:val="nil"/>
                  </w:tcBorders>
                  <w:vAlign w:val="center"/>
                </w:tcPr>
                <w:p w14:paraId="760F7887">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4</w:t>
                  </w:r>
                </w:p>
              </w:tc>
              <w:tc>
                <w:tcPr>
                  <w:tcW w:w="354" w:type="pct"/>
                  <w:vMerge w:val="continue"/>
                  <w:tcBorders>
                    <w:tl2br w:val="nil"/>
                    <w:tr2bl w:val="nil"/>
                  </w:tcBorders>
                  <w:vAlign w:val="center"/>
                </w:tcPr>
                <w:p w14:paraId="5565B512">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377" w:type="pct"/>
                  <w:tcBorders>
                    <w:tl2br w:val="nil"/>
                    <w:tr2bl w:val="nil"/>
                  </w:tcBorders>
                  <w:vAlign w:val="center"/>
                </w:tcPr>
                <w:p w14:paraId="0677641E">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制粒</w:t>
                  </w:r>
                  <w:r>
                    <w:rPr>
                      <w:rFonts w:hint="default" w:ascii="Times New Roman" w:hAnsi="Times New Roman" w:eastAsia="仿宋" w:cs="Times New Roman"/>
                      <w:color w:val="000000" w:themeColor="text1"/>
                      <w:highlight w:val="none"/>
                      <w14:textFill>
                        <w14:solidFill>
                          <w14:schemeClr w14:val="tx1"/>
                        </w14:solidFill>
                      </w14:textFill>
                    </w:rPr>
                    <w:t>机</w:t>
                  </w:r>
                </w:p>
              </w:tc>
              <w:tc>
                <w:tcPr>
                  <w:tcW w:w="538" w:type="pct"/>
                  <w:tcBorders>
                    <w:tl2br w:val="nil"/>
                    <w:tr2bl w:val="nil"/>
                  </w:tcBorders>
                  <w:vAlign w:val="center"/>
                </w:tcPr>
                <w:p w14:paraId="3D5C7A2E">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BSR-7280</w:t>
                  </w:r>
                </w:p>
              </w:tc>
              <w:tc>
                <w:tcPr>
                  <w:tcW w:w="351" w:type="pct"/>
                  <w:tcBorders>
                    <w:tl2br w:val="nil"/>
                    <w:tr2bl w:val="nil"/>
                  </w:tcBorders>
                  <w:vAlign w:val="center"/>
                </w:tcPr>
                <w:p w14:paraId="6279B34B">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70</w:t>
                  </w:r>
                </w:p>
              </w:tc>
              <w:tc>
                <w:tcPr>
                  <w:tcW w:w="325" w:type="pct"/>
                  <w:vMerge w:val="continue"/>
                  <w:tcBorders>
                    <w:tl2br w:val="nil"/>
                    <w:tr2bl w:val="nil"/>
                  </w:tcBorders>
                  <w:vAlign w:val="center"/>
                </w:tcPr>
                <w:p w14:paraId="522A8420">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340" w:type="pct"/>
                  <w:tcBorders>
                    <w:tl2br w:val="nil"/>
                    <w:tr2bl w:val="nil"/>
                  </w:tcBorders>
                  <w:vAlign w:val="center"/>
                </w:tcPr>
                <w:p w14:paraId="520DF564">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12</w:t>
                  </w:r>
                </w:p>
              </w:tc>
              <w:tc>
                <w:tcPr>
                  <w:tcW w:w="347" w:type="pct"/>
                  <w:tcBorders>
                    <w:tl2br w:val="nil"/>
                    <w:tr2bl w:val="nil"/>
                  </w:tcBorders>
                  <w:vAlign w:val="center"/>
                </w:tcPr>
                <w:p w14:paraId="28E4C417">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24</w:t>
                  </w:r>
                </w:p>
              </w:tc>
              <w:tc>
                <w:tcPr>
                  <w:tcW w:w="367" w:type="pct"/>
                  <w:tcBorders>
                    <w:tl2br w:val="nil"/>
                    <w:tr2bl w:val="nil"/>
                  </w:tcBorders>
                  <w:vAlign w:val="center"/>
                </w:tcPr>
                <w:p w14:paraId="0E053047">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1</w:t>
                  </w:r>
                </w:p>
              </w:tc>
              <w:tc>
                <w:tcPr>
                  <w:tcW w:w="343" w:type="pct"/>
                  <w:tcBorders>
                    <w:tl2br w:val="nil"/>
                    <w:tr2bl w:val="nil"/>
                  </w:tcBorders>
                  <w:vAlign w:val="center"/>
                </w:tcPr>
                <w:p w14:paraId="17D66ED6">
                  <w:pPr>
                    <w:bidi w:val="0"/>
                    <w:jc w:val="center"/>
                    <w:rPr>
                      <w:rFonts w:hint="default" w:ascii="Times New Roman" w:hAnsi="Times New Roman" w:eastAsia="仿宋" w:cs="Times New Roman"/>
                      <w:color w:val="000000" w:themeColor="text1"/>
                      <w:highlight w:val="none"/>
                      <w:lang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8</w:t>
                  </w:r>
                </w:p>
              </w:tc>
              <w:tc>
                <w:tcPr>
                  <w:tcW w:w="452" w:type="pct"/>
                  <w:tcBorders>
                    <w:tl2br w:val="nil"/>
                    <w:tr2bl w:val="nil"/>
                  </w:tcBorders>
                  <w:vAlign w:val="center"/>
                </w:tcPr>
                <w:p w14:paraId="7DC00EF3">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20</w:t>
                  </w:r>
                </w:p>
              </w:tc>
              <w:tc>
                <w:tcPr>
                  <w:tcW w:w="366" w:type="pct"/>
                  <w:tcBorders>
                    <w:tl2br w:val="nil"/>
                    <w:tr2bl w:val="nil"/>
                  </w:tcBorders>
                  <w:vAlign w:val="center"/>
                </w:tcPr>
                <w:p w14:paraId="75A2DEBC">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50</w:t>
                  </w:r>
                </w:p>
              </w:tc>
              <w:tc>
                <w:tcPr>
                  <w:tcW w:w="281" w:type="pct"/>
                  <w:tcBorders>
                    <w:tl2br w:val="nil"/>
                    <w:tr2bl w:val="nil"/>
                  </w:tcBorders>
                  <w:vAlign w:val="center"/>
                </w:tcPr>
                <w:p w14:paraId="0632858B">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1</w:t>
                  </w:r>
                </w:p>
              </w:tc>
              <w:tc>
                <w:tcPr>
                  <w:tcW w:w="375" w:type="pct"/>
                  <w:tcBorders>
                    <w:tl2br w:val="nil"/>
                    <w:tr2bl w:val="nil"/>
                  </w:tcBorders>
                  <w:vAlign w:val="center"/>
                </w:tcPr>
                <w:p w14:paraId="024FFF6C">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900</w:t>
                  </w:r>
                </w:p>
              </w:tc>
            </w:tr>
            <w:tr w14:paraId="232E70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 w:type="pct"/>
                  <w:tcBorders>
                    <w:tl2br w:val="nil"/>
                    <w:tr2bl w:val="nil"/>
                  </w:tcBorders>
                  <w:vAlign w:val="center"/>
                </w:tcPr>
                <w:p w14:paraId="723A0849">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5</w:t>
                  </w:r>
                </w:p>
              </w:tc>
              <w:tc>
                <w:tcPr>
                  <w:tcW w:w="354" w:type="pct"/>
                  <w:vMerge w:val="continue"/>
                  <w:tcBorders>
                    <w:tl2br w:val="nil"/>
                    <w:tr2bl w:val="nil"/>
                  </w:tcBorders>
                  <w:vAlign w:val="center"/>
                </w:tcPr>
                <w:p w14:paraId="71AD8D40">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377" w:type="pct"/>
                  <w:tcBorders>
                    <w:tl2br w:val="nil"/>
                    <w:tr2bl w:val="nil"/>
                  </w:tcBorders>
                  <w:vAlign w:val="center"/>
                </w:tcPr>
                <w:p w14:paraId="33A80727">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皮带输送机</w:t>
                  </w:r>
                </w:p>
              </w:tc>
              <w:tc>
                <w:tcPr>
                  <w:tcW w:w="538" w:type="pct"/>
                  <w:tcBorders>
                    <w:tl2br w:val="nil"/>
                    <w:tr2bl w:val="nil"/>
                  </w:tcBorders>
                  <w:vAlign w:val="center"/>
                </w:tcPr>
                <w:p w14:paraId="35B08FA2">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BSR-SSJ8R</w:t>
                  </w:r>
                </w:p>
              </w:tc>
              <w:tc>
                <w:tcPr>
                  <w:tcW w:w="351" w:type="pct"/>
                  <w:tcBorders>
                    <w:tl2br w:val="nil"/>
                    <w:tr2bl w:val="nil"/>
                  </w:tcBorders>
                  <w:vAlign w:val="center"/>
                </w:tcPr>
                <w:p w14:paraId="4389F908">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7</w:t>
                  </w:r>
                  <w:r>
                    <w:rPr>
                      <w:rFonts w:hint="default" w:ascii="Times New Roman" w:hAnsi="Times New Roman" w:eastAsia="仿宋" w:cs="Times New Roman"/>
                      <w:color w:val="000000" w:themeColor="text1"/>
                      <w:highlight w:val="none"/>
                      <w14:textFill>
                        <w14:solidFill>
                          <w14:schemeClr w14:val="tx1"/>
                        </w14:solidFill>
                      </w14:textFill>
                    </w:rPr>
                    <w:t>0</w:t>
                  </w:r>
                </w:p>
              </w:tc>
              <w:tc>
                <w:tcPr>
                  <w:tcW w:w="325" w:type="pct"/>
                  <w:vMerge w:val="continue"/>
                  <w:tcBorders>
                    <w:tl2br w:val="nil"/>
                    <w:tr2bl w:val="nil"/>
                  </w:tcBorders>
                  <w:vAlign w:val="center"/>
                </w:tcPr>
                <w:p w14:paraId="3A382D85">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340" w:type="pct"/>
                  <w:tcBorders>
                    <w:tl2br w:val="nil"/>
                    <w:tr2bl w:val="nil"/>
                  </w:tcBorders>
                  <w:vAlign w:val="center"/>
                </w:tcPr>
                <w:p w14:paraId="52E3DCF9">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2</w:t>
                  </w:r>
                </w:p>
              </w:tc>
              <w:tc>
                <w:tcPr>
                  <w:tcW w:w="347" w:type="pct"/>
                  <w:tcBorders>
                    <w:tl2br w:val="nil"/>
                    <w:tr2bl w:val="nil"/>
                  </w:tcBorders>
                  <w:vAlign w:val="center"/>
                </w:tcPr>
                <w:p w14:paraId="629ED858">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15</w:t>
                  </w:r>
                </w:p>
              </w:tc>
              <w:tc>
                <w:tcPr>
                  <w:tcW w:w="367" w:type="pct"/>
                  <w:tcBorders>
                    <w:tl2br w:val="nil"/>
                    <w:tr2bl w:val="nil"/>
                  </w:tcBorders>
                  <w:vAlign w:val="center"/>
                </w:tcPr>
                <w:p w14:paraId="69B942D6">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1</w:t>
                  </w:r>
                </w:p>
              </w:tc>
              <w:tc>
                <w:tcPr>
                  <w:tcW w:w="343" w:type="pct"/>
                  <w:tcBorders>
                    <w:tl2br w:val="nil"/>
                    <w:tr2bl w:val="nil"/>
                  </w:tcBorders>
                  <w:vAlign w:val="center"/>
                </w:tcPr>
                <w:p w14:paraId="646C045F">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18</w:t>
                  </w:r>
                </w:p>
              </w:tc>
              <w:tc>
                <w:tcPr>
                  <w:tcW w:w="452" w:type="pct"/>
                  <w:tcBorders>
                    <w:tl2br w:val="nil"/>
                    <w:tr2bl w:val="nil"/>
                  </w:tcBorders>
                  <w:vAlign w:val="center"/>
                </w:tcPr>
                <w:p w14:paraId="4F51E3AF">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20</w:t>
                  </w:r>
                </w:p>
              </w:tc>
              <w:tc>
                <w:tcPr>
                  <w:tcW w:w="366" w:type="pct"/>
                  <w:tcBorders>
                    <w:tl2br w:val="nil"/>
                    <w:tr2bl w:val="nil"/>
                  </w:tcBorders>
                  <w:vAlign w:val="center"/>
                </w:tcPr>
                <w:p w14:paraId="6B4523AE">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50</w:t>
                  </w:r>
                </w:p>
              </w:tc>
              <w:tc>
                <w:tcPr>
                  <w:tcW w:w="281" w:type="pct"/>
                  <w:tcBorders>
                    <w:tl2br w:val="nil"/>
                    <w:tr2bl w:val="nil"/>
                  </w:tcBorders>
                  <w:vAlign w:val="center"/>
                </w:tcPr>
                <w:p w14:paraId="588D3454">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1</w:t>
                  </w:r>
                </w:p>
              </w:tc>
              <w:tc>
                <w:tcPr>
                  <w:tcW w:w="375" w:type="pct"/>
                  <w:tcBorders>
                    <w:tl2br w:val="nil"/>
                    <w:tr2bl w:val="nil"/>
                  </w:tcBorders>
                  <w:vAlign w:val="center"/>
                </w:tcPr>
                <w:p w14:paraId="057FF1D1">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900</w:t>
                  </w:r>
                </w:p>
              </w:tc>
            </w:tr>
            <w:tr w14:paraId="31E026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 w:type="pct"/>
                  <w:tcBorders>
                    <w:tl2br w:val="nil"/>
                    <w:tr2bl w:val="nil"/>
                  </w:tcBorders>
                  <w:vAlign w:val="center"/>
                </w:tcPr>
                <w:p w14:paraId="781465DB">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6</w:t>
                  </w:r>
                </w:p>
              </w:tc>
              <w:tc>
                <w:tcPr>
                  <w:tcW w:w="354" w:type="pct"/>
                  <w:vMerge w:val="continue"/>
                  <w:tcBorders>
                    <w:tl2br w:val="nil"/>
                    <w:tr2bl w:val="nil"/>
                  </w:tcBorders>
                  <w:vAlign w:val="center"/>
                </w:tcPr>
                <w:p w14:paraId="6E64614B">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377" w:type="pct"/>
                  <w:tcBorders>
                    <w:tl2br w:val="nil"/>
                    <w:tr2bl w:val="nil"/>
                  </w:tcBorders>
                  <w:vAlign w:val="center"/>
                </w:tcPr>
                <w:p w14:paraId="11ACAC2D">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皮带输送机</w:t>
                  </w:r>
                </w:p>
              </w:tc>
              <w:tc>
                <w:tcPr>
                  <w:tcW w:w="538" w:type="pct"/>
                  <w:tcBorders>
                    <w:tl2br w:val="nil"/>
                    <w:tr2bl w:val="nil"/>
                  </w:tcBorders>
                  <w:vAlign w:val="center"/>
                </w:tcPr>
                <w:p w14:paraId="1EB65D1C">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BSR-SSJ8R</w:t>
                  </w:r>
                </w:p>
              </w:tc>
              <w:tc>
                <w:tcPr>
                  <w:tcW w:w="351" w:type="pct"/>
                  <w:tcBorders>
                    <w:tl2br w:val="nil"/>
                    <w:tr2bl w:val="nil"/>
                  </w:tcBorders>
                  <w:vAlign w:val="center"/>
                </w:tcPr>
                <w:p w14:paraId="2E983575">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70</w:t>
                  </w:r>
                </w:p>
              </w:tc>
              <w:tc>
                <w:tcPr>
                  <w:tcW w:w="325" w:type="pct"/>
                  <w:vMerge w:val="continue"/>
                  <w:tcBorders>
                    <w:tl2br w:val="nil"/>
                    <w:tr2bl w:val="nil"/>
                  </w:tcBorders>
                  <w:vAlign w:val="center"/>
                </w:tcPr>
                <w:p w14:paraId="7D05EEEE">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340" w:type="pct"/>
                  <w:tcBorders>
                    <w:tl2br w:val="nil"/>
                    <w:tr2bl w:val="nil"/>
                  </w:tcBorders>
                  <w:vAlign w:val="center"/>
                </w:tcPr>
                <w:p w14:paraId="03612955">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10</w:t>
                  </w:r>
                </w:p>
              </w:tc>
              <w:tc>
                <w:tcPr>
                  <w:tcW w:w="347" w:type="pct"/>
                  <w:tcBorders>
                    <w:tl2br w:val="nil"/>
                    <w:tr2bl w:val="nil"/>
                  </w:tcBorders>
                  <w:vAlign w:val="center"/>
                </w:tcPr>
                <w:p w14:paraId="54F275A1">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15</w:t>
                  </w:r>
                </w:p>
              </w:tc>
              <w:tc>
                <w:tcPr>
                  <w:tcW w:w="367" w:type="pct"/>
                  <w:tcBorders>
                    <w:tl2br w:val="nil"/>
                    <w:tr2bl w:val="nil"/>
                  </w:tcBorders>
                  <w:vAlign w:val="center"/>
                </w:tcPr>
                <w:p w14:paraId="6978CD4A">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1</w:t>
                  </w:r>
                </w:p>
              </w:tc>
              <w:tc>
                <w:tcPr>
                  <w:tcW w:w="343" w:type="pct"/>
                  <w:tcBorders>
                    <w:tl2br w:val="nil"/>
                    <w:tr2bl w:val="nil"/>
                  </w:tcBorders>
                  <w:vAlign w:val="center"/>
                </w:tcPr>
                <w:p w14:paraId="28323529">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10</w:t>
                  </w:r>
                </w:p>
              </w:tc>
              <w:tc>
                <w:tcPr>
                  <w:tcW w:w="452" w:type="pct"/>
                  <w:tcBorders>
                    <w:tl2br w:val="nil"/>
                    <w:tr2bl w:val="nil"/>
                  </w:tcBorders>
                  <w:vAlign w:val="center"/>
                </w:tcPr>
                <w:p w14:paraId="68E38207">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20</w:t>
                  </w:r>
                </w:p>
              </w:tc>
              <w:tc>
                <w:tcPr>
                  <w:tcW w:w="366" w:type="pct"/>
                  <w:tcBorders>
                    <w:tl2br w:val="nil"/>
                    <w:tr2bl w:val="nil"/>
                  </w:tcBorders>
                  <w:vAlign w:val="center"/>
                </w:tcPr>
                <w:p w14:paraId="3E73D91F">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50</w:t>
                  </w:r>
                </w:p>
              </w:tc>
              <w:tc>
                <w:tcPr>
                  <w:tcW w:w="281" w:type="pct"/>
                  <w:tcBorders>
                    <w:tl2br w:val="nil"/>
                    <w:tr2bl w:val="nil"/>
                  </w:tcBorders>
                  <w:vAlign w:val="center"/>
                </w:tcPr>
                <w:p w14:paraId="2B7E1749">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1</w:t>
                  </w:r>
                </w:p>
              </w:tc>
              <w:tc>
                <w:tcPr>
                  <w:tcW w:w="375" w:type="pct"/>
                  <w:tcBorders>
                    <w:tl2br w:val="nil"/>
                    <w:tr2bl w:val="nil"/>
                  </w:tcBorders>
                  <w:vAlign w:val="center"/>
                </w:tcPr>
                <w:p w14:paraId="4605776C">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900</w:t>
                  </w:r>
                </w:p>
              </w:tc>
            </w:tr>
            <w:tr w14:paraId="07BD41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 w:type="pct"/>
                  <w:tcBorders>
                    <w:tl2br w:val="nil"/>
                    <w:tr2bl w:val="nil"/>
                  </w:tcBorders>
                  <w:vAlign w:val="center"/>
                </w:tcPr>
                <w:p w14:paraId="44ED6A94">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7</w:t>
                  </w:r>
                </w:p>
              </w:tc>
              <w:tc>
                <w:tcPr>
                  <w:tcW w:w="354" w:type="pct"/>
                  <w:vMerge w:val="continue"/>
                  <w:tcBorders>
                    <w:tl2br w:val="nil"/>
                    <w:tr2bl w:val="nil"/>
                  </w:tcBorders>
                  <w:vAlign w:val="center"/>
                </w:tcPr>
                <w:p w14:paraId="59CA6D59">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377" w:type="pct"/>
                  <w:tcBorders>
                    <w:tl2br w:val="nil"/>
                    <w:tr2bl w:val="nil"/>
                  </w:tcBorders>
                  <w:vAlign w:val="center"/>
                </w:tcPr>
                <w:p w14:paraId="566F0861">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布袋除尘器</w:t>
                  </w:r>
                </w:p>
              </w:tc>
              <w:tc>
                <w:tcPr>
                  <w:tcW w:w="538" w:type="pct"/>
                  <w:tcBorders>
                    <w:tl2br w:val="nil"/>
                    <w:tr2bl w:val="nil"/>
                  </w:tcBorders>
                  <w:vAlign w:val="center"/>
                </w:tcPr>
                <w:p w14:paraId="35A7AB45">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w:t>
                  </w:r>
                </w:p>
              </w:tc>
              <w:tc>
                <w:tcPr>
                  <w:tcW w:w="351" w:type="pct"/>
                  <w:tcBorders>
                    <w:tl2br w:val="nil"/>
                    <w:tr2bl w:val="nil"/>
                  </w:tcBorders>
                  <w:vAlign w:val="center"/>
                </w:tcPr>
                <w:p w14:paraId="406B98DC">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85</w:t>
                  </w:r>
                </w:p>
              </w:tc>
              <w:tc>
                <w:tcPr>
                  <w:tcW w:w="325" w:type="pct"/>
                  <w:vMerge w:val="continue"/>
                  <w:tcBorders>
                    <w:tl2br w:val="nil"/>
                    <w:tr2bl w:val="nil"/>
                  </w:tcBorders>
                  <w:vAlign w:val="center"/>
                </w:tcPr>
                <w:p w14:paraId="53EFED16">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340" w:type="pct"/>
                  <w:tcBorders>
                    <w:tl2br w:val="nil"/>
                    <w:tr2bl w:val="nil"/>
                  </w:tcBorders>
                  <w:vAlign w:val="center"/>
                </w:tcPr>
                <w:p w14:paraId="600A1394">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40</w:t>
                  </w:r>
                </w:p>
              </w:tc>
              <w:tc>
                <w:tcPr>
                  <w:tcW w:w="347" w:type="pct"/>
                  <w:tcBorders>
                    <w:tl2br w:val="nil"/>
                    <w:tr2bl w:val="nil"/>
                  </w:tcBorders>
                  <w:vAlign w:val="center"/>
                </w:tcPr>
                <w:p w14:paraId="090AE914">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30</w:t>
                  </w:r>
                </w:p>
              </w:tc>
              <w:tc>
                <w:tcPr>
                  <w:tcW w:w="367" w:type="pct"/>
                  <w:tcBorders>
                    <w:tl2br w:val="nil"/>
                    <w:tr2bl w:val="nil"/>
                  </w:tcBorders>
                  <w:vAlign w:val="center"/>
                </w:tcPr>
                <w:p w14:paraId="7CCF8DF7">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1</w:t>
                  </w:r>
                </w:p>
              </w:tc>
              <w:tc>
                <w:tcPr>
                  <w:tcW w:w="343" w:type="pct"/>
                  <w:tcBorders>
                    <w:tl2br w:val="nil"/>
                    <w:tr2bl w:val="nil"/>
                  </w:tcBorders>
                  <w:vAlign w:val="center"/>
                </w:tcPr>
                <w:p w14:paraId="0208FEF3">
                  <w:pPr>
                    <w:bidi w:val="0"/>
                    <w:jc w:val="center"/>
                    <w:rPr>
                      <w:rFonts w:hint="default" w:ascii="Times New Roman" w:hAnsi="Times New Roman" w:eastAsia="仿宋" w:cs="Times New Roman"/>
                      <w:color w:val="000000" w:themeColor="text1"/>
                      <w:highlight w:val="none"/>
                      <w:lang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1</w:t>
                  </w:r>
                </w:p>
              </w:tc>
              <w:tc>
                <w:tcPr>
                  <w:tcW w:w="452" w:type="pct"/>
                  <w:tcBorders>
                    <w:tl2br w:val="nil"/>
                    <w:tr2bl w:val="nil"/>
                  </w:tcBorders>
                  <w:vAlign w:val="center"/>
                </w:tcPr>
                <w:p w14:paraId="7D5B767D">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20</w:t>
                  </w:r>
                </w:p>
              </w:tc>
              <w:tc>
                <w:tcPr>
                  <w:tcW w:w="366" w:type="pct"/>
                  <w:tcBorders>
                    <w:tl2br w:val="nil"/>
                    <w:tr2bl w:val="nil"/>
                  </w:tcBorders>
                  <w:vAlign w:val="center"/>
                </w:tcPr>
                <w:p w14:paraId="6A32CB8F">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65</w:t>
                  </w:r>
                </w:p>
              </w:tc>
              <w:tc>
                <w:tcPr>
                  <w:tcW w:w="281" w:type="pct"/>
                  <w:tcBorders>
                    <w:tl2br w:val="nil"/>
                    <w:tr2bl w:val="nil"/>
                  </w:tcBorders>
                  <w:vAlign w:val="center"/>
                </w:tcPr>
                <w:p w14:paraId="1EFA83A2">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1</w:t>
                  </w:r>
                </w:p>
              </w:tc>
              <w:tc>
                <w:tcPr>
                  <w:tcW w:w="375" w:type="pct"/>
                  <w:tcBorders>
                    <w:tl2br w:val="nil"/>
                    <w:tr2bl w:val="nil"/>
                  </w:tcBorders>
                  <w:vAlign w:val="center"/>
                </w:tcPr>
                <w:p w14:paraId="4D413E70">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900</w:t>
                  </w:r>
                </w:p>
              </w:tc>
            </w:tr>
            <w:tr w14:paraId="3EA3FA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77" w:type="pct"/>
                  <w:tcBorders>
                    <w:tl2br w:val="nil"/>
                    <w:tr2bl w:val="nil"/>
                  </w:tcBorders>
                  <w:vAlign w:val="center"/>
                </w:tcPr>
                <w:p w14:paraId="5C185377">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8</w:t>
                  </w:r>
                </w:p>
              </w:tc>
              <w:tc>
                <w:tcPr>
                  <w:tcW w:w="354" w:type="pct"/>
                  <w:vMerge w:val="continue"/>
                  <w:tcBorders>
                    <w:tl2br w:val="nil"/>
                    <w:tr2bl w:val="nil"/>
                  </w:tcBorders>
                  <w:vAlign w:val="center"/>
                </w:tcPr>
                <w:p w14:paraId="6094BE67">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377" w:type="pct"/>
                  <w:tcBorders>
                    <w:tl2br w:val="nil"/>
                    <w:tr2bl w:val="nil"/>
                  </w:tcBorders>
                  <w:vAlign w:val="center"/>
                </w:tcPr>
                <w:p w14:paraId="7025716C">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风机</w:t>
                  </w:r>
                </w:p>
              </w:tc>
              <w:tc>
                <w:tcPr>
                  <w:tcW w:w="538" w:type="pct"/>
                  <w:tcBorders>
                    <w:tl2br w:val="nil"/>
                    <w:tr2bl w:val="nil"/>
                  </w:tcBorders>
                  <w:vAlign w:val="center"/>
                </w:tcPr>
                <w:p w14:paraId="7CDD67E9">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w:t>
                  </w:r>
                </w:p>
              </w:tc>
              <w:tc>
                <w:tcPr>
                  <w:tcW w:w="351" w:type="pct"/>
                  <w:tcBorders>
                    <w:tl2br w:val="nil"/>
                    <w:tr2bl w:val="nil"/>
                  </w:tcBorders>
                  <w:vAlign w:val="center"/>
                </w:tcPr>
                <w:p w14:paraId="5815943B">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90</w:t>
                  </w:r>
                </w:p>
              </w:tc>
              <w:tc>
                <w:tcPr>
                  <w:tcW w:w="325" w:type="pct"/>
                  <w:vMerge w:val="continue"/>
                  <w:tcBorders>
                    <w:tl2br w:val="nil"/>
                    <w:tr2bl w:val="nil"/>
                  </w:tcBorders>
                  <w:vAlign w:val="center"/>
                </w:tcPr>
                <w:p w14:paraId="665C58F1">
                  <w:pPr>
                    <w:bidi w:val="0"/>
                    <w:jc w:val="center"/>
                    <w:rPr>
                      <w:rFonts w:hint="default" w:ascii="Times New Roman" w:hAnsi="Times New Roman" w:eastAsia="仿宋" w:cs="Times New Roman"/>
                      <w:color w:val="000000" w:themeColor="text1"/>
                      <w:highlight w:val="none"/>
                      <w14:textFill>
                        <w14:solidFill>
                          <w14:schemeClr w14:val="tx1"/>
                        </w14:solidFill>
                      </w14:textFill>
                    </w:rPr>
                  </w:pPr>
                </w:p>
              </w:tc>
              <w:tc>
                <w:tcPr>
                  <w:tcW w:w="340" w:type="pct"/>
                  <w:tcBorders>
                    <w:tl2br w:val="nil"/>
                    <w:tr2bl w:val="nil"/>
                  </w:tcBorders>
                  <w:vAlign w:val="center"/>
                </w:tcPr>
                <w:p w14:paraId="136F4BE9">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39</w:t>
                  </w:r>
                </w:p>
              </w:tc>
              <w:tc>
                <w:tcPr>
                  <w:tcW w:w="347" w:type="pct"/>
                  <w:tcBorders>
                    <w:tl2br w:val="nil"/>
                    <w:tr2bl w:val="nil"/>
                  </w:tcBorders>
                  <w:vAlign w:val="center"/>
                </w:tcPr>
                <w:p w14:paraId="12B08016">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30</w:t>
                  </w:r>
                </w:p>
              </w:tc>
              <w:tc>
                <w:tcPr>
                  <w:tcW w:w="367" w:type="pct"/>
                  <w:tcBorders>
                    <w:tl2br w:val="nil"/>
                    <w:tr2bl w:val="nil"/>
                  </w:tcBorders>
                  <w:vAlign w:val="center"/>
                </w:tcPr>
                <w:p w14:paraId="6CA57CBE">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1</w:t>
                  </w:r>
                </w:p>
              </w:tc>
              <w:tc>
                <w:tcPr>
                  <w:tcW w:w="343" w:type="pct"/>
                  <w:tcBorders>
                    <w:tl2br w:val="nil"/>
                    <w:tr2bl w:val="nil"/>
                  </w:tcBorders>
                  <w:vAlign w:val="center"/>
                </w:tcPr>
                <w:p w14:paraId="37A86CFC">
                  <w:pPr>
                    <w:bidi w:val="0"/>
                    <w:jc w:val="center"/>
                    <w:rPr>
                      <w:rFonts w:hint="default" w:ascii="Times New Roman" w:hAnsi="Times New Roman" w:eastAsia="仿宋" w:cs="Times New Roman"/>
                      <w:color w:val="000000" w:themeColor="text1"/>
                      <w:highlight w:val="none"/>
                      <w:lang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1</w:t>
                  </w:r>
                </w:p>
              </w:tc>
              <w:tc>
                <w:tcPr>
                  <w:tcW w:w="452" w:type="pct"/>
                  <w:tcBorders>
                    <w:tl2br w:val="nil"/>
                    <w:tr2bl w:val="nil"/>
                  </w:tcBorders>
                  <w:vAlign w:val="center"/>
                </w:tcPr>
                <w:p w14:paraId="1DC826EF">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20</w:t>
                  </w:r>
                </w:p>
              </w:tc>
              <w:tc>
                <w:tcPr>
                  <w:tcW w:w="366" w:type="pct"/>
                  <w:tcBorders>
                    <w:tl2br w:val="nil"/>
                    <w:tr2bl w:val="nil"/>
                  </w:tcBorders>
                  <w:vAlign w:val="center"/>
                </w:tcPr>
                <w:p w14:paraId="71A6BAEF">
                  <w:pPr>
                    <w:bidi w:val="0"/>
                    <w:jc w:val="center"/>
                    <w:rPr>
                      <w:rFonts w:hint="default" w:ascii="Times New Roman" w:hAnsi="Times New Roman" w:eastAsia="仿宋" w:cs="Times New Roman"/>
                      <w:color w:val="000000" w:themeColor="text1"/>
                      <w:highlight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70</w:t>
                  </w:r>
                </w:p>
              </w:tc>
              <w:tc>
                <w:tcPr>
                  <w:tcW w:w="281" w:type="pct"/>
                  <w:tcBorders>
                    <w:tl2br w:val="nil"/>
                    <w:tr2bl w:val="nil"/>
                  </w:tcBorders>
                  <w:vAlign w:val="center"/>
                </w:tcPr>
                <w:p w14:paraId="53D8EE2D">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14:textFill>
                        <w14:solidFill>
                          <w14:schemeClr w14:val="tx1"/>
                        </w14:solidFill>
                      </w14:textFill>
                    </w:rPr>
                    <w:t>1</w:t>
                  </w:r>
                </w:p>
              </w:tc>
              <w:tc>
                <w:tcPr>
                  <w:tcW w:w="375" w:type="pct"/>
                  <w:tcBorders>
                    <w:tl2br w:val="nil"/>
                    <w:tr2bl w:val="nil"/>
                  </w:tcBorders>
                  <w:vAlign w:val="center"/>
                </w:tcPr>
                <w:p w14:paraId="4F621BFC">
                  <w:pPr>
                    <w:bidi w:val="0"/>
                    <w:jc w:val="center"/>
                    <w:rPr>
                      <w:rFonts w:hint="default" w:ascii="Times New Roman" w:hAnsi="Times New Roman" w:eastAsia="仿宋" w:cs="Times New Roman"/>
                      <w:color w:val="000000" w:themeColor="text1"/>
                      <w:highlight w:val="none"/>
                      <w14:textFill>
                        <w14:solidFill>
                          <w14:schemeClr w14:val="tx1"/>
                        </w14:solidFill>
                      </w14:textFill>
                    </w:rPr>
                  </w:pPr>
                  <w:r>
                    <w:rPr>
                      <w:rFonts w:hint="default" w:ascii="Times New Roman" w:hAnsi="Times New Roman" w:eastAsia="仿宋" w:cs="Times New Roman"/>
                      <w:color w:val="000000" w:themeColor="text1"/>
                      <w:highlight w:val="none"/>
                      <w:lang w:val="en-US" w:eastAsia="zh-CN"/>
                      <w14:textFill>
                        <w14:solidFill>
                          <w14:schemeClr w14:val="tx1"/>
                        </w14:solidFill>
                      </w14:textFill>
                    </w:rPr>
                    <w:t>900</w:t>
                  </w:r>
                </w:p>
              </w:tc>
            </w:tr>
          </w:tbl>
          <w:p w14:paraId="11047FAA">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ascii="Times New Roman" w:hAnsi="Times New Roman" w:eastAsia="仿宋" w:cs="Times New Roman"/>
                <w:b/>
                <w:bCs/>
                <w:color w:val="000000" w:themeColor="text1"/>
                <w:sz w:val="24"/>
                <w:szCs w:val="32"/>
                <w:highlight w:val="none"/>
                <w:u w:val="none"/>
                <w:lang w:val="en-US" w:eastAsia="zh-CN"/>
                <w14:textFill>
                  <w14:solidFill>
                    <w14:schemeClr w14:val="tx1"/>
                  </w14:solidFill>
                </w14:textFill>
              </w:rPr>
            </w:pPr>
            <w:r>
              <w:rPr>
                <w:rFonts w:hint="eastAsia" w:ascii="Times New Roman" w:hAnsi="Times New Roman" w:eastAsia="仿宋" w:cs="Times New Roman"/>
                <w:b/>
                <w:bCs/>
                <w:color w:val="000000" w:themeColor="text1"/>
                <w:sz w:val="24"/>
                <w:szCs w:val="32"/>
                <w:highlight w:val="none"/>
                <w:u w:val="none"/>
                <w:lang w:val="en-US" w:eastAsia="zh-CN"/>
                <w14:textFill>
                  <w14:solidFill>
                    <w14:schemeClr w14:val="tx1"/>
                  </w14:solidFill>
                </w14:textFill>
              </w:rPr>
              <w:t>注：以项目中心为原点</w:t>
            </w:r>
          </w:p>
          <w:p w14:paraId="43216B4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本项目运营过程中产生的噪声主要来源于各生产设备运行时的噪声，其采取降噪后1m处噪声值约为</w:t>
            </w:r>
            <w:r>
              <w:rPr>
                <w:rFonts w:hint="eastAsia" w:eastAsia="仿宋" w:cs="Times New Roman"/>
                <w:color w:val="000000" w:themeColor="text1"/>
                <w:sz w:val="24"/>
                <w:szCs w:val="32"/>
                <w:highlight w:val="none"/>
                <w:u w:val="none"/>
                <w:lang w:val="en-US" w:eastAsia="zh-CN"/>
                <w14:textFill>
                  <w14:solidFill>
                    <w14:schemeClr w14:val="tx1"/>
                  </w14:solidFill>
                </w14:textFill>
              </w:rPr>
              <w:t>5</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0~</w:t>
            </w:r>
            <w:r>
              <w:rPr>
                <w:rFonts w:hint="eastAsia" w:eastAsia="仿宋" w:cs="Times New Roman"/>
                <w:color w:val="000000" w:themeColor="text1"/>
                <w:sz w:val="24"/>
                <w:szCs w:val="32"/>
                <w:highlight w:val="none"/>
                <w:u w:val="none"/>
                <w:lang w:val="en-US" w:eastAsia="zh-CN"/>
                <w14:textFill>
                  <w14:solidFill>
                    <w14:schemeClr w14:val="tx1"/>
                  </w14:solidFill>
                </w14:textFill>
              </w:rPr>
              <w:t>70</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dB</w:t>
            </w:r>
            <w:r>
              <w:rPr>
                <w:rFonts w:hint="eastAsia" w:eastAsia="仿宋" w:cs="Times New Roman"/>
                <w:color w:val="000000" w:themeColor="text1"/>
                <w:sz w:val="24"/>
                <w:szCs w:val="32"/>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A</w:t>
            </w:r>
            <w:r>
              <w:rPr>
                <w:rFonts w:hint="eastAsia" w:eastAsia="仿宋" w:cs="Times New Roman"/>
                <w:color w:val="000000" w:themeColor="text1"/>
                <w:sz w:val="24"/>
                <w:szCs w:val="32"/>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w:t>
            </w:r>
          </w:p>
          <w:p w14:paraId="2FF413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（2）厂界噪声预测分析</w:t>
            </w:r>
          </w:p>
          <w:p w14:paraId="0BE52B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按照《环境影响评价技术导则声环境》（HJ2.4-2021）中推荐的模式进行预测计算，具体预测模式如下：</w:t>
            </w:r>
          </w:p>
          <w:p w14:paraId="7B76101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本评价选择点声源预测模式预测项目主要声源排放噪声随距离的衰减变化规律。</w:t>
            </w:r>
          </w:p>
          <w:p w14:paraId="1C5E801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1）对室外噪声源主要考虑噪声的几何发散衰减：</w:t>
            </w:r>
          </w:p>
          <w:p w14:paraId="350B3E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drawing>
                <wp:inline distT="0" distB="0" distL="114300" distR="114300">
                  <wp:extent cx="1593215" cy="384175"/>
                  <wp:effectExtent l="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6"/>
                          <a:srcRect t="21274" b="14967"/>
                          <a:stretch>
                            <a:fillRect/>
                          </a:stretch>
                        </pic:blipFill>
                        <pic:spPr>
                          <a:xfrm>
                            <a:off x="0" y="0"/>
                            <a:ext cx="1593215" cy="384175"/>
                          </a:xfrm>
                          <a:prstGeom prst="rect">
                            <a:avLst/>
                          </a:prstGeom>
                          <a:noFill/>
                          <a:ln>
                            <a:noFill/>
                          </a:ln>
                        </pic:spPr>
                      </pic:pic>
                    </a:graphicData>
                  </a:graphic>
                </wp:inline>
              </w:drawing>
            </w:r>
          </w:p>
          <w:p w14:paraId="1BA6FF7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式中，Lp</w:t>
            </w:r>
            <w:r>
              <w:rPr>
                <w:rFonts w:hint="eastAsia" w:eastAsia="仿宋" w:cs="Times New Roman"/>
                <w:color w:val="000000" w:themeColor="text1"/>
                <w:sz w:val="24"/>
                <w:szCs w:val="32"/>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r</w:t>
            </w:r>
            <w:r>
              <w:rPr>
                <w:rFonts w:hint="eastAsia" w:eastAsia="仿宋" w:cs="Times New Roman"/>
                <w:color w:val="000000" w:themeColor="text1"/>
                <w:sz w:val="24"/>
                <w:szCs w:val="32"/>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为点声源在预测点产生的倍频带声压级，dB；Lp</w:t>
            </w:r>
            <w:r>
              <w:rPr>
                <w:rFonts w:hint="eastAsia" w:eastAsia="仿宋" w:cs="Times New Roman"/>
                <w:color w:val="000000" w:themeColor="text1"/>
                <w:sz w:val="24"/>
                <w:szCs w:val="32"/>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r0</w:t>
            </w:r>
            <w:r>
              <w:rPr>
                <w:rFonts w:hint="eastAsia" w:eastAsia="仿宋" w:cs="Times New Roman"/>
                <w:color w:val="000000" w:themeColor="text1"/>
                <w:sz w:val="24"/>
                <w:szCs w:val="32"/>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为声源在参考点产生的倍频带声压级，dB；r为预测点距声源距离，m；r0为参考位置距声源距离，m。</w:t>
            </w:r>
          </w:p>
          <w:p w14:paraId="6D510B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2）对室内噪声源采用室内声源噪声模式并换算成等效的室外声源</w:t>
            </w:r>
          </w:p>
          <w:p w14:paraId="5B8ED4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室内靠近围护结构处的倍频带声压级计算公式为：</w:t>
            </w:r>
          </w:p>
          <w:p w14:paraId="54D8E83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drawing>
                <wp:inline distT="0" distB="0" distL="114300" distR="114300">
                  <wp:extent cx="1609090" cy="361315"/>
                  <wp:effectExtent l="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7"/>
                          <a:srcRect t="8208"/>
                          <a:stretch>
                            <a:fillRect/>
                          </a:stretch>
                        </pic:blipFill>
                        <pic:spPr>
                          <a:xfrm>
                            <a:off x="0" y="0"/>
                            <a:ext cx="1609090" cy="361315"/>
                          </a:xfrm>
                          <a:prstGeom prst="rect">
                            <a:avLst/>
                          </a:prstGeom>
                          <a:noFill/>
                          <a:ln>
                            <a:noFill/>
                          </a:ln>
                        </pic:spPr>
                      </pic:pic>
                    </a:graphicData>
                  </a:graphic>
                </wp:inline>
              </w:drawing>
            </w:r>
          </w:p>
          <w:p w14:paraId="55656A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在室内近似为扩散声场时，将室内倍频带声压级换算成室外靠近围护结构处的倍频带声压级，计算公式：</w:t>
            </w:r>
          </w:p>
          <w:p w14:paraId="7CC8A5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drawing>
                <wp:inline distT="0" distB="0" distL="114300" distR="114300">
                  <wp:extent cx="1335405" cy="225425"/>
                  <wp:effectExtent l="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8"/>
                          <a:srcRect t="18518" b="16203"/>
                          <a:stretch>
                            <a:fillRect/>
                          </a:stretch>
                        </pic:blipFill>
                        <pic:spPr>
                          <a:xfrm>
                            <a:off x="0" y="0"/>
                            <a:ext cx="1335405" cy="225425"/>
                          </a:xfrm>
                          <a:prstGeom prst="rect">
                            <a:avLst/>
                          </a:prstGeom>
                          <a:noFill/>
                          <a:ln>
                            <a:noFill/>
                          </a:ln>
                        </pic:spPr>
                      </pic:pic>
                    </a:graphicData>
                  </a:graphic>
                </wp:inline>
              </w:drawing>
            </w:r>
          </w:p>
          <w:p w14:paraId="489ABC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将室外声源的声压级和透过面积换算成等效的室外声源，计算出中心位置位于透声面积（S）处的等效声源的倍频带声功率级，计算公式：</w:t>
            </w:r>
          </w:p>
          <w:p w14:paraId="15DF770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drawing>
                <wp:inline distT="0" distB="0" distL="114300" distR="114300">
                  <wp:extent cx="1454785" cy="260985"/>
                  <wp:effectExtent l="0" t="0" r="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9"/>
                          <a:stretch>
                            <a:fillRect/>
                          </a:stretch>
                        </pic:blipFill>
                        <pic:spPr>
                          <a:xfrm>
                            <a:off x="0" y="0"/>
                            <a:ext cx="1454785" cy="260985"/>
                          </a:xfrm>
                          <a:prstGeom prst="rect">
                            <a:avLst/>
                          </a:prstGeom>
                          <a:noFill/>
                          <a:ln>
                            <a:noFill/>
                          </a:ln>
                        </pic:spPr>
                      </pic:pic>
                    </a:graphicData>
                  </a:graphic>
                </wp:inline>
              </w:drawing>
            </w:r>
          </w:p>
          <w:p w14:paraId="33F081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上述式中，r为声源与室内靠近围护结构处的距离；r1为参考点距声源的距离；R为房间常数，R=Sa/</w:t>
            </w:r>
            <w:r>
              <w:rPr>
                <w:rFonts w:hint="eastAsia" w:eastAsia="仿宋" w:cs="Times New Roman"/>
                <w:color w:val="000000" w:themeColor="text1"/>
                <w:sz w:val="24"/>
                <w:szCs w:val="32"/>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1-a</w:t>
            </w:r>
            <w:r>
              <w:rPr>
                <w:rFonts w:hint="eastAsia" w:eastAsia="仿宋" w:cs="Times New Roman"/>
                <w:color w:val="000000" w:themeColor="text1"/>
                <w:sz w:val="24"/>
                <w:szCs w:val="32"/>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S为房间内表面面积，a为平均吸声系数；Q为方向性因子，当声源放在房间中心时，Q=1，当放在一面墙的中心时，Q=2，当放在两面墙的夹角处时，Q=4，当放在三面墙夹角处时，Q=8；TL为围护结构的隔声量，车间及围墙的隔声量一般采用10~20dB（A）；S为透声面积（m</w:t>
            </w:r>
            <w:r>
              <w:rPr>
                <w:rFonts w:hint="default" w:ascii="Times New Roman" w:hAnsi="Times New Roman" w:eastAsia="仿宋" w:cs="Times New Roman"/>
                <w:color w:val="000000" w:themeColor="text1"/>
                <w:sz w:val="24"/>
                <w:szCs w:val="32"/>
                <w:highlight w:val="none"/>
                <w:u w:val="none"/>
                <w:vertAlign w:val="superscript"/>
                <w:lang w:val="en-US" w:eastAsia="zh-CN"/>
                <w14:textFill>
                  <w14:solidFill>
                    <w14:schemeClr w14:val="tx1"/>
                  </w14:solidFill>
                </w14:textFill>
              </w:rPr>
              <w:t>2</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w:t>
            </w:r>
          </w:p>
          <w:p w14:paraId="614141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3）由建设项目自身声源在预测点产生的声级。噪声贡献值（Leqg）计算公式为：</w:t>
            </w:r>
          </w:p>
          <w:p w14:paraId="2F64EF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drawing>
                <wp:inline distT="0" distB="0" distL="114300" distR="114300">
                  <wp:extent cx="1867535" cy="536575"/>
                  <wp:effectExtent l="0" t="0" r="0"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0"/>
                          <a:stretch>
                            <a:fillRect/>
                          </a:stretch>
                        </pic:blipFill>
                        <pic:spPr>
                          <a:xfrm>
                            <a:off x="0" y="0"/>
                            <a:ext cx="1867535" cy="536575"/>
                          </a:xfrm>
                          <a:prstGeom prst="rect">
                            <a:avLst/>
                          </a:prstGeom>
                          <a:noFill/>
                          <a:ln>
                            <a:noFill/>
                          </a:ln>
                        </pic:spPr>
                      </pic:pic>
                    </a:graphicData>
                  </a:graphic>
                </wp:inline>
              </w:drawing>
            </w:r>
          </w:p>
          <w:p w14:paraId="153B62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式中：Leqg-噪声贡献值，dB；T-预测计算的时间段，s；ti-i声源在T时段内的运行时间，s；LAi--i声源在预测点产生的等效连续A声级，dB。</w:t>
            </w:r>
          </w:p>
          <w:p w14:paraId="39C297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4）预测内容</w:t>
            </w:r>
          </w:p>
          <w:p w14:paraId="1108B6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本项目仅昼间营运，本评价仅考虑噪声源对昼间环境的影响，考虑在采取噪声污染防治措施情况下，项目噪声源同时产生噪声对建设项目厂界的影响。</w:t>
            </w:r>
          </w:p>
          <w:p w14:paraId="07062634">
            <w:pPr>
              <w:tabs>
                <w:tab w:val="left" w:pos="1081"/>
              </w:tabs>
              <w:adjustRightInd w:val="0"/>
              <w:snapToGrid w:val="0"/>
              <w:spacing w:line="240" w:lineRule="auto"/>
              <w:jc w:val="center"/>
              <w:textAlignment w:val="baseline"/>
              <w:rPr>
                <w:rFonts w:hint="eastAsia"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表4-10厂界噪声对周边环境的影响预测单位：dB</w:t>
            </w:r>
            <w:r>
              <w:rPr>
                <w:rFonts w:hint="eastAsia"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w:t>
            </w: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A</w:t>
            </w:r>
            <w:r>
              <w:rPr>
                <w:rFonts w:hint="eastAsia"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3"/>
              <w:gridCol w:w="769"/>
              <w:gridCol w:w="1142"/>
              <w:gridCol w:w="774"/>
              <w:gridCol w:w="1040"/>
              <w:gridCol w:w="888"/>
              <w:gridCol w:w="996"/>
              <w:gridCol w:w="603"/>
              <w:gridCol w:w="1213"/>
            </w:tblGrid>
            <w:tr w14:paraId="5273C6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16" w:type="pct"/>
                  <w:vMerge w:val="restart"/>
                  <w:tcBorders>
                    <w:tl2br w:val="nil"/>
                    <w:tr2bl w:val="nil"/>
                  </w:tcBorders>
                  <w:noWrap w:val="0"/>
                  <w:vAlign w:val="center"/>
                </w:tcPr>
                <w:p w14:paraId="1C779529">
                  <w:pPr>
                    <w:pStyle w:val="76"/>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噪声</w:t>
                  </w:r>
                </w:p>
                <w:p w14:paraId="5DF7F768">
                  <w:pPr>
                    <w:pStyle w:val="76"/>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源</w:t>
                  </w:r>
                </w:p>
              </w:tc>
              <w:tc>
                <w:tcPr>
                  <w:tcW w:w="1128" w:type="pct"/>
                  <w:gridSpan w:val="2"/>
                  <w:tcBorders>
                    <w:tl2br w:val="nil"/>
                    <w:tr2bl w:val="nil"/>
                  </w:tcBorders>
                  <w:noWrap w:val="0"/>
                  <w:vAlign w:val="center"/>
                </w:tcPr>
                <w:p w14:paraId="01CAAD99">
                  <w:pPr>
                    <w:pStyle w:val="76"/>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东厂界</w:t>
                  </w:r>
                </w:p>
              </w:tc>
              <w:tc>
                <w:tcPr>
                  <w:tcW w:w="1071" w:type="pct"/>
                  <w:gridSpan w:val="2"/>
                  <w:tcBorders>
                    <w:tl2br w:val="nil"/>
                    <w:tr2bl w:val="nil"/>
                  </w:tcBorders>
                  <w:noWrap w:val="0"/>
                  <w:vAlign w:val="center"/>
                </w:tcPr>
                <w:p w14:paraId="7F0368A0">
                  <w:pPr>
                    <w:pStyle w:val="76"/>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南厂界</w:t>
                  </w:r>
                </w:p>
              </w:tc>
              <w:tc>
                <w:tcPr>
                  <w:tcW w:w="1112" w:type="pct"/>
                  <w:gridSpan w:val="2"/>
                  <w:tcBorders>
                    <w:tl2br w:val="nil"/>
                    <w:tr2bl w:val="nil"/>
                  </w:tcBorders>
                  <w:noWrap w:val="0"/>
                  <w:vAlign w:val="center"/>
                </w:tcPr>
                <w:p w14:paraId="7F07DEE3">
                  <w:pPr>
                    <w:pStyle w:val="76"/>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西厂界</w:t>
                  </w:r>
                </w:p>
              </w:tc>
              <w:tc>
                <w:tcPr>
                  <w:tcW w:w="1072" w:type="pct"/>
                  <w:gridSpan w:val="2"/>
                  <w:tcBorders>
                    <w:tl2br w:val="nil"/>
                    <w:tr2bl w:val="nil"/>
                  </w:tcBorders>
                  <w:noWrap w:val="0"/>
                  <w:vAlign w:val="center"/>
                </w:tcPr>
                <w:p w14:paraId="04045EA0">
                  <w:pPr>
                    <w:pStyle w:val="76"/>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北厂界</w:t>
                  </w:r>
                </w:p>
              </w:tc>
            </w:tr>
            <w:tr w14:paraId="3DDBC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616" w:type="pct"/>
                  <w:vMerge w:val="continue"/>
                  <w:tcBorders>
                    <w:tl2br w:val="nil"/>
                    <w:tr2bl w:val="nil"/>
                  </w:tcBorders>
                  <w:noWrap w:val="0"/>
                  <w:vAlign w:val="center"/>
                </w:tcPr>
                <w:p w14:paraId="2851F431">
                  <w:pPr>
                    <w:pStyle w:val="76"/>
                    <w:rPr>
                      <w:rFonts w:hint="default" w:ascii="Times New Roman" w:hAnsi="Times New Roman" w:eastAsia="仿宋" w:cs="Times New Roman"/>
                      <w:color w:val="000000" w:themeColor="text1"/>
                      <w:highlight w:val="none"/>
                      <w:u w:val="none"/>
                      <w14:textFill>
                        <w14:solidFill>
                          <w14:schemeClr w14:val="tx1"/>
                        </w14:solidFill>
                      </w14:textFill>
                    </w:rPr>
                  </w:pPr>
                </w:p>
              </w:tc>
              <w:tc>
                <w:tcPr>
                  <w:tcW w:w="454" w:type="pct"/>
                  <w:tcBorders>
                    <w:tl2br w:val="nil"/>
                    <w:tr2bl w:val="nil"/>
                  </w:tcBorders>
                  <w:noWrap w:val="0"/>
                  <w:vAlign w:val="center"/>
                </w:tcPr>
                <w:p w14:paraId="258A4BC8">
                  <w:pPr>
                    <w:pStyle w:val="76"/>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距离</w:t>
                  </w:r>
                </w:p>
                <w:p w14:paraId="6A58D303">
                  <w:pPr>
                    <w:pStyle w:val="76"/>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m</w:t>
                  </w:r>
                </w:p>
              </w:tc>
              <w:tc>
                <w:tcPr>
                  <w:tcW w:w="673" w:type="pct"/>
                  <w:tcBorders>
                    <w:tl2br w:val="nil"/>
                    <w:tr2bl w:val="nil"/>
                  </w:tcBorders>
                  <w:noWrap w:val="0"/>
                  <w:vAlign w:val="center"/>
                </w:tcPr>
                <w:p w14:paraId="4CD973CE">
                  <w:pPr>
                    <w:pStyle w:val="76"/>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贡献值dB（A）</w:t>
                  </w:r>
                </w:p>
              </w:tc>
              <w:tc>
                <w:tcPr>
                  <w:tcW w:w="457" w:type="pct"/>
                  <w:tcBorders>
                    <w:tl2br w:val="nil"/>
                    <w:tr2bl w:val="nil"/>
                  </w:tcBorders>
                  <w:noWrap w:val="0"/>
                  <w:vAlign w:val="center"/>
                </w:tcPr>
                <w:p w14:paraId="0834EF06">
                  <w:pPr>
                    <w:pStyle w:val="76"/>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距离</w:t>
                  </w:r>
                </w:p>
                <w:p w14:paraId="30631D2D">
                  <w:pPr>
                    <w:pStyle w:val="76"/>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m</w:t>
                  </w:r>
                </w:p>
              </w:tc>
              <w:tc>
                <w:tcPr>
                  <w:tcW w:w="613" w:type="pct"/>
                  <w:tcBorders>
                    <w:tl2br w:val="nil"/>
                    <w:tr2bl w:val="nil"/>
                  </w:tcBorders>
                  <w:noWrap w:val="0"/>
                  <w:vAlign w:val="center"/>
                </w:tcPr>
                <w:p w14:paraId="22205AD8">
                  <w:pPr>
                    <w:pStyle w:val="76"/>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贡献值dB（A）</w:t>
                  </w:r>
                </w:p>
              </w:tc>
              <w:tc>
                <w:tcPr>
                  <w:tcW w:w="524" w:type="pct"/>
                  <w:tcBorders>
                    <w:tl2br w:val="nil"/>
                    <w:tr2bl w:val="nil"/>
                  </w:tcBorders>
                  <w:noWrap w:val="0"/>
                  <w:vAlign w:val="center"/>
                </w:tcPr>
                <w:p w14:paraId="28D133F4">
                  <w:pPr>
                    <w:pStyle w:val="76"/>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距离m</w:t>
                  </w:r>
                </w:p>
              </w:tc>
              <w:tc>
                <w:tcPr>
                  <w:tcW w:w="587" w:type="pct"/>
                  <w:tcBorders>
                    <w:tl2br w:val="nil"/>
                    <w:tr2bl w:val="nil"/>
                  </w:tcBorders>
                  <w:noWrap w:val="0"/>
                  <w:vAlign w:val="center"/>
                </w:tcPr>
                <w:p w14:paraId="7BBBF306">
                  <w:pPr>
                    <w:pStyle w:val="76"/>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贡献值dB（A）</w:t>
                  </w:r>
                </w:p>
              </w:tc>
              <w:tc>
                <w:tcPr>
                  <w:tcW w:w="356" w:type="pct"/>
                  <w:tcBorders>
                    <w:tl2br w:val="nil"/>
                    <w:tr2bl w:val="nil"/>
                  </w:tcBorders>
                  <w:noWrap w:val="0"/>
                  <w:vAlign w:val="center"/>
                </w:tcPr>
                <w:p w14:paraId="6D49CD30">
                  <w:pPr>
                    <w:pStyle w:val="76"/>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距离m</w:t>
                  </w:r>
                </w:p>
              </w:tc>
              <w:tc>
                <w:tcPr>
                  <w:tcW w:w="715" w:type="pct"/>
                  <w:tcBorders>
                    <w:tl2br w:val="nil"/>
                    <w:tr2bl w:val="nil"/>
                  </w:tcBorders>
                  <w:noWrap w:val="0"/>
                  <w:vAlign w:val="center"/>
                </w:tcPr>
                <w:p w14:paraId="06B698E9">
                  <w:pPr>
                    <w:pStyle w:val="76"/>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贡献值dB（A）</w:t>
                  </w:r>
                </w:p>
              </w:tc>
            </w:tr>
            <w:tr w14:paraId="587DFC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616" w:type="pct"/>
                  <w:tcBorders>
                    <w:tl2br w:val="nil"/>
                    <w:tr2bl w:val="nil"/>
                  </w:tcBorders>
                  <w:noWrap w:val="0"/>
                  <w:vAlign w:val="center"/>
                </w:tcPr>
                <w:p w14:paraId="0EF26648">
                  <w:pPr>
                    <w:pStyle w:val="76"/>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生产区</w:t>
                  </w:r>
                </w:p>
              </w:tc>
              <w:tc>
                <w:tcPr>
                  <w:tcW w:w="454" w:type="pct"/>
                  <w:tcBorders>
                    <w:tl2br w:val="nil"/>
                    <w:tr2bl w:val="nil"/>
                  </w:tcBorders>
                  <w:noWrap w:val="0"/>
                  <w:vAlign w:val="center"/>
                </w:tcPr>
                <w:p w14:paraId="2DF324C1">
                  <w:pPr>
                    <w:pStyle w:val="76"/>
                    <w:rPr>
                      <w:rFonts w:hint="eastAsia" w:ascii="Times New Roman" w:hAnsi="Times New Roman" w:eastAsia="仿宋" w:cs="Times New Roman"/>
                      <w:color w:val="000000" w:themeColor="text1"/>
                      <w:highlight w:val="none"/>
                      <w:u w:val="none"/>
                      <w:lang w:eastAsia="zh-CN"/>
                      <w14:textFill>
                        <w14:solidFill>
                          <w14:schemeClr w14:val="tx1"/>
                        </w14:solidFill>
                      </w14:textFill>
                    </w:rPr>
                  </w:pPr>
                  <w:r>
                    <w:rPr>
                      <w:rFonts w:hint="eastAsia" w:eastAsia="仿宋" w:cs="Times New Roman"/>
                      <w:color w:val="000000" w:themeColor="text1"/>
                      <w:highlight w:val="none"/>
                      <w:u w:val="none"/>
                      <w:lang w:val="en-US" w:eastAsia="zh-CN"/>
                      <w14:textFill>
                        <w14:solidFill>
                          <w14:schemeClr w14:val="tx1"/>
                        </w14:solidFill>
                      </w14:textFill>
                    </w:rPr>
                    <w:t>1</w:t>
                  </w:r>
                </w:p>
              </w:tc>
              <w:tc>
                <w:tcPr>
                  <w:tcW w:w="673" w:type="pct"/>
                  <w:tcBorders>
                    <w:tl2br w:val="nil"/>
                    <w:tr2bl w:val="nil"/>
                  </w:tcBorders>
                  <w:noWrap w:val="0"/>
                  <w:vAlign w:val="center"/>
                </w:tcPr>
                <w:p w14:paraId="51722A04">
                  <w:pPr>
                    <w:pStyle w:val="76"/>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t>45.5</w:t>
                  </w:r>
                </w:p>
              </w:tc>
              <w:tc>
                <w:tcPr>
                  <w:tcW w:w="457" w:type="pct"/>
                  <w:tcBorders>
                    <w:tl2br w:val="nil"/>
                    <w:tr2bl w:val="nil"/>
                  </w:tcBorders>
                  <w:noWrap w:val="0"/>
                  <w:vAlign w:val="center"/>
                </w:tcPr>
                <w:p w14:paraId="6581BB89">
                  <w:pPr>
                    <w:pStyle w:val="76"/>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eastAsia" w:eastAsia="仿宋" w:cs="Times New Roman"/>
                      <w:color w:val="000000" w:themeColor="text1"/>
                      <w:highlight w:val="none"/>
                      <w:u w:val="none"/>
                      <w:lang w:val="en-US" w:eastAsia="zh-CN"/>
                      <w14:textFill>
                        <w14:solidFill>
                          <w14:schemeClr w14:val="tx1"/>
                        </w14:solidFill>
                      </w14:textFill>
                    </w:rPr>
                    <w:t>1</w:t>
                  </w:r>
                </w:p>
              </w:tc>
              <w:tc>
                <w:tcPr>
                  <w:tcW w:w="613" w:type="pct"/>
                  <w:tcBorders>
                    <w:tl2br w:val="nil"/>
                    <w:tr2bl w:val="nil"/>
                  </w:tcBorders>
                  <w:noWrap w:val="0"/>
                  <w:vAlign w:val="center"/>
                </w:tcPr>
                <w:p w14:paraId="75A9513B">
                  <w:pPr>
                    <w:pStyle w:val="76"/>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highlight w:val="none"/>
                      <w:u w:val="none"/>
                      <w:lang w:val="en-US" w:eastAsia="zh-CN"/>
                      <w14:textFill>
                        <w14:solidFill>
                          <w14:schemeClr w14:val="tx1"/>
                        </w14:solidFill>
                      </w14:textFill>
                    </w:rPr>
                    <w:t>46.1</w:t>
                  </w:r>
                </w:p>
              </w:tc>
              <w:tc>
                <w:tcPr>
                  <w:tcW w:w="524" w:type="pct"/>
                  <w:tcBorders>
                    <w:tl2br w:val="nil"/>
                    <w:tr2bl w:val="nil"/>
                  </w:tcBorders>
                  <w:noWrap w:val="0"/>
                  <w:vAlign w:val="center"/>
                </w:tcPr>
                <w:p w14:paraId="0D452D96">
                  <w:pPr>
                    <w:pStyle w:val="76"/>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eastAsia" w:eastAsia="仿宋" w:cs="Times New Roman"/>
                      <w:color w:val="000000" w:themeColor="text1"/>
                      <w:highlight w:val="none"/>
                      <w:u w:val="none"/>
                      <w:lang w:val="en-US" w:eastAsia="zh-CN"/>
                      <w14:textFill>
                        <w14:solidFill>
                          <w14:schemeClr w14:val="tx1"/>
                        </w14:solidFill>
                      </w14:textFill>
                    </w:rPr>
                    <w:t>1</w:t>
                  </w:r>
                </w:p>
              </w:tc>
              <w:tc>
                <w:tcPr>
                  <w:tcW w:w="587" w:type="pct"/>
                  <w:tcBorders>
                    <w:tl2br w:val="nil"/>
                    <w:tr2bl w:val="nil"/>
                  </w:tcBorders>
                  <w:noWrap w:val="0"/>
                  <w:vAlign w:val="center"/>
                </w:tcPr>
                <w:p w14:paraId="73479420">
                  <w:pPr>
                    <w:pStyle w:val="76"/>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highlight w:val="none"/>
                      <w:u w:val="none"/>
                      <w:lang w:val="en-US" w:eastAsia="zh-CN"/>
                      <w14:textFill>
                        <w14:solidFill>
                          <w14:schemeClr w14:val="tx1"/>
                        </w14:solidFill>
                      </w14:textFill>
                    </w:rPr>
                    <w:t>45.8</w:t>
                  </w:r>
                </w:p>
              </w:tc>
              <w:tc>
                <w:tcPr>
                  <w:tcW w:w="356" w:type="pct"/>
                  <w:tcBorders>
                    <w:tl2br w:val="nil"/>
                    <w:tr2bl w:val="nil"/>
                  </w:tcBorders>
                  <w:noWrap w:val="0"/>
                  <w:vAlign w:val="center"/>
                </w:tcPr>
                <w:p w14:paraId="6F69D499">
                  <w:pPr>
                    <w:pStyle w:val="76"/>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eastAsia" w:eastAsia="仿宋" w:cs="Times New Roman"/>
                      <w:color w:val="000000" w:themeColor="text1"/>
                      <w:highlight w:val="none"/>
                      <w:u w:val="none"/>
                      <w:lang w:val="en-US" w:eastAsia="zh-CN"/>
                      <w14:textFill>
                        <w14:solidFill>
                          <w14:schemeClr w14:val="tx1"/>
                        </w14:solidFill>
                      </w14:textFill>
                    </w:rPr>
                    <w:t>1</w:t>
                  </w:r>
                </w:p>
              </w:tc>
              <w:tc>
                <w:tcPr>
                  <w:tcW w:w="715" w:type="pct"/>
                  <w:tcBorders>
                    <w:tl2br w:val="nil"/>
                    <w:tr2bl w:val="nil"/>
                  </w:tcBorders>
                  <w:noWrap w:val="0"/>
                  <w:vAlign w:val="center"/>
                </w:tcPr>
                <w:p w14:paraId="46573DE1">
                  <w:pPr>
                    <w:pStyle w:val="76"/>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highlight w:val="none"/>
                      <w:u w:val="none"/>
                      <w:lang w:val="en-US" w:eastAsia="zh-CN"/>
                      <w14:textFill>
                        <w14:solidFill>
                          <w14:schemeClr w14:val="tx1"/>
                        </w14:solidFill>
                      </w14:textFill>
                    </w:rPr>
                    <w:t>44.7</w:t>
                  </w:r>
                </w:p>
              </w:tc>
            </w:tr>
          </w:tbl>
          <w:p w14:paraId="10817D00">
            <w:pPr>
              <w:spacing w:before="120" w:beforeLines="50" w:line="360" w:lineRule="auto"/>
              <w:ind w:firstLine="480" w:firstLineChars="200"/>
              <w:rPr>
                <w:rFonts w:hint="default" w:ascii="Times New Roman" w:hAnsi="Times New Roman" w:eastAsia="仿宋" w:cs="Times New Roman"/>
                <w:b w:val="0"/>
                <w:bCs/>
                <w:color w:val="000000" w:themeColor="text1"/>
                <w:sz w:val="24"/>
                <w:highlight w:val="none"/>
                <w:u w:val="none"/>
                <w14:textFill>
                  <w14:solidFill>
                    <w14:schemeClr w14:val="tx1"/>
                  </w14:solidFill>
                </w14:textFill>
              </w:rPr>
            </w:pPr>
            <w:r>
              <w:rPr>
                <w:rFonts w:hint="default" w:ascii="Times New Roman" w:hAnsi="Times New Roman" w:eastAsia="仿宋" w:cs="Times New Roman"/>
                <w:b w:val="0"/>
                <w:bCs/>
                <w:color w:val="000000" w:themeColor="text1"/>
                <w:sz w:val="24"/>
                <w:highlight w:val="none"/>
                <w:u w:val="none"/>
                <w14:textFill>
                  <w14:solidFill>
                    <w14:schemeClr w14:val="tx1"/>
                  </w14:solidFill>
                </w14:textFill>
              </w:rPr>
              <w:t>从上表可知，项目运营后噪声厂界贡献值较小，本项目建成运营期间，项目厂界昼间噪声贡献值满足《工业企业厂界环境噪声排放标准》（GB12348-2008）中2类标准（60dB（A））</w:t>
            </w:r>
            <w:r>
              <w:rPr>
                <w:rFonts w:hint="eastAsia" w:ascii="Times New Roman" w:hAnsi="Times New Roman" w:eastAsia="仿宋" w:cs="Times New Roman"/>
                <w:b w:val="0"/>
                <w:bCs/>
                <w:color w:val="000000" w:themeColor="text1"/>
                <w:sz w:val="24"/>
                <w:highlight w:val="none"/>
                <w:u w:val="none"/>
                <w:lang w:eastAsia="zh-CN"/>
                <w14:textFill>
                  <w14:solidFill>
                    <w14:schemeClr w14:val="tx1"/>
                  </w14:solidFill>
                </w14:textFill>
              </w:rPr>
              <w:t>，</w:t>
            </w:r>
            <w:r>
              <w:rPr>
                <w:rFonts w:hint="default" w:ascii="Times New Roman" w:hAnsi="Times New Roman" w:eastAsia="仿宋" w:cs="Times New Roman"/>
                <w:b w:val="0"/>
                <w:bCs/>
                <w:color w:val="000000" w:themeColor="text1"/>
                <w:sz w:val="24"/>
                <w:highlight w:val="none"/>
                <w:u w:val="none"/>
                <w14:textFill>
                  <w14:solidFill>
                    <w14:schemeClr w14:val="tx1"/>
                  </w14:solidFill>
                </w14:textFill>
              </w:rPr>
              <w:t>本项目夜间不进行生产。</w:t>
            </w:r>
          </w:p>
          <w:p w14:paraId="3C9AB36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b/>
                <w:color w:val="000000" w:themeColor="text1"/>
                <w:sz w:val="24"/>
                <w:highlight w:val="none"/>
                <w:u w:val="none"/>
                <w:lang w:val="en-US" w:eastAsia="zh-CN"/>
                <w14:textFill>
                  <w14:solidFill>
                    <w14:schemeClr w14:val="tx1"/>
                  </w14:solidFill>
                </w14:textFill>
              </w:rPr>
              <w:t>3</w:t>
            </w:r>
            <w:r>
              <w:rPr>
                <w:rFonts w:hint="default" w:ascii="Times New Roman" w:hAnsi="Times New Roman" w:eastAsia="仿宋" w:cs="Times New Roman"/>
                <w:b/>
                <w:color w:val="000000" w:themeColor="text1"/>
                <w:sz w:val="24"/>
                <w:highlight w:val="none"/>
                <w:u w:val="none"/>
                <w14:textFill>
                  <w14:solidFill>
                    <w14:schemeClr w14:val="tx1"/>
                  </w14:solidFill>
                </w14:textFill>
              </w:rPr>
              <w:t>、防治措施和影响分析</w:t>
            </w:r>
          </w:p>
          <w:p w14:paraId="1B677AAE">
            <w:pPr>
              <w:widowControl/>
              <w:spacing w:line="360" w:lineRule="auto"/>
              <w:ind w:firstLine="480" w:firstLineChars="200"/>
              <w:rPr>
                <w:rFonts w:hint="default" w:ascii="Times New Roman" w:hAnsi="Times New Roman" w:eastAsia="仿宋" w:cs="Times New Roman"/>
                <w:color w:val="000000" w:themeColor="text1"/>
                <w:kern w:val="0"/>
                <w:sz w:val="24"/>
                <w:highlight w:val="none"/>
                <w:u w:val="none"/>
                <w:lang w:bidi="ar"/>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bidi="ar"/>
                <w14:textFill>
                  <w14:solidFill>
                    <w14:schemeClr w14:val="tx1"/>
                  </w14:solidFill>
                </w14:textFill>
              </w:rPr>
              <w:t>为降低本项目的噪声影响，本项目采取的隔声降噪措施有：</w:t>
            </w:r>
          </w:p>
          <w:p w14:paraId="0761A371">
            <w:pPr>
              <w:spacing w:line="360" w:lineRule="auto"/>
              <w:ind w:firstLine="480" w:firstLineChars="200"/>
              <w:rPr>
                <w:rFonts w:hint="default" w:ascii="Times New Roman" w:hAnsi="Times New Roman" w:eastAsia="仿宋" w:cs="Times New Roman"/>
                <w:color w:val="000000" w:themeColor="text1"/>
                <w:kern w:val="0"/>
                <w:sz w:val="24"/>
                <w:highlight w:val="none"/>
                <w:u w:val="none"/>
                <w:lang w:bidi="ar"/>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bidi="ar"/>
                <w14:textFill>
                  <w14:solidFill>
                    <w14:schemeClr w14:val="tx1"/>
                  </w14:solidFill>
                </w14:textFill>
              </w:rPr>
              <w:t>（1）项目在生产设备在选型上充分注意选择低噪声设备，并对生产设备做好隔声、吸声、减震等措施，例如采取基础减振，采用软接头等进行隔振处理，并注意设备的维护与清理，避免设备作业不正常时产生的高噪声对环境的影响。</w:t>
            </w:r>
          </w:p>
          <w:p w14:paraId="480DCA80">
            <w:pPr>
              <w:spacing w:line="360" w:lineRule="auto"/>
              <w:ind w:firstLine="480" w:firstLineChars="200"/>
              <w:rPr>
                <w:rFonts w:hint="default" w:ascii="Times New Roman" w:hAnsi="Times New Roman" w:eastAsia="仿宋" w:cs="Times New Roman"/>
                <w:color w:val="000000" w:themeColor="text1"/>
                <w:kern w:val="0"/>
                <w:sz w:val="24"/>
                <w:highlight w:val="none"/>
                <w:u w:val="none"/>
                <w:lang w:bidi="ar"/>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bidi="ar"/>
                <w14:textFill>
                  <w14:solidFill>
                    <w14:schemeClr w14:val="tx1"/>
                  </w14:solidFill>
                </w14:textFill>
              </w:rPr>
              <w:t>（2）根据本项目实际情况和设备产生的噪声值，对噪声较大的生产设备进行减振、隔音、密闭等综合治理措施。合理布局并进行必要的减振、消声、隔声等治理，经过治理后的生产设备噪声不会对周围环境造成影响。</w:t>
            </w:r>
          </w:p>
          <w:p w14:paraId="30DC5FEF">
            <w:pPr>
              <w:spacing w:line="360" w:lineRule="auto"/>
              <w:ind w:firstLine="480" w:firstLineChars="200"/>
              <w:rPr>
                <w:rFonts w:hint="default" w:ascii="Times New Roman" w:hAnsi="Times New Roman" w:eastAsia="仿宋" w:cs="Times New Roman"/>
                <w:color w:val="000000" w:themeColor="text1"/>
                <w:kern w:val="0"/>
                <w:sz w:val="24"/>
                <w:highlight w:val="none"/>
                <w:u w:val="none"/>
                <w:lang w:bidi="ar"/>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bidi="ar"/>
                <w14:textFill>
                  <w14:solidFill>
                    <w14:schemeClr w14:val="tx1"/>
                  </w14:solidFill>
                </w14:textFill>
              </w:rPr>
              <w:t>（3）加强对作业人员的个体防护，如佩戴耳塞或减少作业时间等最大限度地降低噪声危害。</w:t>
            </w:r>
          </w:p>
          <w:p w14:paraId="0C0D8356">
            <w:pPr>
              <w:spacing w:line="360" w:lineRule="auto"/>
              <w:ind w:firstLine="480" w:firstLineChars="200"/>
              <w:rPr>
                <w:rFonts w:hint="default" w:ascii="Times New Roman" w:hAnsi="Times New Roman" w:eastAsia="仿宋" w:cs="Times New Roman"/>
                <w:color w:val="000000" w:themeColor="text1"/>
                <w:kern w:val="0"/>
                <w:sz w:val="24"/>
                <w:highlight w:val="none"/>
                <w:u w:val="none"/>
                <w:lang w:bidi="ar"/>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bidi="ar"/>
                <w14:textFill>
                  <w14:solidFill>
                    <w14:schemeClr w14:val="tx1"/>
                  </w14:solidFill>
                </w14:textFill>
              </w:rPr>
              <w:t>（4）采用“闹静分开”和“合理布局”的设计原则，在厂区内布局设计时，应将噪声大的车间设置在厂中心，这样可阻挡主产噪区域的噪声传播，把车间的噪声影响限制在厂区范围内，降低噪声对外界的影响，确保厂界噪声符合标准要求。</w:t>
            </w:r>
          </w:p>
          <w:p w14:paraId="0E99450C">
            <w:pPr>
              <w:spacing w:line="360" w:lineRule="auto"/>
              <w:ind w:firstLine="480" w:firstLineChars="200"/>
              <w:rPr>
                <w:rFonts w:hint="default" w:ascii="Times New Roman" w:hAnsi="Times New Roman" w:eastAsia="仿宋" w:cs="Times New Roman"/>
                <w:color w:val="000000" w:themeColor="text1"/>
                <w:kern w:val="0"/>
                <w:sz w:val="24"/>
                <w:highlight w:val="none"/>
                <w:u w:val="none"/>
                <w:lang w:bidi="ar"/>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bidi="ar"/>
                <w14:textFill>
                  <w14:solidFill>
                    <w14:schemeClr w14:val="tx1"/>
                  </w14:solidFill>
                </w14:textFill>
              </w:rPr>
              <w:t>（5）加强管理，严格控制经营时间，合理安排机械作业时间，最大限度避免项目噪声影响周边环境。</w:t>
            </w:r>
          </w:p>
          <w:p w14:paraId="621FB822">
            <w:pPr>
              <w:spacing w:line="360" w:lineRule="auto"/>
              <w:ind w:firstLine="480" w:firstLineChars="200"/>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bidi="ar"/>
                <w14:textFill>
                  <w14:solidFill>
                    <w14:schemeClr w14:val="tx1"/>
                  </w14:solidFill>
                </w14:textFill>
              </w:rPr>
              <w:t>采取以上措施后，</w:t>
            </w:r>
            <w:r>
              <w:rPr>
                <w:rFonts w:hint="default" w:ascii="Times New Roman" w:hAnsi="Times New Roman" w:eastAsia="仿宋" w:cs="Times New Roman"/>
                <w:b w:val="0"/>
                <w:bCs/>
                <w:color w:val="000000" w:themeColor="text1"/>
                <w:sz w:val="24"/>
                <w:highlight w:val="none"/>
                <w:u w:val="none"/>
                <w14:textFill>
                  <w14:solidFill>
                    <w14:schemeClr w14:val="tx1"/>
                  </w14:solidFill>
                </w14:textFill>
              </w:rPr>
              <w:t>厂界昼间噪声贡献值满足《工业企业厂界环境噪声排放标准》（GB12348-2008）中2类标准（60dB（A））</w:t>
            </w:r>
            <w:r>
              <w:rPr>
                <w:rFonts w:hint="eastAsia" w:ascii="Times New Roman" w:hAnsi="Times New Roman" w:eastAsia="仿宋" w:cs="Times New Roman"/>
                <w:b w:val="0"/>
                <w:bCs/>
                <w:color w:val="000000" w:themeColor="text1"/>
                <w:sz w:val="24"/>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产生的噪声对周边环境影响较小</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w:t>
            </w:r>
          </w:p>
          <w:p w14:paraId="350F8A94">
            <w:pPr>
              <w:spacing w:line="360" w:lineRule="auto"/>
              <w:ind w:firstLine="482" w:firstLineChars="200"/>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t>四、固体废物影响分析和保护措施</w:t>
            </w:r>
          </w:p>
          <w:p w14:paraId="2D4AD888">
            <w:pPr>
              <w:spacing w:line="360" w:lineRule="auto"/>
              <w:ind w:firstLine="480" w:firstLineChars="200"/>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根据工艺流程分析及建设单位提供资料，项目运营期主要固体废物有：</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除尘</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粉尘、员工生活垃圾</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等一般固废</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w:t>
            </w:r>
          </w:p>
          <w:p w14:paraId="2EAFA216">
            <w:pPr>
              <w:spacing w:line="360" w:lineRule="auto"/>
              <w:ind w:firstLine="480" w:firstLineChars="200"/>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1、</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除尘</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粉尘</w:t>
            </w:r>
          </w:p>
          <w:p w14:paraId="3FE31820">
            <w:pPr>
              <w:spacing w:line="360" w:lineRule="auto"/>
              <w:ind w:firstLine="480" w:firstLineChars="200"/>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项目</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除尘</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装置</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在除尘过程会积聚较多粉尘，</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根据废气源强计算可知，项目除尘装置收集的粉尘量为</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12.63t</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/a，该部分粉尘收集后回用于制粒加工。</w:t>
            </w:r>
          </w:p>
          <w:p w14:paraId="2E3AD144">
            <w:pPr>
              <w:spacing w:line="360" w:lineRule="auto"/>
              <w:ind w:firstLine="480" w:firstLineChars="200"/>
              <w:rPr>
                <w:rFonts w:hint="default" w:ascii="Times New Roman" w:hAnsi="Times New Roman" w:eastAsia="仿宋" w:cs="Times New Roman"/>
                <w:color w:val="000000" w:themeColor="text1"/>
                <w:sz w:val="24"/>
                <w:szCs w:val="32"/>
                <w:highlight w:val="none"/>
                <w:u w:val="none"/>
                <w14:textFill>
                  <w14:solidFill>
                    <w14:schemeClr w14:val="tx1"/>
                  </w14:solidFill>
                </w14:textFill>
              </w:rPr>
            </w:pP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2</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员工生活垃圾</w:t>
            </w:r>
          </w:p>
          <w:p w14:paraId="042810C7">
            <w:pPr>
              <w:spacing w:line="360" w:lineRule="auto"/>
              <w:ind w:firstLine="480" w:firstLineChars="200"/>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项目劳动定员</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6</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人，年工作</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1</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00</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天。生活垃圾0.5kg/人·天计，则产生的生活垃圾量为</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0.3</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t/a，交由环卫部门统一清运</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w:t>
            </w:r>
          </w:p>
          <w:p w14:paraId="42DADF6D">
            <w:pPr>
              <w:spacing w:line="360" w:lineRule="auto"/>
              <w:ind w:firstLine="480" w:firstLineChars="200"/>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pPr>
            <w:r>
              <w:rPr>
                <w:rFonts w:hint="eastAsia" w:eastAsia="仿宋" w:cs="Times New Roman"/>
                <w:color w:val="000000" w:themeColor="text1"/>
                <w:sz w:val="24"/>
                <w:szCs w:val="32"/>
                <w:highlight w:val="none"/>
                <w:u w:val="none"/>
                <w:lang w:val="en-US" w:eastAsia="zh-CN"/>
                <w14:textFill>
                  <w14:solidFill>
                    <w14:schemeClr w14:val="tx1"/>
                  </w14:solidFill>
                </w14:textFill>
              </w:rPr>
              <w:t>3</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废润滑油</w:t>
            </w:r>
            <w:r>
              <w:rPr>
                <w:rFonts w:hint="eastAsia"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（废机油）</w:t>
            </w:r>
          </w:p>
          <w:p w14:paraId="0BD4B22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textAlignment w:val="auto"/>
              <w:rPr>
                <w:rFonts w:hint="default" w:ascii="Times New Roman" w:hAnsi="Times New Roman" w:eastAsia="仿宋" w:cs="Times New Roman"/>
                <w:bCs/>
                <w:color w:val="000000" w:themeColor="text1"/>
                <w:sz w:val="24"/>
                <w:szCs w:val="24"/>
                <w:highlight w:val="none"/>
                <w14:textFill>
                  <w14:solidFill>
                    <w14:schemeClr w14:val="tx1"/>
                  </w14:solidFill>
                </w14:textFill>
              </w:rPr>
            </w:pPr>
            <w:r>
              <w:rPr>
                <w:rFonts w:hint="default" w:ascii="Times New Roman" w:hAnsi="Times New Roman" w:eastAsia="仿宋" w:cs="Times New Roman"/>
                <w:bCs/>
                <w:color w:val="000000" w:themeColor="text1"/>
                <w:sz w:val="24"/>
                <w:szCs w:val="24"/>
                <w:highlight w:val="none"/>
                <w:lang w:eastAsia="zh-CN"/>
                <w14:textFill>
                  <w14:solidFill>
                    <w14:schemeClr w14:val="tx1"/>
                  </w14:solidFill>
                </w14:textFill>
              </w:rPr>
              <w:t>本</w:t>
            </w:r>
            <w:r>
              <w:rPr>
                <w:rFonts w:hint="default" w:ascii="Times New Roman" w:hAnsi="Times New Roman" w:eastAsia="仿宋" w:cs="Times New Roman"/>
                <w:bCs/>
                <w:color w:val="000000" w:themeColor="text1"/>
                <w:sz w:val="24"/>
                <w:szCs w:val="24"/>
                <w:highlight w:val="none"/>
                <w14:textFill>
                  <w14:solidFill>
                    <w14:schemeClr w14:val="tx1"/>
                  </w14:solidFill>
                </w14:textFill>
              </w:rPr>
              <w:t>项目设备维修</w:t>
            </w:r>
            <w:r>
              <w:rPr>
                <w:rFonts w:hint="default" w:ascii="Times New Roman" w:hAnsi="Times New Roman" w:eastAsia="仿宋" w:cs="Times New Roman"/>
                <w:bCs/>
                <w:color w:val="000000" w:themeColor="text1"/>
                <w:sz w:val="24"/>
                <w:szCs w:val="24"/>
                <w:highlight w:val="none"/>
                <w:lang w:eastAsia="zh-CN"/>
                <w14:textFill>
                  <w14:solidFill>
                    <w14:schemeClr w14:val="tx1"/>
                  </w14:solidFill>
                </w14:textFill>
              </w:rPr>
              <w:t>产生的</w:t>
            </w:r>
            <w:r>
              <w:rPr>
                <w:rFonts w:hint="eastAsia" w:ascii="Times New Roman" w:hAnsi="Times New Roman" w:eastAsia="仿宋" w:cs="Times New Roman"/>
                <w:bCs/>
                <w:color w:val="000000" w:themeColor="text1"/>
                <w:sz w:val="24"/>
                <w:szCs w:val="24"/>
                <w:highlight w:val="none"/>
                <w:lang w:eastAsia="zh-CN"/>
                <w14:textFill>
                  <w14:solidFill>
                    <w14:schemeClr w14:val="tx1"/>
                  </w14:solidFill>
                </w14:textFill>
              </w:rPr>
              <w:t>废润滑油（废机油）</w:t>
            </w:r>
            <w:r>
              <w:rPr>
                <w:rFonts w:hint="default" w:ascii="Times New Roman" w:hAnsi="Times New Roman" w:eastAsia="仿宋"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仿宋" w:cs="Times New Roman"/>
                <w:bCs/>
                <w:color w:val="000000" w:themeColor="text1"/>
                <w:sz w:val="24"/>
                <w:szCs w:val="24"/>
                <w:highlight w:val="none"/>
                <w14:textFill>
                  <w14:solidFill>
                    <w14:schemeClr w14:val="tx1"/>
                  </w14:solidFill>
                </w14:textFill>
              </w:rPr>
              <w:t>属于</w:t>
            </w:r>
            <w:r>
              <w:rPr>
                <w:rFonts w:hint="default" w:ascii="Times New Roman" w:hAnsi="Times New Roman" w:eastAsia="仿宋" w:cs="Times New Roman"/>
                <w:color w:val="000000" w:themeColor="text1"/>
                <w:sz w:val="24"/>
                <w:szCs w:val="24"/>
                <w:highlight w:val="none"/>
                <w14:textFill>
                  <w14:solidFill>
                    <w14:schemeClr w14:val="tx1"/>
                  </w14:solidFill>
                </w14:textFill>
              </w:rPr>
              <w:t>《国家危险废物名录》（20</w:t>
            </w:r>
            <w:r>
              <w:rPr>
                <w:rFonts w:hint="default" w:ascii="Times New Roman" w:hAnsi="Times New Roman" w:eastAsia="仿宋" w:cs="Times New Roman"/>
                <w:color w:val="000000" w:themeColor="text1"/>
                <w:sz w:val="24"/>
                <w:szCs w:val="24"/>
                <w:highlight w:val="none"/>
                <w:lang w:val="en-US" w:eastAsia="zh-CN"/>
                <w14:textFill>
                  <w14:solidFill>
                    <w14:schemeClr w14:val="tx1"/>
                  </w14:solidFill>
                </w14:textFill>
              </w:rPr>
              <w:t>21</w:t>
            </w:r>
            <w:r>
              <w:rPr>
                <w:rFonts w:hint="default" w:ascii="Times New Roman" w:hAnsi="Times New Roman" w:eastAsia="仿宋" w:cs="Times New Roman"/>
                <w:color w:val="000000" w:themeColor="text1"/>
                <w:sz w:val="24"/>
                <w:szCs w:val="24"/>
                <w:highlight w:val="none"/>
                <w14:textFill>
                  <w14:solidFill>
                    <w14:schemeClr w14:val="tx1"/>
                  </w14:solidFill>
                </w14:textFill>
              </w:rPr>
              <w:t>年</w:t>
            </w:r>
            <w:r>
              <w:rPr>
                <w:rFonts w:hint="default" w:ascii="Times New Roman" w:hAnsi="Times New Roman" w:eastAsia="仿宋" w:cs="Times New Roman"/>
                <w:color w:val="000000" w:themeColor="text1"/>
                <w:sz w:val="24"/>
                <w:szCs w:val="24"/>
                <w:highlight w:val="none"/>
                <w:lang w:eastAsia="zh-CN"/>
                <w14:textFill>
                  <w14:solidFill>
                    <w14:schemeClr w14:val="tx1"/>
                  </w14:solidFill>
                </w14:textFill>
              </w:rPr>
              <w:t>版</w:t>
            </w:r>
            <w:r>
              <w:rPr>
                <w:rFonts w:hint="default" w:ascii="Times New Roman" w:hAnsi="Times New Roman" w:eastAsia="仿宋" w:cs="Times New Roman"/>
                <w:color w:val="000000" w:themeColor="text1"/>
                <w:sz w:val="24"/>
                <w:szCs w:val="24"/>
                <w:highlight w:val="none"/>
                <w14:textFill>
                  <w14:solidFill>
                    <w14:schemeClr w14:val="tx1"/>
                  </w14:solidFill>
                </w14:textFill>
              </w:rPr>
              <w:t>）</w:t>
            </w:r>
            <w:r>
              <w:rPr>
                <w:rFonts w:hint="default" w:ascii="Times New Roman" w:hAnsi="Times New Roman" w:eastAsia="仿宋" w:cs="Times New Roman"/>
                <w:bCs/>
                <w:color w:val="000000" w:themeColor="text1"/>
                <w:sz w:val="24"/>
                <w:szCs w:val="24"/>
                <w:highlight w:val="none"/>
                <w14:textFill>
                  <w14:solidFill>
                    <w14:schemeClr w14:val="tx1"/>
                  </w14:solidFill>
                </w14:textFill>
              </w:rPr>
              <w:t>中的HW08，废物代码为900-214-08，</w:t>
            </w:r>
            <w:r>
              <w:rPr>
                <w:rFonts w:hint="default" w:ascii="Times New Roman" w:hAnsi="Times New Roman" w:eastAsia="仿宋" w:cs="Times New Roman"/>
                <w:bCs/>
                <w:color w:val="000000" w:themeColor="text1"/>
                <w:sz w:val="24"/>
                <w:szCs w:val="24"/>
                <w:highlight w:val="none"/>
                <w:lang w:eastAsia="zh-CN"/>
                <w14:textFill>
                  <w14:solidFill>
                    <w14:schemeClr w14:val="tx1"/>
                  </w14:solidFill>
                </w14:textFill>
              </w:rPr>
              <w:t>属于</w:t>
            </w:r>
            <w:r>
              <w:rPr>
                <w:rFonts w:hint="default" w:ascii="Times New Roman" w:hAnsi="Times New Roman" w:eastAsia="仿宋" w:cs="Times New Roman"/>
                <w:bCs/>
                <w:color w:val="000000" w:themeColor="text1"/>
                <w:sz w:val="24"/>
                <w:szCs w:val="24"/>
                <w:highlight w:val="none"/>
                <w14:textFill>
                  <w14:solidFill>
                    <w14:schemeClr w14:val="tx1"/>
                  </w14:solidFill>
                </w14:textFill>
              </w:rPr>
              <w:t>危险废物。设备润滑油每</w:t>
            </w:r>
            <w:r>
              <w:rPr>
                <w:rFonts w:hint="default" w:ascii="Times New Roman" w:hAnsi="Times New Roman" w:eastAsia="仿宋" w:cs="Times New Roman"/>
                <w:bCs/>
                <w:color w:val="000000" w:themeColor="text1"/>
                <w:sz w:val="24"/>
                <w:szCs w:val="24"/>
                <w:highlight w:val="none"/>
                <w:lang w:eastAsia="zh-CN"/>
                <w14:textFill>
                  <w14:solidFill>
                    <w14:schemeClr w14:val="tx1"/>
                  </w14:solidFill>
                </w14:textFill>
              </w:rPr>
              <w:t>半</w:t>
            </w:r>
            <w:r>
              <w:rPr>
                <w:rFonts w:hint="default" w:ascii="Times New Roman" w:hAnsi="Times New Roman" w:eastAsia="仿宋" w:cs="Times New Roman"/>
                <w:bCs/>
                <w:color w:val="000000" w:themeColor="text1"/>
                <w:sz w:val="24"/>
                <w:szCs w:val="24"/>
                <w:highlight w:val="none"/>
                <w14:textFill>
                  <w14:solidFill>
                    <w14:schemeClr w14:val="tx1"/>
                  </w14:solidFill>
                </w14:textFill>
              </w:rPr>
              <w:t>年更换一次，产生量约</w:t>
            </w:r>
            <w:r>
              <w:rPr>
                <w:rFonts w:hint="default" w:ascii="Times New Roman" w:hAnsi="Times New Roman" w:eastAsia="仿宋" w:cs="Times New Roman"/>
                <w:bCs/>
                <w:color w:val="000000" w:themeColor="text1"/>
                <w:sz w:val="24"/>
                <w:szCs w:val="24"/>
                <w:highlight w:val="none"/>
                <w:lang w:val="en-US" w:eastAsia="zh-CN"/>
                <w14:textFill>
                  <w14:solidFill>
                    <w14:schemeClr w14:val="tx1"/>
                  </w14:solidFill>
                </w14:textFill>
              </w:rPr>
              <w:t>0.2</w:t>
            </w:r>
            <w:r>
              <w:rPr>
                <w:rFonts w:hint="default" w:ascii="Times New Roman" w:hAnsi="Times New Roman" w:eastAsia="仿宋" w:cs="Times New Roman"/>
                <w:bCs/>
                <w:color w:val="000000" w:themeColor="text1"/>
                <w:sz w:val="24"/>
                <w:szCs w:val="24"/>
                <w:highlight w:val="none"/>
                <w14:textFill>
                  <w14:solidFill>
                    <w14:schemeClr w14:val="tx1"/>
                  </w14:solidFill>
                </w14:textFill>
              </w:rPr>
              <w:t>t/a，在每年设备定期维护检修时，用专用塑料桶将设备内润滑油接出，更换新润滑油</w:t>
            </w:r>
            <w:r>
              <w:rPr>
                <w:rFonts w:hint="eastAsia" w:ascii="Times New Roman" w:hAnsi="Times New Roman" w:eastAsia="仿宋" w:cs="Times New Roman"/>
                <w:bCs/>
                <w:color w:val="000000" w:themeColor="text1"/>
                <w:sz w:val="24"/>
                <w:szCs w:val="24"/>
                <w:highlight w:val="none"/>
                <w:lang w:eastAsia="zh-CN"/>
                <w14:textFill>
                  <w14:solidFill>
                    <w14:schemeClr w14:val="tx1"/>
                  </w14:solidFill>
                </w14:textFill>
              </w:rPr>
              <w:t>（机油）</w:t>
            </w:r>
            <w:r>
              <w:rPr>
                <w:rFonts w:hint="default" w:ascii="Times New Roman" w:hAnsi="Times New Roman" w:eastAsia="仿宋" w:cs="Times New Roman"/>
                <w:bCs/>
                <w:color w:val="000000" w:themeColor="text1"/>
                <w:sz w:val="24"/>
                <w:szCs w:val="24"/>
                <w:highlight w:val="none"/>
                <w14:textFill>
                  <w14:solidFill>
                    <w14:schemeClr w14:val="tx1"/>
                  </w14:solidFill>
                </w14:textFill>
              </w:rPr>
              <w:t>，</w:t>
            </w:r>
            <w:r>
              <w:rPr>
                <w:rFonts w:hint="eastAsia" w:ascii="Times New Roman" w:hAnsi="Times New Roman" w:eastAsia="仿宋" w:cs="Times New Roman"/>
                <w:bCs/>
                <w:color w:val="000000" w:themeColor="text1"/>
                <w:sz w:val="24"/>
                <w:szCs w:val="24"/>
                <w:highlight w:val="none"/>
                <w:lang w:eastAsia="zh-CN"/>
                <w14:textFill>
                  <w14:solidFill>
                    <w14:schemeClr w14:val="tx1"/>
                  </w14:solidFill>
                </w14:textFill>
              </w:rPr>
              <w:t>废润滑油（废机油）</w:t>
            </w:r>
            <w:r>
              <w:rPr>
                <w:rFonts w:hint="default" w:ascii="Times New Roman" w:hAnsi="Times New Roman" w:eastAsia="仿宋" w:cs="Times New Roman"/>
                <w:bCs/>
                <w:color w:val="000000" w:themeColor="text1"/>
                <w:sz w:val="24"/>
                <w:szCs w:val="24"/>
                <w:highlight w:val="none"/>
                <w14:textFill>
                  <w14:solidFill>
                    <w14:schemeClr w14:val="tx1"/>
                  </w14:solidFill>
                </w14:textFill>
              </w:rPr>
              <w:t>暂存于危废暂存间内，定期交由有资质单位进行处置。</w:t>
            </w:r>
          </w:p>
          <w:p w14:paraId="119B3070">
            <w:pPr>
              <w:pStyle w:val="83"/>
              <w:keepNext w:val="0"/>
              <w:keepLines w:val="0"/>
              <w:pageBreakBefore w:val="0"/>
              <w:widowControl w:val="0"/>
              <w:tabs>
                <w:tab w:val="left" w:pos="235"/>
              </w:tabs>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危废暂存间：项目设置1座10m</w:t>
            </w:r>
            <w:r>
              <w:rPr>
                <w:rFonts w:hint="eastAsia" w:ascii="Times New Roman" w:hAnsi="Times New Roman" w:eastAsia="仿宋" w:cs="Times New Roman"/>
                <w:bCs/>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的危废间，位于生产区的</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西南</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侧，用于储存危险废物。危废暂存间进行防渗处理，满足《危险废物贮存污染控制标准》</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GB18597-2023</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的相关要求。</w:t>
            </w:r>
          </w:p>
          <w:p w14:paraId="6F869E04">
            <w:pPr>
              <w:pStyle w:val="83"/>
              <w:keepNext w:val="0"/>
              <w:keepLines w:val="0"/>
              <w:pageBreakBefore w:val="0"/>
              <w:widowControl w:val="0"/>
              <w:tabs>
                <w:tab w:val="left" w:pos="235"/>
              </w:tabs>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项目危险废物收集和临时储存措施按《危险废物贮存污染控制标准》</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GB18597-2023</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规定进行：1</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贮存设施应根据危险废物的形态、物理化学性质、包装形式和污染物迁移途径，采取必要的防风、防晒、防雨、防漏、防渗、防腐以及其他环境污染防治措施，不应露天堆放危险废物。</w:t>
            </w:r>
          </w:p>
          <w:p w14:paraId="229DB078">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（2）贮</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存设施应根据危险废物的类别、数量、形态、物理化学性质和污染防治等要求设置必要的贮存分区，避免不相容的危险废物接触、混合。</w:t>
            </w:r>
          </w:p>
          <w:p w14:paraId="025B210B">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贮存设施或贮存分区内地面、墙面裙脚、堵截泄漏的围堰、接触危险废物的隔板和墙体等应采用坚固的材料建造，表面无裂缝。</w:t>
            </w:r>
          </w:p>
          <w:p w14:paraId="209676AB">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（4）</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渗透系数不大于10</w:t>
            </w:r>
            <w:r>
              <w:rPr>
                <w:rFonts w:hint="default" w:ascii="Times New Roman" w:hAnsi="Times New Roman" w:eastAsia="仿宋" w:cs="Times New Roman"/>
                <w:bCs/>
                <w:color w:val="000000" w:themeColor="text1"/>
                <w:kern w:val="2"/>
                <w:sz w:val="24"/>
                <w:szCs w:val="24"/>
                <w:highlight w:val="none"/>
                <w:vertAlign w:val="superscript"/>
                <w:lang w:val="en-US" w:eastAsia="zh-CN" w:bidi="ar-SA"/>
                <w14:textFill>
                  <w14:solidFill>
                    <w14:schemeClr w14:val="tx1"/>
                  </w14:solidFill>
                </w14:textFill>
              </w:rPr>
              <w:t>-7</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cm/s</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或至少2mm厚高密度聚乙烯膜等人工防渗材料</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渗透系数不大于10</w:t>
            </w:r>
            <w:r>
              <w:rPr>
                <w:rFonts w:hint="default" w:ascii="Times New Roman" w:hAnsi="Times New Roman" w:eastAsia="仿宋" w:cs="Times New Roman"/>
                <w:bCs/>
                <w:color w:val="000000" w:themeColor="text1"/>
                <w:kern w:val="2"/>
                <w:sz w:val="24"/>
                <w:szCs w:val="24"/>
                <w:highlight w:val="none"/>
                <w:vertAlign w:val="superscript"/>
                <w:lang w:val="en-US" w:eastAsia="zh-CN" w:bidi="ar-SA"/>
                <w14:textFill>
                  <w14:solidFill>
                    <w14:schemeClr w14:val="tx1"/>
                  </w14:solidFill>
                </w14:textFill>
              </w:rPr>
              <w:t>-1</w:t>
            </w:r>
            <w:r>
              <w:rPr>
                <w:rFonts w:hint="eastAsia" w:ascii="Times New Roman" w:hAnsi="Times New Roman" w:eastAsia="仿宋" w:cs="Times New Roman"/>
                <w:bCs/>
                <w:color w:val="000000" w:themeColor="text1"/>
                <w:kern w:val="2"/>
                <w:sz w:val="24"/>
                <w:szCs w:val="24"/>
                <w:highlight w:val="none"/>
                <w:vertAlign w:val="superscript"/>
                <w:lang w:val="en-US" w:eastAsia="zh-CN" w:bidi="ar-SA"/>
                <w14:textFill>
                  <w14:solidFill>
                    <w14:schemeClr w14:val="tx1"/>
                  </w14:solidFill>
                </w14:textFill>
              </w:rPr>
              <w:t>0</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cm/s</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或其他防渗性能等效的材料。</w:t>
            </w:r>
          </w:p>
          <w:p w14:paraId="52F3BC7A">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同一贮存设施宜采用相同的防渗、防腐工艺</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包括防渗、防腐结构或材料</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防渗、防腐材料应覆盖所有可能与废物及其渗滤液、渗漏液等接触的构筑物表面；采用不同防渗、防腐工艺应分别建设贮存分区。</w:t>
            </w:r>
          </w:p>
          <w:p w14:paraId="51D911D0">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贮存设施应采取技术和管理措施防止无关人员进入。</w:t>
            </w:r>
          </w:p>
          <w:p w14:paraId="720E4E00">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（6）</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贮存库内不同贮存分区之间应采取隔离措施。隔离措施可根据危险废物特性采用过道、隔板或隔墙等方式。</w:t>
            </w:r>
          </w:p>
          <w:p w14:paraId="171776ED">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（7）</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在贮存库内或通过贮存分区方式贮存液态危险废物的，应具有液体泄漏堵截设施，堵截设施最小容积不应低于对应贮存区域最大液态废物容器容积或液态废物总储量1/10</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二者取较大者</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用于贮存可能产生渗滤液的危险废物的贮存库或贮存分区应设计渗滤液收集设施，收集设施容积应满足渗 滤液的收集要求。</w:t>
            </w:r>
          </w:p>
          <w:p w14:paraId="06705B93">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（8）</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危废外运管理要求</w:t>
            </w:r>
          </w:p>
          <w:p w14:paraId="28C70A4B">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按照《危险废物转移管理办法》</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部令第23号</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中规定。</w:t>
            </w:r>
          </w:p>
          <w:p w14:paraId="0AB8B2EE">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第七条：转移危险废物的，应当通过国家危险废物信息管理系统</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以下简称信息系统</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填写、运行危险废物电子转移联单，并依照国家有关规定公开危险废物转移相关污染环境防治信息。</w:t>
            </w:r>
          </w:p>
          <w:p w14:paraId="683088B7">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第九条危险废物移出人、危险废物承运人、危险废物接受人</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以下分别简称移出人、承运人和接受人</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在危险废物转移过程中应当采取防扬散、防流失、防渗漏或者其他防止污染环境的措施，不得擅自倾倒、堆放、丢弃、遗撒危险废物，并对所造成的环境污染及生态破坏依法承担责任。</w:t>
            </w:r>
          </w:p>
          <w:p w14:paraId="30154937">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14:paraId="47DECCD1">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第十条移出人应当履行以下义务：</w:t>
            </w:r>
          </w:p>
          <w:p w14:paraId="579C3CAF">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一</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对承运人或者接受人的主体资格和技术能力进行核实，依法签订书面合同，并在合同中约定运输、贮存、利用、处置危险废物的污染防治要求及相关责任；</w:t>
            </w:r>
          </w:p>
          <w:p w14:paraId="01AFE281">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二</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制定危险废物管理计划，明确拟转移危险废物的种类、重量</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数量</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和流向等信息；</w:t>
            </w:r>
          </w:p>
          <w:p w14:paraId="5822461B">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三</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建立危险废物管理台账，对转移的危险废物进行计量称重，如实记录、妥善保管转移危险废物的种类、重量</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数量</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和接受人等相关信息；</w:t>
            </w:r>
          </w:p>
          <w:p w14:paraId="76CB7A19">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四</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填写、运行危险废物转移联单，在危险废物转移联单中如实填写移出人、承运人、接受人信息，转移危险废物的种类、重量</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数量</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、危险特性等信息，以及突发环境事件的防范措施等；</w:t>
            </w:r>
          </w:p>
          <w:p w14:paraId="0BEAA7B8">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五</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及时核实接受人贮存、利用或者处置相关危险废物情况；</w:t>
            </w:r>
          </w:p>
          <w:p w14:paraId="782E8A63">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六</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法律法规规定的其他义务。</w:t>
            </w:r>
          </w:p>
          <w:p w14:paraId="6A885B40">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移出人应当按照国家有关要求开展危险废物鉴别。禁止将危险废物以副产品等名义提供或者委托给无危险废物经营许可证的单位或者其他生产经营者从事收集、贮存、利用、处置活动。</w:t>
            </w:r>
          </w:p>
          <w:p w14:paraId="03EDE275">
            <w:pPr>
              <w:keepNext w:val="0"/>
              <w:keepLines w:val="0"/>
              <w:pageBreakBefore w:val="0"/>
              <w:widowControl w:val="0"/>
              <w:suppressLineNumbers w:val="0"/>
              <w:shd w:val="clear"/>
              <w:kinsoku/>
              <w:wordWrap/>
              <w:overflowPunct/>
              <w:topLinePunct w:val="0"/>
              <w:autoSpaceDE/>
              <w:autoSpaceDN/>
              <w:bidi w:val="0"/>
              <w:adjustRightInd/>
              <w:snapToGrid/>
              <w:spacing w:beforeAutospacing="0" w:after="0" w:afterAutospacing="0" w:line="360" w:lineRule="auto"/>
              <w:ind w:left="0" w:right="0" w:firstLine="480" w:firstLineChars="200"/>
              <w:textAlignment w:val="auto"/>
              <w:rPr>
                <w:rFonts w:hint="default" w:ascii="Times New Roman" w:hAnsi="Times New Roman" w:eastAsia="仿宋" w:cs="Times New Roman"/>
                <w:b/>
                <w:bCs/>
                <w:color w:val="000000" w:themeColor="text1"/>
                <w:sz w:val="24"/>
                <w:szCs w:val="24"/>
                <w:highlight w:val="none"/>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经过采取以上措施，危险废物处理与处置符合《危险废物贮存污染控制标准》</w:t>
            </w:r>
            <w:r>
              <w:rPr>
                <w:rFonts w:hint="eastAsia"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GB18597-2023</w:t>
            </w:r>
            <w:r>
              <w:rPr>
                <w:rFonts w:hint="eastAsia"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有关要求，对环境影响很小，处理与处置措施可行。</w:t>
            </w:r>
          </w:p>
          <w:p w14:paraId="4B247F9D">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p>
          <w:p w14:paraId="7314F7C2">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表4-11固体废物分析结果汇总表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1096"/>
              <w:gridCol w:w="1017"/>
              <w:gridCol w:w="1364"/>
              <w:gridCol w:w="861"/>
              <w:gridCol w:w="795"/>
              <w:gridCol w:w="1673"/>
              <w:gridCol w:w="1162"/>
            </w:tblGrid>
            <w:tr w14:paraId="46CA5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95" w:type="pct"/>
                  <w:tcBorders>
                    <w:tl2br w:val="nil"/>
                    <w:tr2bl w:val="nil"/>
                  </w:tcBorders>
                  <w:noWrap w:val="0"/>
                  <w:vAlign w:val="center"/>
                </w:tcPr>
                <w:p w14:paraId="71A5CA73">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序号</w:t>
                  </w:r>
                </w:p>
              </w:tc>
              <w:tc>
                <w:tcPr>
                  <w:tcW w:w="647" w:type="pct"/>
                  <w:tcBorders>
                    <w:tl2br w:val="nil"/>
                    <w:tr2bl w:val="nil"/>
                  </w:tcBorders>
                  <w:noWrap w:val="0"/>
                  <w:vAlign w:val="center"/>
                </w:tcPr>
                <w:p w14:paraId="1A4DF04F">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固废</w:t>
                  </w:r>
                </w:p>
                <w:p w14:paraId="35B4A027">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名称</w:t>
                  </w:r>
                </w:p>
              </w:tc>
              <w:tc>
                <w:tcPr>
                  <w:tcW w:w="600" w:type="pct"/>
                  <w:tcBorders>
                    <w:tl2br w:val="nil"/>
                    <w:tr2bl w:val="nil"/>
                  </w:tcBorders>
                  <w:noWrap w:val="0"/>
                  <w:vAlign w:val="center"/>
                </w:tcPr>
                <w:p w14:paraId="7E0F9C37">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产生量（t/a）</w:t>
                  </w:r>
                </w:p>
              </w:tc>
              <w:tc>
                <w:tcPr>
                  <w:tcW w:w="805" w:type="pct"/>
                  <w:tcBorders>
                    <w:tl2br w:val="nil"/>
                    <w:tr2bl w:val="nil"/>
                  </w:tcBorders>
                  <w:noWrap w:val="0"/>
                  <w:vAlign w:val="center"/>
                </w:tcPr>
                <w:p w14:paraId="6FA6C8FA">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分类代码</w:t>
                  </w:r>
                </w:p>
              </w:tc>
              <w:tc>
                <w:tcPr>
                  <w:tcW w:w="508" w:type="pct"/>
                  <w:tcBorders>
                    <w:tl2br w:val="nil"/>
                    <w:tr2bl w:val="nil"/>
                  </w:tcBorders>
                  <w:noWrap w:val="0"/>
                  <w:vAlign w:val="center"/>
                </w:tcPr>
                <w:p w14:paraId="06914C9A">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物理性状</w:t>
                  </w:r>
                </w:p>
              </w:tc>
              <w:tc>
                <w:tcPr>
                  <w:tcW w:w="469" w:type="pct"/>
                  <w:tcBorders>
                    <w:tl2br w:val="nil"/>
                    <w:tr2bl w:val="nil"/>
                  </w:tcBorders>
                  <w:noWrap w:val="0"/>
                  <w:vAlign w:val="center"/>
                </w:tcPr>
                <w:p w14:paraId="540806AC">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环境危险特性</w:t>
                  </w:r>
                </w:p>
              </w:tc>
              <w:tc>
                <w:tcPr>
                  <w:tcW w:w="987" w:type="pct"/>
                  <w:tcBorders>
                    <w:tl2br w:val="nil"/>
                    <w:tr2bl w:val="nil"/>
                  </w:tcBorders>
                  <w:noWrap w:val="0"/>
                  <w:vAlign w:val="center"/>
                </w:tcPr>
                <w:p w14:paraId="79012952">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处置措施</w:t>
                  </w:r>
                </w:p>
              </w:tc>
              <w:tc>
                <w:tcPr>
                  <w:tcW w:w="686" w:type="pct"/>
                  <w:tcBorders>
                    <w:tl2br w:val="nil"/>
                    <w:tr2bl w:val="nil"/>
                  </w:tcBorders>
                  <w:noWrap w:val="0"/>
                  <w:vAlign w:val="center"/>
                </w:tcPr>
                <w:p w14:paraId="3B7D1930">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是否符合环保要求</w:t>
                  </w:r>
                </w:p>
              </w:tc>
            </w:tr>
            <w:tr w14:paraId="5C9F9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95" w:type="pct"/>
                  <w:tcBorders>
                    <w:tl2br w:val="nil"/>
                    <w:tr2bl w:val="nil"/>
                  </w:tcBorders>
                  <w:noWrap w:val="0"/>
                  <w:vAlign w:val="center"/>
                </w:tcPr>
                <w:p w14:paraId="151CDA83">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1</w:t>
                  </w:r>
                </w:p>
              </w:tc>
              <w:tc>
                <w:tcPr>
                  <w:tcW w:w="647" w:type="pct"/>
                  <w:tcBorders>
                    <w:tl2br w:val="nil"/>
                    <w:tr2bl w:val="nil"/>
                  </w:tcBorders>
                  <w:noWrap w:val="0"/>
                  <w:vAlign w:val="center"/>
                </w:tcPr>
                <w:p w14:paraId="32B8C7B2">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生活</w:t>
                  </w:r>
                </w:p>
                <w:p w14:paraId="1ED526C1">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垃圾</w:t>
                  </w:r>
                </w:p>
              </w:tc>
              <w:tc>
                <w:tcPr>
                  <w:tcW w:w="600" w:type="pct"/>
                  <w:tcBorders>
                    <w:tl2br w:val="nil"/>
                    <w:tr2bl w:val="nil"/>
                  </w:tcBorders>
                  <w:noWrap w:val="0"/>
                  <w:vAlign w:val="center"/>
                </w:tcPr>
                <w:p w14:paraId="1374031B">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0.3</w:t>
                  </w:r>
                </w:p>
              </w:tc>
              <w:tc>
                <w:tcPr>
                  <w:tcW w:w="805" w:type="pct"/>
                  <w:tcBorders>
                    <w:tl2br w:val="nil"/>
                    <w:tr2bl w:val="nil"/>
                  </w:tcBorders>
                  <w:noWrap w:val="0"/>
                  <w:vAlign w:val="center"/>
                </w:tcPr>
                <w:p w14:paraId="47616FFA">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332-001-99</w:t>
                  </w:r>
                </w:p>
              </w:tc>
              <w:tc>
                <w:tcPr>
                  <w:tcW w:w="508" w:type="pct"/>
                  <w:tcBorders>
                    <w:tl2br w:val="nil"/>
                    <w:tr2bl w:val="nil"/>
                  </w:tcBorders>
                  <w:noWrap w:val="0"/>
                  <w:vAlign w:val="center"/>
                </w:tcPr>
                <w:p w14:paraId="5C2EE302">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固态</w:t>
                  </w:r>
                </w:p>
              </w:tc>
              <w:tc>
                <w:tcPr>
                  <w:tcW w:w="469" w:type="pct"/>
                  <w:tcBorders>
                    <w:tl2br w:val="nil"/>
                    <w:tr2bl w:val="nil"/>
                  </w:tcBorders>
                  <w:noWrap w:val="0"/>
                  <w:vAlign w:val="center"/>
                </w:tcPr>
                <w:p w14:paraId="5A395CC7">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w:t>
                  </w:r>
                </w:p>
              </w:tc>
              <w:tc>
                <w:tcPr>
                  <w:tcW w:w="987" w:type="pct"/>
                  <w:tcBorders>
                    <w:tl2br w:val="nil"/>
                    <w:tr2bl w:val="nil"/>
                  </w:tcBorders>
                  <w:noWrap w:val="0"/>
                  <w:vAlign w:val="center"/>
                </w:tcPr>
                <w:p w14:paraId="6B0E16D2">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经收集后交由环卫部门处理</w:t>
                  </w:r>
                </w:p>
              </w:tc>
              <w:tc>
                <w:tcPr>
                  <w:tcW w:w="686" w:type="pct"/>
                  <w:tcBorders>
                    <w:tl2br w:val="nil"/>
                    <w:tr2bl w:val="nil"/>
                  </w:tcBorders>
                  <w:noWrap w:val="0"/>
                  <w:vAlign w:val="center"/>
                </w:tcPr>
                <w:p w14:paraId="0B2DC0F3">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是</w:t>
                  </w:r>
                </w:p>
              </w:tc>
            </w:tr>
            <w:tr w14:paraId="39E5D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95" w:type="pct"/>
                  <w:tcBorders>
                    <w:tl2br w:val="nil"/>
                    <w:tr2bl w:val="nil"/>
                  </w:tcBorders>
                  <w:noWrap w:val="0"/>
                  <w:vAlign w:val="center"/>
                </w:tcPr>
                <w:p w14:paraId="2B9868C1">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2</w:t>
                  </w:r>
                </w:p>
              </w:tc>
              <w:tc>
                <w:tcPr>
                  <w:tcW w:w="647" w:type="pct"/>
                  <w:tcBorders>
                    <w:tl2br w:val="nil"/>
                    <w:tr2bl w:val="nil"/>
                  </w:tcBorders>
                  <w:noWrap w:val="0"/>
                  <w:vAlign w:val="center"/>
                </w:tcPr>
                <w:p w14:paraId="2DA2D6F3">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布袋除尘器收集的粉尘</w:t>
                  </w:r>
                </w:p>
              </w:tc>
              <w:tc>
                <w:tcPr>
                  <w:tcW w:w="600" w:type="pct"/>
                  <w:tcBorders>
                    <w:tl2br w:val="nil"/>
                    <w:tr2bl w:val="nil"/>
                  </w:tcBorders>
                  <w:noWrap w:val="0"/>
                  <w:vAlign w:val="center"/>
                </w:tcPr>
                <w:p w14:paraId="0550F22A">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12.63</w:t>
                  </w:r>
                </w:p>
              </w:tc>
              <w:tc>
                <w:tcPr>
                  <w:tcW w:w="805" w:type="pct"/>
                  <w:tcBorders>
                    <w:tl2br w:val="nil"/>
                    <w:tr2bl w:val="nil"/>
                  </w:tcBorders>
                  <w:noWrap w:val="0"/>
                  <w:vAlign w:val="center"/>
                </w:tcPr>
                <w:p w14:paraId="4F43FDAF">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254-999-66</w:t>
                  </w:r>
                </w:p>
              </w:tc>
              <w:tc>
                <w:tcPr>
                  <w:tcW w:w="508" w:type="pct"/>
                  <w:tcBorders>
                    <w:tl2br w:val="nil"/>
                    <w:tr2bl w:val="nil"/>
                  </w:tcBorders>
                  <w:noWrap w:val="0"/>
                  <w:vAlign w:val="center"/>
                </w:tcPr>
                <w:p w14:paraId="13A6EFB6">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固态</w:t>
                  </w:r>
                </w:p>
              </w:tc>
              <w:tc>
                <w:tcPr>
                  <w:tcW w:w="469" w:type="pct"/>
                  <w:tcBorders>
                    <w:tl2br w:val="nil"/>
                    <w:tr2bl w:val="nil"/>
                  </w:tcBorders>
                  <w:noWrap w:val="0"/>
                  <w:vAlign w:val="center"/>
                </w:tcPr>
                <w:p w14:paraId="53EC5120">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w:t>
                  </w:r>
                </w:p>
              </w:tc>
              <w:tc>
                <w:tcPr>
                  <w:tcW w:w="987" w:type="pct"/>
                  <w:tcBorders>
                    <w:tl2br w:val="nil"/>
                    <w:tr2bl w:val="nil"/>
                  </w:tcBorders>
                  <w:noWrap w:val="0"/>
                  <w:vAlign w:val="center"/>
                </w:tcPr>
                <w:p w14:paraId="43B1EB27">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厂区集中收集后回用于制粒加工</w:t>
                  </w:r>
                </w:p>
              </w:tc>
              <w:tc>
                <w:tcPr>
                  <w:tcW w:w="686" w:type="pct"/>
                  <w:tcBorders>
                    <w:tl2br w:val="nil"/>
                    <w:tr2bl w:val="nil"/>
                  </w:tcBorders>
                  <w:noWrap w:val="0"/>
                  <w:vAlign w:val="center"/>
                </w:tcPr>
                <w:p w14:paraId="5CC2B138">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是</w:t>
                  </w:r>
                </w:p>
              </w:tc>
            </w:tr>
            <w:tr w14:paraId="08AAD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95" w:type="pct"/>
                  <w:tcBorders>
                    <w:tl2br w:val="nil"/>
                    <w:tr2bl w:val="nil"/>
                  </w:tcBorders>
                  <w:noWrap w:val="0"/>
                  <w:vAlign w:val="center"/>
                </w:tcPr>
                <w:p w14:paraId="184F62B3">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3</w:t>
                  </w:r>
                </w:p>
              </w:tc>
              <w:tc>
                <w:tcPr>
                  <w:tcW w:w="647" w:type="pct"/>
                  <w:tcBorders>
                    <w:tl2br w:val="nil"/>
                    <w:tr2bl w:val="nil"/>
                  </w:tcBorders>
                  <w:noWrap w:val="0"/>
                  <w:vAlign w:val="center"/>
                </w:tcPr>
                <w:p w14:paraId="15F72D45">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废润滑油</w:t>
                  </w: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（废机油）</w:t>
                  </w:r>
                </w:p>
              </w:tc>
              <w:tc>
                <w:tcPr>
                  <w:tcW w:w="600" w:type="pct"/>
                  <w:tcBorders>
                    <w:tl2br w:val="nil"/>
                    <w:tr2bl w:val="nil"/>
                  </w:tcBorders>
                  <w:noWrap w:val="0"/>
                  <w:vAlign w:val="center"/>
                </w:tcPr>
                <w:p w14:paraId="0449EE25">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0.2</w:t>
                  </w:r>
                </w:p>
              </w:tc>
              <w:tc>
                <w:tcPr>
                  <w:tcW w:w="805" w:type="pct"/>
                  <w:tcBorders>
                    <w:tl2br w:val="nil"/>
                    <w:tr2bl w:val="nil"/>
                  </w:tcBorders>
                  <w:noWrap w:val="0"/>
                  <w:vAlign w:val="center"/>
                </w:tcPr>
                <w:p w14:paraId="068E86CA">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900-214-08</w:t>
                  </w:r>
                </w:p>
              </w:tc>
              <w:tc>
                <w:tcPr>
                  <w:tcW w:w="508" w:type="pct"/>
                  <w:tcBorders>
                    <w:tl2br w:val="nil"/>
                    <w:tr2bl w:val="nil"/>
                  </w:tcBorders>
                  <w:noWrap w:val="0"/>
                  <w:vAlign w:val="center"/>
                </w:tcPr>
                <w:p w14:paraId="6C5F1DD8">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液态</w:t>
                  </w:r>
                </w:p>
              </w:tc>
              <w:tc>
                <w:tcPr>
                  <w:tcW w:w="469" w:type="pct"/>
                  <w:tcBorders>
                    <w:tl2br w:val="nil"/>
                    <w:tr2bl w:val="nil"/>
                  </w:tcBorders>
                  <w:noWrap w:val="0"/>
                  <w:vAlign w:val="center"/>
                </w:tcPr>
                <w:p w14:paraId="3D8BE0B4">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w:t>
                  </w:r>
                </w:p>
              </w:tc>
              <w:tc>
                <w:tcPr>
                  <w:tcW w:w="987" w:type="pct"/>
                  <w:tcBorders>
                    <w:tl2br w:val="nil"/>
                    <w:tr2bl w:val="nil"/>
                  </w:tcBorders>
                  <w:noWrap w:val="0"/>
                  <w:vAlign w:val="center"/>
                </w:tcPr>
                <w:p w14:paraId="43D8660F">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在每年设备定期维护检修时，用专用塑料桶将设备内润滑油接出，更换新润滑油，</w:t>
                  </w: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不在场内暂存，直接交由</w:t>
                  </w: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有资质单位进行处置。</w:t>
                  </w:r>
                </w:p>
              </w:tc>
              <w:tc>
                <w:tcPr>
                  <w:tcW w:w="686" w:type="pct"/>
                  <w:tcBorders>
                    <w:tl2br w:val="nil"/>
                    <w:tr2bl w:val="nil"/>
                  </w:tcBorders>
                  <w:noWrap w:val="0"/>
                  <w:vAlign w:val="center"/>
                </w:tcPr>
                <w:p w14:paraId="799057BD">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14:textFill>
                        <w14:solidFill>
                          <w14:schemeClr w14:val="tx1"/>
                        </w14:solidFill>
                      </w14:textFill>
                    </w:rPr>
                    <w:t>是</w:t>
                  </w:r>
                </w:p>
              </w:tc>
            </w:tr>
          </w:tbl>
          <w:p w14:paraId="2370C117">
            <w:pPr>
              <w:spacing w:line="360" w:lineRule="auto"/>
              <w:ind w:firstLine="482" w:firstLineChars="200"/>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pPr>
            <w:r>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t>五、地下水和土壤环境影响分析</w:t>
            </w:r>
          </w:p>
          <w:p w14:paraId="5616BF5E">
            <w:pPr>
              <w:pStyle w:val="10"/>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482" w:firstLineChars="200"/>
              <w:jc w:val="both"/>
              <w:textAlignment w:val="auto"/>
              <w:rPr>
                <w:rFonts w:hint="default" w:ascii="Times New Roman" w:hAnsi="Times New Roman" w:eastAsia="仿宋" w:cs="Times New Roman"/>
                <w:b/>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仿宋" w:cs="Times New Roman"/>
                <w:b/>
                <w:color w:val="000000" w:themeColor="text1"/>
                <w:sz w:val="24"/>
                <w:szCs w:val="24"/>
                <w:highlight w:val="none"/>
                <w:lang w:val="en-US" w:eastAsia="zh-CN" w:bidi="ar-SA"/>
                <w14:textFill>
                  <w14:solidFill>
                    <w14:schemeClr w14:val="tx1"/>
                  </w14:solidFill>
                </w14:textFill>
              </w:rPr>
              <w:t>5、地下水环境、土壤环境影响分析</w:t>
            </w:r>
          </w:p>
          <w:p w14:paraId="2B839F9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bCs/>
                <w:color w:val="000000" w:themeColor="text1"/>
                <w:sz w:val="24"/>
                <w:szCs w:val="24"/>
                <w:highlight w:val="none"/>
                <w14:textFill>
                  <w14:solidFill>
                    <w14:schemeClr w14:val="tx1"/>
                  </w14:solidFill>
                </w14:textFill>
              </w:rPr>
            </w:pPr>
            <w:r>
              <w:rPr>
                <w:rFonts w:hint="default" w:ascii="Times New Roman" w:hAnsi="Times New Roman" w:eastAsia="仿宋" w:cs="Times New Roman"/>
                <w:bCs/>
                <w:color w:val="000000" w:themeColor="text1"/>
                <w:sz w:val="24"/>
                <w:szCs w:val="24"/>
                <w:highlight w:val="none"/>
                <w14:textFill>
                  <w14:solidFill>
                    <w14:schemeClr w14:val="tx1"/>
                  </w14:solidFill>
                </w14:textFill>
              </w:rPr>
              <w:t>本项目工艺过程不存在</w:t>
            </w:r>
            <w:r>
              <w:rPr>
                <w:rFonts w:hint="default" w:ascii="Times New Roman" w:hAnsi="Times New Roman" w:eastAsia="仿宋" w:cs="Times New Roman"/>
                <w:bCs/>
                <w:color w:val="000000" w:themeColor="text1"/>
                <w:sz w:val="24"/>
                <w:szCs w:val="24"/>
                <w:highlight w:val="none"/>
                <w:lang w:eastAsia="zh-CN"/>
                <w14:textFill>
                  <w14:solidFill>
                    <w14:schemeClr w14:val="tx1"/>
                  </w14:solidFill>
                </w14:textFill>
              </w:rPr>
              <w:t>土壤</w:t>
            </w:r>
            <w:r>
              <w:rPr>
                <w:rFonts w:hint="default" w:ascii="Times New Roman" w:hAnsi="Times New Roman" w:eastAsia="仿宋" w:cs="Times New Roman"/>
                <w:bCs/>
                <w:color w:val="000000" w:themeColor="text1"/>
                <w:sz w:val="24"/>
                <w:szCs w:val="24"/>
                <w:highlight w:val="none"/>
                <w14:textFill>
                  <w14:solidFill>
                    <w14:schemeClr w14:val="tx1"/>
                  </w14:solidFill>
                </w14:textFill>
              </w:rPr>
              <w:t>环境的污染途径</w:t>
            </w:r>
            <w:r>
              <w:rPr>
                <w:rFonts w:hint="default" w:ascii="Times New Roman" w:hAnsi="Times New Roman" w:eastAsia="仿宋" w:cs="Times New Roman"/>
                <w:bCs/>
                <w:color w:val="000000" w:themeColor="text1"/>
                <w:sz w:val="24"/>
                <w:szCs w:val="24"/>
                <w:highlight w:val="none"/>
                <w:lang w:eastAsia="zh-CN"/>
                <w14:textFill>
                  <w14:solidFill>
                    <w14:schemeClr w14:val="tx1"/>
                  </w14:solidFill>
                </w14:textFill>
              </w:rPr>
              <w:t>，危废暂存间基础防渗可采用2mm厚高密度聚乙烯或其他人工材料，渗透系数≤10</w:t>
            </w:r>
            <w:r>
              <w:rPr>
                <w:rFonts w:hint="default" w:ascii="Times New Roman" w:hAnsi="Times New Roman" w:eastAsia="仿宋" w:cs="Times New Roman"/>
                <w:bCs/>
                <w:color w:val="000000" w:themeColor="text1"/>
                <w:sz w:val="24"/>
                <w:szCs w:val="24"/>
                <w:highlight w:val="none"/>
                <w:vertAlign w:val="superscript"/>
                <w:lang w:eastAsia="zh-CN"/>
                <w14:textFill>
                  <w14:solidFill>
                    <w14:schemeClr w14:val="tx1"/>
                  </w14:solidFill>
                </w14:textFill>
              </w:rPr>
              <w:t>-10</w:t>
            </w:r>
            <w:r>
              <w:rPr>
                <w:rFonts w:hint="default" w:ascii="Times New Roman" w:hAnsi="Times New Roman" w:eastAsia="仿宋" w:cs="Times New Roman"/>
                <w:bCs/>
                <w:color w:val="000000" w:themeColor="text1"/>
                <w:sz w:val="24"/>
                <w:szCs w:val="24"/>
                <w:highlight w:val="none"/>
                <w:lang w:eastAsia="zh-CN"/>
                <w14:textFill>
                  <w14:solidFill>
                    <w14:schemeClr w14:val="tx1"/>
                  </w14:solidFill>
                </w14:textFill>
              </w:rPr>
              <w:t>cm/s。</w:t>
            </w:r>
            <w:r>
              <w:rPr>
                <w:rFonts w:hint="eastAsia" w:ascii="Times New Roman" w:hAnsi="Times New Roman" w:eastAsia="仿宋" w:cs="Times New Roman"/>
                <w:bCs/>
                <w:color w:val="000000" w:themeColor="text1"/>
                <w:sz w:val="24"/>
                <w:szCs w:val="24"/>
                <w:highlight w:val="none"/>
                <w:lang w:val="en-US" w:eastAsia="zh-CN"/>
                <w14:textFill>
                  <w14:solidFill>
                    <w14:schemeClr w14:val="tx1"/>
                  </w14:solidFill>
                </w14:textFill>
              </w:rPr>
              <w:t>制粒车间、周转仓、产品仓库</w:t>
            </w:r>
            <w:r>
              <w:rPr>
                <w:rFonts w:hint="default" w:ascii="Times New Roman" w:hAnsi="Times New Roman" w:eastAsia="仿宋" w:cs="Times New Roman"/>
                <w:bCs/>
                <w:color w:val="000000" w:themeColor="text1"/>
                <w:sz w:val="24"/>
                <w:szCs w:val="24"/>
                <w:highlight w:val="none"/>
                <w14:textFill>
                  <w14:solidFill>
                    <w14:schemeClr w14:val="tx1"/>
                  </w14:solidFill>
                </w14:textFill>
              </w:rPr>
              <w:t>采用混凝土铺设，达到防渗的目的。</w:t>
            </w:r>
          </w:p>
          <w:p w14:paraId="0290BFC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000000" w:themeColor="text1"/>
                <w:kern w:val="0"/>
                <w:sz w:val="24"/>
                <w:szCs w:val="24"/>
                <w:highlight w:val="none"/>
                <w14:textFill>
                  <w14:solidFill>
                    <w14:schemeClr w14:val="tx1"/>
                  </w14:solidFill>
                </w14:textFill>
              </w:rPr>
            </w:pPr>
            <w:r>
              <w:rPr>
                <w:rFonts w:hint="default" w:ascii="Times New Roman" w:hAnsi="Times New Roman" w:eastAsia="仿宋" w:cs="Times New Roman"/>
                <w:color w:val="000000" w:themeColor="text1"/>
                <w:sz w:val="24"/>
                <w:szCs w:val="24"/>
                <w:highlight w:val="none"/>
                <w14:textFill>
                  <w14:solidFill>
                    <w14:schemeClr w14:val="tx1"/>
                  </w14:solidFill>
                </w14:textFill>
              </w:rPr>
              <w:t>通过采取严格有效的防渗措施，可以有效降低非正常工况发生的污染物泄露事故；在发生泄露情况下，采取有效的应急措施，可以污染物进入地下水环境的风险降到最低</w:t>
            </w:r>
            <w:r>
              <w:rPr>
                <w:rFonts w:hint="default" w:ascii="Times New Roman" w:hAnsi="Times New Roman" w:eastAsia="仿宋"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仿宋" w:cs="Times New Roman"/>
                <w:bCs/>
                <w:color w:val="000000" w:themeColor="text1"/>
                <w:sz w:val="24"/>
                <w:szCs w:val="24"/>
                <w:highlight w:val="none"/>
                <w14:textFill>
                  <w14:solidFill>
                    <w14:schemeClr w14:val="tx1"/>
                  </w14:solidFill>
                </w14:textFill>
              </w:rPr>
              <w:t>按照“源头控制、</w:t>
            </w:r>
            <w:r>
              <w:rPr>
                <w:rFonts w:hint="default" w:ascii="Times New Roman" w:hAnsi="Times New Roman" w:eastAsia="仿宋" w:cs="Times New Roman"/>
                <w:bCs/>
                <w:color w:val="000000" w:themeColor="text1"/>
                <w:sz w:val="24"/>
                <w:szCs w:val="24"/>
                <w:highlight w:val="none"/>
                <w:lang w:eastAsia="zh-CN"/>
                <w14:textFill>
                  <w14:solidFill>
                    <w14:schemeClr w14:val="tx1"/>
                  </w14:solidFill>
                </w14:textFill>
              </w:rPr>
              <w:t>过程防控</w:t>
            </w:r>
            <w:r>
              <w:rPr>
                <w:rFonts w:hint="default" w:ascii="Times New Roman" w:hAnsi="Times New Roman" w:eastAsia="仿宋" w:cs="Times New Roman"/>
                <w:bCs/>
                <w:color w:val="000000" w:themeColor="text1"/>
                <w:sz w:val="24"/>
                <w:szCs w:val="24"/>
                <w:highlight w:val="none"/>
                <w14:textFill>
                  <w14:solidFill>
                    <w14:schemeClr w14:val="tx1"/>
                  </w14:solidFill>
                </w14:textFill>
              </w:rPr>
              <w:t>”相结合的原则，制定</w:t>
            </w:r>
            <w:r>
              <w:rPr>
                <w:rFonts w:hint="default" w:ascii="Times New Roman" w:hAnsi="Times New Roman" w:eastAsia="仿宋" w:cs="Times New Roman"/>
                <w:bCs/>
                <w:color w:val="000000" w:themeColor="text1"/>
                <w:sz w:val="24"/>
                <w:szCs w:val="24"/>
                <w:highlight w:val="none"/>
                <w:lang w:eastAsia="zh-CN"/>
                <w14:textFill>
                  <w14:solidFill>
                    <w14:schemeClr w14:val="tx1"/>
                  </w14:solidFill>
                </w14:textFill>
              </w:rPr>
              <w:t>土壤</w:t>
            </w:r>
            <w:r>
              <w:rPr>
                <w:rFonts w:hint="default" w:ascii="Times New Roman" w:hAnsi="Times New Roman" w:eastAsia="仿宋" w:cs="Times New Roman"/>
                <w:bCs/>
                <w:color w:val="000000" w:themeColor="text1"/>
                <w:sz w:val="24"/>
                <w:szCs w:val="24"/>
                <w:highlight w:val="none"/>
                <w14:textFill>
                  <w14:solidFill>
                    <w14:schemeClr w14:val="tx1"/>
                  </w14:solidFill>
                </w14:textFill>
              </w:rPr>
              <w:t>环境保护措施。</w:t>
            </w:r>
          </w:p>
          <w:p w14:paraId="439C559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仿宋" w:cs="Times New Roman"/>
                <w:bCs/>
                <w:color w:val="000000" w:themeColor="text1"/>
                <w:sz w:val="24"/>
                <w:szCs w:val="24"/>
                <w:highlight w:val="none"/>
                <w14:textFill>
                  <w14:solidFill>
                    <w14:schemeClr w14:val="tx1"/>
                  </w14:solidFill>
                </w14:textFill>
              </w:rPr>
            </w:pPr>
            <w:r>
              <w:rPr>
                <w:rFonts w:hint="default" w:ascii="Times New Roman" w:hAnsi="Times New Roman" w:eastAsia="仿宋" w:cs="Times New Roman"/>
                <w:bCs/>
                <w:color w:val="000000" w:themeColor="text1"/>
                <w:sz w:val="24"/>
                <w:szCs w:val="24"/>
                <w:highlight w:val="none"/>
                <w14:textFill>
                  <w14:solidFill>
                    <w14:schemeClr w14:val="tx1"/>
                  </w14:solidFill>
                </w14:textFill>
              </w:rPr>
              <w:t>本项目对土壤的保护措施及对策：</w:t>
            </w:r>
          </w:p>
          <w:p w14:paraId="4F8D7C7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仿宋" w:cs="Times New Roman"/>
                <w:bCs/>
                <w:color w:val="000000" w:themeColor="text1"/>
                <w:sz w:val="24"/>
                <w:szCs w:val="24"/>
                <w:highlight w:val="none"/>
                <w14:textFill>
                  <w14:solidFill>
                    <w14:schemeClr w14:val="tx1"/>
                  </w14:solidFill>
                </w14:textFill>
              </w:rPr>
            </w:pPr>
            <w:r>
              <w:rPr>
                <w:rFonts w:hint="default" w:ascii="Times New Roman" w:hAnsi="Times New Roman" w:eastAsia="仿宋" w:cs="Times New Roman"/>
                <w:bCs/>
                <w:color w:val="000000" w:themeColor="text1"/>
                <w:sz w:val="24"/>
                <w:szCs w:val="24"/>
                <w:highlight w:val="none"/>
                <w14:textFill>
                  <w14:solidFill>
                    <w14:schemeClr w14:val="tx1"/>
                  </w14:solidFill>
                </w14:textFill>
              </w:rPr>
              <w:t>（1）源头控制措施</w:t>
            </w:r>
          </w:p>
          <w:p w14:paraId="324AB72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仿宋" w:cs="Times New Roman"/>
                <w:bCs/>
                <w:color w:val="000000" w:themeColor="text1"/>
                <w:sz w:val="24"/>
                <w:szCs w:val="24"/>
                <w:highlight w:val="none"/>
                <w14:textFill>
                  <w14:solidFill>
                    <w14:schemeClr w14:val="tx1"/>
                  </w14:solidFill>
                </w14:textFill>
              </w:rPr>
            </w:pPr>
            <w:r>
              <w:rPr>
                <w:rFonts w:hint="default" w:ascii="Times New Roman" w:hAnsi="Times New Roman" w:eastAsia="仿宋" w:cs="Times New Roman"/>
                <w:bCs/>
                <w:color w:val="000000" w:themeColor="text1"/>
                <w:sz w:val="24"/>
                <w:szCs w:val="24"/>
                <w:highlight w:val="none"/>
                <w14:textFill>
                  <w14:solidFill>
                    <w14:schemeClr w14:val="tx1"/>
                  </w14:solidFill>
                </w14:textFill>
              </w:rPr>
              <w:t>根据企业的营运计划，每半年进行一次停机检修，避免事故发生；企业在建设期按照相关要求做好防渗工作，避免环保设施等事故发生。</w:t>
            </w:r>
          </w:p>
          <w:p w14:paraId="675645B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仿宋" w:cs="Times New Roman"/>
                <w:bCs/>
                <w:color w:val="000000" w:themeColor="text1"/>
                <w:sz w:val="24"/>
                <w:szCs w:val="24"/>
                <w:highlight w:val="none"/>
                <w14:textFill>
                  <w14:solidFill>
                    <w14:schemeClr w14:val="tx1"/>
                  </w14:solidFill>
                </w14:textFill>
              </w:rPr>
            </w:pPr>
            <w:r>
              <w:rPr>
                <w:rFonts w:hint="default" w:ascii="Times New Roman" w:hAnsi="Times New Roman" w:eastAsia="仿宋" w:cs="Times New Roman"/>
                <w:bCs/>
                <w:color w:val="000000" w:themeColor="text1"/>
                <w:sz w:val="24"/>
                <w:szCs w:val="24"/>
                <w:highlight w:val="none"/>
                <w14:textFill>
                  <w14:solidFill>
                    <w14:schemeClr w14:val="tx1"/>
                  </w14:solidFill>
                </w14:textFill>
              </w:rPr>
              <w:t>（2）过程防控措施</w:t>
            </w:r>
          </w:p>
          <w:p w14:paraId="561EAB3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仿宋" w:cs="Times New Roman"/>
                <w:bCs/>
                <w:color w:val="000000" w:themeColor="text1"/>
                <w:sz w:val="24"/>
                <w:szCs w:val="24"/>
                <w:highlight w:val="none"/>
                <w14:textFill>
                  <w14:solidFill>
                    <w14:schemeClr w14:val="tx1"/>
                  </w14:solidFill>
                </w14:textFill>
              </w:rPr>
            </w:pPr>
            <w:r>
              <w:rPr>
                <w:rFonts w:hint="default" w:ascii="Times New Roman" w:hAnsi="Times New Roman" w:eastAsia="仿宋" w:cs="Times New Roman"/>
                <w:bCs/>
                <w:color w:val="000000" w:themeColor="text1"/>
                <w:sz w:val="24"/>
                <w:szCs w:val="24"/>
                <w:highlight w:val="none"/>
                <w14:textFill>
                  <w14:solidFill>
                    <w14:schemeClr w14:val="tx1"/>
                  </w14:solidFill>
                </w14:textFill>
              </w:rPr>
              <w:t>根据行业特点与占地范围内的土壤特性，按照相关技术要求采取过程阻断、污染物削减和分区防控措施，具体如下。</w:t>
            </w:r>
          </w:p>
          <w:p w14:paraId="43A8D46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仿宋" w:cs="Times New Roman"/>
                <w:bCs/>
                <w:color w:val="000000" w:themeColor="text1"/>
                <w:sz w:val="24"/>
                <w:szCs w:val="24"/>
                <w:highlight w:val="none"/>
                <w14:textFill>
                  <w14:solidFill>
                    <w14:schemeClr w14:val="tx1"/>
                  </w14:solidFill>
                </w14:textFill>
              </w:rPr>
            </w:pPr>
            <w:r>
              <w:rPr>
                <w:rFonts w:hint="default" w:ascii="Times New Roman" w:hAnsi="Times New Roman" w:eastAsia="仿宋" w:cs="Times New Roman"/>
                <w:bCs/>
                <w:color w:val="000000" w:themeColor="text1"/>
                <w:sz w:val="24"/>
                <w:szCs w:val="24"/>
                <w:highlight w:val="none"/>
                <w14:textFill>
                  <w14:solidFill>
                    <w14:schemeClr w14:val="tx1"/>
                  </w14:solidFill>
                </w14:textFill>
              </w:rPr>
              <w:t>1）根据企业的营运计划，生产车间地面做硬化，</w:t>
            </w:r>
            <w:r>
              <w:rPr>
                <w:rFonts w:hint="default" w:ascii="Times New Roman" w:hAnsi="Times New Roman" w:eastAsia="仿宋" w:cs="Times New Roman"/>
                <w:bCs/>
                <w:color w:val="000000" w:themeColor="text1"/>
                <w:sz w:val="24"/>
                <w:szCs w:val="24"/>
                <w:highlight w:val="none"/>
                <w:lang w:eastAsia="zh-CN"/>
                <w14:textFill>
                  <w14:solidFill>
                    <w14:schemeClr w14:val="tx1"/>
                  </w14:solidFill>
                </w14:textFill>
              </w:rPr>
              <w:t>化粪池、</w:t>
            </w:r>
            <w:r>
              <w:rPr>
                <w:rFonts w:hint="default" w:ascii="Times New Roman" w:hAnsi="Times New Roman" w:eastAsia="仿宋" w:cs="Times New Roman"/>
                <w:bCs/>
                <w:color w:val="000000" w:themeColor="text1"/>
                <w:sz w:val="24"/>
                <w:szCs w:val="24"/>
                <w:highlight w:val="none"/>
                <w14:textFill>
                  <w14:solidFill>
                    <w14:schemeClr w14:val="tx1"/>
                  </w14:solidFill>
                </w14:textFill>
              </w:rPr>
              <w:t>一般固废间地面做防渗处理，并加强管理，以防</w:t>
            </w:r>
            <w:r>
              <w:rPr>
                <w:rFonts w:hint="default" w:ascii="Times New Roman" w:hAnsi="Times New Roman" w:eastAsia="仿宋" w:cs="Times New Roman"/>
                <w:bCs/>
                <w:color w:val="000000" w:themeColor="text1"/>
                <w:sz w:val="24"/>
                <w:szCs w:val="24"/>
                <w:highlight w:val="none"/>
                <w:lang w:eastAsia="zh-CN"/>
                <w14:textFill>
                  <w14:solidFill>
                    <w14:schemeClr w14:val="tx1"/>
                  </w14:solidFill>
                </w14:textFill>
              </w:rPr>
              <w:t>污染物</w:t>
            </w:r>
            <w:r>
              <w:rPr>
                <w:rFonts w:hint="default" w:ascii="Times New Roman" w:hAnsi="Times New Roman" w:eastAsia="仿宋" w:cs="Times New Roman"/>
                <w:bCs/>
                <w:color w:val="000000" w:themeColor="text1"/>
                <w:sz w:val="24"/>
                <w:szCs w:val="24"/>
                <w:highlight w:val="none"/>
                <w14:textFill>
                  <w14:solidFill>
                    <w14:schemeClr w14:val="tx1"/>
                  </w14:solidFill>
                </w14:textFill>
              </w:rPr>
              <w:t>经地面漫流或垂直下渗污染土壤；</w:t>
            </w:r>
          </w:p>
          <w:p w14:paraId="628493C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仿宋" w:cs="Times New Roman"/>
                <w:bCs/>
                <w:color w:val="000000" w:themeColor="text1"/>
                <w:sz w:val="24"/>
                <w:szCs w:val="24"/>
                <w:highlight w:val="none"/>
                <w14:textFill>
                  <w14:solidFill>
                    <w14:schemeClr w14:val="tx1"/>
                  </w14:solidFill>
                </w14:textFill>
              </w:rPr>
            </w:pPr>
            <w:r>
              <w:rPr>
                <w:rFonts w:hint="default" w:ascii="Times New Roman" w:hAnsi="Times New Roman" w:eastAsia="仿宋" w:cs="Times New Roman"/>
                <w:bCs/>
                <w:color w:val="000000" w:themeColor="text1"/>
                <w:sz w:val="24"/>
                <w:szCs w:val="24"/>
                <w:highlight w:val="none"/>
                <w14:textFill>
                  <w14:solidFill>
                    <w14:schemeClr w14:val="tx1"/>
                  </w14:solidFill>
                </w14:textFill>
              </w:rPr>
              <w:t>2）在占地范围内进行绿化，以种植具有较强吸附能力的植物为主。</w:t>
            </w:r>
          </w:p>
          <w:p w14:paraId="1DB3031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80" w:firstLineChars="200"/>
              <w:jc w:val="both"/>
              <w:textAlignment w:val="auto"/>
              <w:rPr>
                <w:rFonts w:hint="default" w:ascii="Times New Roman" w:hAnsi="Times New Roman" w:eastAsia="仿宋" w:cs="Times New Roman"/>
                <w:color w:val="000000" w:themeColor="text1"/>
                <w:sz w:val="24"/>
                <w:szCs w:val="24"/>
                <w:highlight w:val="none"/>
                <w14:textFill>
                  <w14:solidFill>
                    <w14:schemeClr w14:val="tx1"/>
                  </w14:solidFill>
                </w14:textFill>
              </w:rPr>
            </w:pPr>
            <w:r>
              <w:rPr>
                <w:rFonts w:hint="default" w:ascii="Times New Roman" w:hAnsi="Times New Roman" w:eastAsia="仿宋" w:cs="Times New Roman"/>
                <w:bCs/>
                <w:color w:val="000000" w:themeColor="text1"/>
                <w:sz w:val="24"/>
                <w:szCs w:val="24"/>
                <w:highlight w:val="none"/>
                <w14:textFill>
                  <w14:solidFill>
                    <w14:schemeClr w14:val="tx1"/>
                  </w14:solidFill>
                </w14:textFill>
              </w:rPr>
              <w:t>3）涉及物料储存等区域应做好防渗层的检查维修工作</w:t>
            </w:r>
            <w:r>
              <w:rPr>
                <w:rFonts w:hint="default" w:ascii="Times New Roman" w:hAnsi="Times New Roman" w:eastAsia="仿宋"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仿宋" w:cs="Times New Roman"/>
                <w:bCs/>
                <w:color w:val="000000" w:themeColor="text1"/>
                <w:sz w:val="24"/>
                <w:szCs w:val="24"/>
                <w:highlight w:val="none"/>
                <w14:textFill>
                  <w14:solidFill>
                    <w14:schemeClr w14:val="tx1"/>
                  </w14:solidFill>
                </w14:textFill>
              </w:rPr>
              <w:t>及时对破损的防渗层进行修补。生产过程中的各种物料及污染物均须确保与天然土壤隔离，不会通过裸露区渗入到土壤中，尽可能避免对土壤环境造成不利影响。项目生产车间地面进行硬化，做一般防渗处理，危废间按照要求进行了重点防渗，正常情况下不会发生污染物渗漏。因此，正常情况项目运行不会对土壤造成不利影响</w:t>
            </w:r>
            <w:r>
              <w:rPr>
                <w:rFonts w:hint="default" w:ascii="Times New Roman" w:hAnsi="Times New Roman" w:eastAsia="仿宋" w:cs="Times New Roman"/>
                <w:color w:val="000000" w:themeColor="text1"/>
                <w:sz w:val="24"/>
                <w:szCs w:val="24"/>
                <w:highlight w:val="none"/>
                <w14:textFill>
                  <w14:solidFill>
                    <w14:schemeClr w14:val="tx1"/>
                  </w14:solidFill>
                </w14:textFill>
              </w:rPr>
              <w:t>。</w:t>
            </w:r>
          </w:p>
          <w:p w14:paraId="1FDC930E">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表4-</w:t>
            </w:r>
            <w:r>
              <w:rPr>
                <w:rFonts w:hint="eastAsia"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12</w:t>
            </w: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项目厂区分区防渗一览表</w:t>
            </w:r>
          </w:p>
          <w:tbl>
            <w:tblPr>
              <w:tblStyle w:val="78"/>
              <w:tblW w:w="8554" w:type="dxa"/>
              <w:tblInd w:w="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43"/>
              <w:gridCol w:w="3233"/>
              <w:gridCol w:w="3978"/>
            </w:tblGrid>
            <w:tr w14:paraId="000B00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50" w:type="dxa"/>
                  <w:tcBorders>
                    <w:tl2br w:val="nil"/>
                    <w:tr2bl w:val="nil"/>
                  </w:tcBorders>
                  <w:vAlign w:val="center"/>
                </w:tcPr>
                <w:p w14:paraId="5EEC6967">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防渗级别</w:t>
                  </w:r>
                </w:p>
              </w:tc>
              <w:tc>
                <w:tcPr>
                  <w:tcW w:w="3010" w:type="dxa"/>
                  <w:tcBorders>
                    <w:tl2br w:val="nil"/>
                    <w:tr2bl w:val="nil"/>
                  </w:tcBorders>
                  <w:vAlign w:val="center"/>
                </w:tcPr>
                <w:p w14:paraId="1C74F251">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防渗区域</w:t>
                  </w:r>
                </w:p>
              </w:tc>
              <w:tc>
                <w:tcPr>
                  <w:tcW w:w="3704" w:type="dxa"/>
                  <w:tcBorders>
                    <w:tl2br w:val="nil"/>
                    <w:tr2bl w:val="nil"/>
                  </w:tcBorders>
                  <w:vAlign w:val="center"/>
                </w:tcPr>
                <w:p w14:paraId="7FC1D7DC">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防渗技术要求</w:t>
                  </w:r>
                </w:p>
              </w:tc>
            </w:tr>
            <w:tr w14:paraId="168315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50" w:type="dxa"/>
                  <w:tcBorders>
                    <w:tl2br w:val="nil"/>
                    <w:tr2bl w:val="nil"/>
                  </w:tcBorders>
                  <w:vAlign w:val="center"/>
                </w:tcPr>
                <w:p w14:paraId="088D2321">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重点防渗区</w:t>
                  </w:r>
                </w:p>
              </w:tc>
              <w:tc>
                <w:tcPr>
                  <w:tcW w:w="3010" w:type="dxa"/>
                  <w:tcBorders>
                    <w:tl2br w:val="nil"/>
                    <w:tr2bl w:val="nil"/>
                  </w:tcBorders>
                  <w:vAlign w:val="center"/>
                </w:tcPr>
                <w:p w14:paraId="3A178BB4">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危废间</w:t>
                  </w:r>
                </w:p>
              </w:tc>
              <w:tc>
                <w:tcPr>
                  <w:tcW w:w="3704" w:type="dxa"/>
                  <w:tcBorders>
                    <w:tl2br w:val="nil"/>
                    <w:tr2bl w:val="nil"/>
                  </w:tcBorders>
                  <w:vAlign w:val="center"/>
                </w:tcPr>
                <w:p w14:paraId="4F0224F8">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0"/>
                      <w:sz w:val="21"/>
                      <w:szCs w:val="21"/>
                      <w:highlight w:val="none"/>
                      <w:lang w:eastAsia="zh-CN"/>
                      <w14:textFill>
                        <w14:solidFill>
                          <w14:schemeClr w14:val="tx1"/>
                        </w14:solidFill>
                      </w14:textFill>
                    </w:rPr>
                    <w:t>基础防渗可采用2mm厚高密度聚乙烯或其他人工材料，渗透系数≤10</w:t>
                  </w:r>
                  <w:r>
                    <w:rPr>
                      <w:rFonts w:hint="default" w:ascii="Times New Roman" w:hAnsi="Times New Roman" w:eastAsia="仿宋" w:cs="Times New Roman"/>
                      <w:color w:val="000000" w:themeColor="text1"/>
                      <w:kern w:val="0"/>
                      <w:sz w:val="21"/>
                      <w:szCs w:val="21"/>
                      <w:highlight w:val="none"/>
                      <w:vertAlign w:val="superscript"/>
                      <w:lang w:eastAsia="zh-CN"/>
                      <w14:textFill>
                        <w14:solidFill>
                          <w14:schemeClr w14:val="tx1"/>
                        </w14:solidFill>
                      </w14:textFill>
                    </w:rPr>
                    <w:t>-10</w:t>
                  </w:r>
                  <w:r>
                    <w:rPr>
                      <w:rFonts w:hint="default" w:ascii="Times New Roman" w:hAnsi="Times New Roman" w:eastAsia="仿宋" w:cs="Times New Roman"/>
                      <w:color w:val="000000" w:themeColor="text1"/>
                      <w:kern w:val="0"/>
                      <w:sz w:val="21"/>
                      <w:szCs w:val="21"/>
                      <w:highlight w:val="none"/>
                      <w:lang w:eastAsia="zh-CN"/>
                      <w14:textFill>
                        <w14:solidFill>
                          <w14:schemeClr w14:val="tx1"/>
                        </w14:solidFill>
                      </w14:textFill>
                    </w:rPr>
                    <w:t>cm/s</w:t>
                  </w: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w:t>
                  </w:r>
                </w:p>
              </w:tc>
            </w:tr>
            <w:tr w14:paraId="28E051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250" w:type="dxa"/>
                  <w:tcBorders>
                    <w:tl2br w:val="nil"/>
                    <w:tr2bl w:val="nil"/>
                  </w:tcBorders>
                  <w:vAlign w:val="center"/>
                </w:tcPr>
                <w:p w14:paraId="571EB5D8">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一般防渗区</w:t>
                  </w:r>
                </w:p>
              </w:tc>
              <w:tc>
                <w:tcPr>
                  <w:tcW w:w="3010" w:type="dxa"/>
                  <w:tcBorders>
                    <w:tl2br w:val="nil"/>
                    <w:tr2bl w:val="nil"/>
                  </w:tcBorders>
                  <w:vAlign w:val="center"/>
                </w:tcPr>
                <w:p w14:paraId="43956C8C">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生产车间地面、四周</w:t>
                  </w:r>
                </w:p>
              </w:tc>
              <w:tc>
                <w:tcPr>
                  <w:tcW w:w="3704" w:type="dxa"/>
                  <w:tcBorders>
                    <w:tl2br w:val="nil"/>
                    <w:tr2bl w:val="nil"/>
                  </w:tcBorders>
                  <w:vAlign w:val="center"/>
                </w:tcPr>
                <w:p w14:paraId="4186D668">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依托现有防渗措施，水泥硬化后涂抹防</w:t>
                  </w:r>
                </w:p>
                <w:p w14:paraId="44894ABC">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水砂浆，其等效黏土防渗层Mb≥1.5m，</w:t>
                  </w:r>
                </w:p>
                <w:p w14:paraId="15DE26D0">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渗透系数≤10</w:t>
                  </w:r>
                  <w:r>
                    <w:rPr>
                      <w:rFonts w:hint="eastAsia" w:ascii="Times New Roman" w:hAnsi="Times New Roman" w:eastAsia="仿宋" w:cs="Times New Roman"/>
                      <w:color w:val="000000" w:themeColor="text1"/>
                      <w:sz w:val="21"/>
                      <w:szCs w:val="21"/>
                      <w:highlight w:val="none"/>
                      <w:u w:val="none"/>
                      <w:vertAlign w:val="superscript"/>
                      <w:lang w:val="en-US" w:eastAsia="zh-CN"/>
                      <w14:textFill>
                        <w14:solidFill>
                          <w14:schemeClr w14:val="tx1"/>
                        </w14:solidFill>
                      </w14:textFill>
                    </w:rPr>
                    <w:t>-7</w:t>
                  </w:r>
                  <w:r>
                    <w:rPr>
                      <w:rFonts w:hint="eastAsia"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cm/s</w:t>
                  </w:r>
                </w:p>
              </w:tc>
            </w:tr>
          </w:tbl>
          <w:p w14:paraId="2C6755ED">
            <w:pPr>
              <w:spacing w:line="360" w:lineRule="auto"/>
              <w:ind w:firstLine="482" w:firstLineChars="200"/>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b/>
                <w:bCs/>
                <w:color w:val="000000" w:themeColor="text1"/>
                <w:sz w:val="24"/>
                <w:szCs w:val="32"/>
                <w:highlight w:val="none"/>
                <w:u w:val="none"/>
                <w14:textFill>
                  <w14:solidFill>
                    <w14:schemeClr w14:val="tx1"/>
                  </w14:solidFill>
                </w14:textFill>
              </w:rPr>
              <w:t>六、</w:t>
            </w:r>
            <w:r>
              <w:rPr>
                <w:rFonts w:hint="default" w:ascii="Times New Roman" w:hAnsi="Times New Roman" w:eastAsia="仿宋" w:cs="Times New Roman"/>
                <w:b/>
                <w:bCs/>
                <w:color w:val="000000" w:themeColor="text1"/>
                <w:sz w:val="24"/>
                <w:szCs w:val="24"/>
                <w:highlight w:val="none"/>
                <w:u w:val="none"/>
                <w:lang w:val="zh-CN" w:eastAsia="zh-CN"/>
                <w14:textFill>
                  <w14:solidFill>
                    <w14:schemeClr w14:val="tx1"/>
                  </w14:solidFill>
                </w14:textFill>
              </w:rPr>
              <w:t>环境风险</w:t>
            </w:r>
          </w:p>
          <w:p w14:paraId="21A94945">
            <w:pPr>
              <w:pStyle w:val="83"/>
              <w:spacing w:before="165" w:line="333" w:lineRule="auto"/>
              <w:ind w:left="124" w:right="105" w:firstLine="480"/>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根据原国家环保部《关于进一步加强环境影响评价管理防范环境风险的通知》</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国家环保部环发[2012]77号</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及生态环境部发布的《建设项目环境风险评价技术导则》</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HJ 169-2018</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要求，对于涉及有毒有害和易燃易爆物质的生产、使用、储存</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包括使用管线输运</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的建设项目进行风险评价。</w:t>
            </w:r>
          </w:p>
          <w:p w14:paraId="007AE0B3">
            <w:pPr>
              <w:pStyle w:val="83"/>
              <w:spacing w:before="9" w:line="220" w:lineRule="auto"/>
              <w:ind w:left="734"/>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1</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环境风险物质识别</w:t>
            </w:r>
          </w:p>
          <w:p w14:paraId="006DAE83">
            <w:pPr>
              <w:pStyle w:val="83"/>
              <w:spacing w:before="148" w:line="337" w:lineRule="auto"/>
              <w:ind w:left="124" w:right="232" w:firstLine="480"/>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经对照《建设项目环境风险评价技术导则》</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HJ169-2018</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附录B</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项目危险物质为废润滑油</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（废机油）</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p>
          <w:p w14:paraId="664932AD">
            <w:pPr>
              <w:pStyle w:val="83"/>
              <w:spacing w:before="40" w:line="220" w:lineRule="auto"/>
              <w:ind w:left="734"/>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2</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环境风险识别</w:t>
            </w:r>
          </w:p>
          <w:p w14:paraId="4CD06CFB">
            <w:pPr>
              <w:pStyle w:val="83"/>
              <w:spacing w:before="191" w:line="369" w:lineRule="auto"/>
              <w:ind w:left="124" w:right="102" w:firstLine="490"/>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对项目主要危险物质及分布情况、环境风险类型及可能影响环境的途径进行识别，详见表4-</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13</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p>
          <w:p w14:paraId="5FD215E2">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表4-</w:t>
            </w:r>
            <w:r>
              <w:rPr>
                <w:rFonts w:hint="eastAsia"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13</w:t>
            </w: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 xml:space="preserve">  环境风险识别表</w:t>
            </w:r>
          </w:p>
          <w:tbl>
            <w:tblPr>
              <w:tblStyle w:val="78"/>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35"/>
              <w:gridCol w:w="1712"/>
              <w:gridCol w:w="3364"/>
              <w:gridCol w:w="2857"/>
            </w:tblGrid>
            <w:tr w14:paraId="383E4A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16" w:type="pct"/>
                  <w:tcBorders>
                    <w:tl2br w:val="nil"/>
                    <w:tr2bl w:val="nil"/>
                  </w:tcBorders>
                  <w:vAlign w:val="center"/>
                </w:tcPr>
                <w:p w14:paraId="1C07C112">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序号</w:t>
                  </w:r>
                </w:p>
              </w:tc>
              <w:tc>
                <w:tcPr>
                  <w:tcW w:w="1010" w:type="pct"/>
                  <w:tcBorders>
                    <w:tl2br w:val="nil"/>
                    <w:tr2bl w:val="nil"/>
                  </w:tcBorders>
                  <w:vAlign w:val="center"/>
                </w:tcPr>
                <w:p w14:paraId="59FBC798">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风险单元</w:t>
                  </w:r>
                </w:p>
              </w:tc>
              <w:tc>
                <w:tcPr>
                  <w:tcW w:w="1985" w:type="pct"/>
                  <w:tcBorders>
                    <w:tl2br w:val="nil"/>
                    <w:tr2bl w:val="nil"/>
                  </w:tcBorders>
                  <w:vAlign w:val="center"/>
                </w:tcPr>
                <w:p w14:paraId="4F9ACDEE">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涉及风险物质</w:t>
                  </w:r>
                </w:p>
              </w:tc>
              <w:tc>
                <w:tcPr>
                  <w:tcW w:w="1686" w:type="pct"/>
                  <w:tcBorders>
                    <w:tl2br w:val="nil"/>
                    <w:tr2bl w:val="nil"/>
                  </w:tcBorders>
                  <w:vAlign w:val="center"/>
                </w:tcPr>
                <w:p w14:paraId="29F842D4">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可能影响环境的途径</w:t>
                  </w:r>
                </w:p>
              </w:tc>
            </w:tr>
            <w:tr w14:paraId="64E55D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16" w:type="pct"/>
                  <w:tcBorders>
                    <w:tl2br w:val="nil"/>
                    <w:tr2bl w:val="nil"/>
                  </w:tcBorders>
                  <w:vAlign w:val="center"/>
                </w:tcPr>
                <w:p w14:paraId="45A64455">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1</w:t>
                  </w:r>
                </w:p>
              </w:tc>
              <w:tc>
                <w:tcPr>
                  <w:tcW w:w="1010" w:type="pct"/>
                  <w:tcBorders>
                    <w:tl2br w:val="nil"/>
                    <w:tr2bl w:val="nil"/>
                  </w:tcBorders>
                  <w:vAlign w:val="center"/>
                </w:tcPr>
                <w:p w14:paraId="6F416970">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危废间</w:t>
                  </w:r>
                </w:p>
              </w:tc>
              <w:tc>
                <w:tcPr>
                  <w:tcW w:w="1985" w:type="pct"/>
                  <w:tcBorders>
                    <w:tl2br w:val="nil"/>
                    <w:tr2bl w:val="nil"/>
                  </w:tcBorders>
                  <w:vAlign w:val="center"/>
                </w:tcPr>
                <w:p w14:paraId="50836627">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废润滑油</w:t>
                  </w: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（废机油）</w:t>
                  </w:r>
                </w:p>
              </w:tc>
              <w:tc>
                <w:tcPr>
                  <w:tcW w:w="1686" w:type="pct"/>
                  <w:tcBorders>
                    <w:tl2br w:val="nil"/>
                    <w:tr2bl w:val="nil"/>
                  </w:tcBorders>
                  <w:vAlign w:val="center"/>
                </w:tcPr>
                <w:p w14:paraId="3CBC9DDF">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大气、土壤、地下水环境</w:t>
                  </w:r>
                </w:p>
              </w:tc>
            </w:tr>
          </w:tbl>
          <w:p w14:paraId="582AA709">
            <w:pPr>
              <w:pStyle w:val="83"/>
              <w:spacing w:before="148" w:line="337" w:lineRule="auto"/>
              <w:ind w:left="124" w:right="232" w:firstLine="480"/>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对项目危险物质数量与临界量比值，详见表4-1</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4</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p>
          <w:p w14:paraId="092391AA">
            <w:pPr>
              <w:pStyle w:val="69"/>
              <w:jc w:val="center"/>
              <w:rPr>
                <w:rFonts w:hint="default" w:ascii="Times New Roman" w:hAnsi="Times New Roman" w:eastAsia="仿宋" w:cs="Times New Roman"/>
                <w:b/>
                <w:bCs/>
                <w:color w:val="000000" w:themeColor="text1"/>
                <w:highlight w:val="none"/>
                <w:u w:val="none"/>
                <w14:textFill>
                  <w14:solidFill>
                    <w14:schemeClr w14:val="tx1"/>
                  </w14:solidFill>
                </w14:textFill>
              </w:rPr>
            </w:pPr>
          </w:p>
          <w:p w14:paraId="3B91E8B6">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表4-</w:t>
            </w:r>
            <w:r>
              <w:rPr>
                <w:rFonts w:hint="eastAsia"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14</w:t>
            </w: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 xml:space="preserve"> 环境风险识别表</w:t>
            </w:r>
          </w:p>
          <w:tbl>
            <w:tblPr>
              <w:tblStyle w:val="78"/>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91"/>
              <w:gridCol w:w="2543"/>
              <w:gridCol w:w="1510"/>
              <w:gridCol w:w="1648"/>
              <w:gridCol w:w="1676"/>
            </w:tblGrid>
            <w:tr w14:paraId="55FC76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44" w:type="pct"/>
                  <w:tcBorders>
                    <w:tl2br w:val="nil"/>
                    <w:tr2bl w:val="nil"/>
                  </w:tcBorders>
                  <w:vAlign w:val="center"/>
                </w:tcPr>
                <w:p w14:paraId="46B67E2F">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序号</w:t>
                  </w:r>
                </w:p>
              </w:tc>
              <w:tc>
                <w:tcPr>
                  <w:tcW w:w="1501" w:type="pct"/>
                  <w:tcBorders>
                    <w:tl2br w:val="nil"/>
                    <w:tr2bl w:val="nil"/>
                  </w:tcBorders>
                  <w:vAlign w:val="center"/>
                </w:tcPr>
                <w:p w14:paraId="33B6F77C">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涉及风险物质</w:t>
                  </w:r>
                </w:p>
              </w:tc>
              <w:tc>
                <w:tcPr>
                  <w:tcW w:w="891" w:type="pct"/>
                  <w:tcBorders>
                    <w:tl2br w:val="nil"/>
                    <w:tr2bl w:val="nil"/>
                  </w:tcBorders>
                  <w:vAlign w:val="center"/>
                </w:tcPr>
                <w:p w14:paraId="78A77E96">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最大储存量t/a</w:t>
                  </w:r>
                </w:p>
              </w:tc>
              <w:tc>
                <w:tcPr>
                  <w:tcW w:w="973" w:type="pct"/>
                  <w:tcBorders>
                    <w:tl2br w:val="nil"/>
                    <w:tr2bl w:val="nil"/>
                  </w:tcBorders>
                  <w:vAlign w:val="center"/>
                </w:tcPr>
                <w:p w14:paraId="216E3FC1">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临界量t/a</w:t>
                  </w:r>
                </w:p>
              </w:tc>
              <w:tc>
                <w:tcPr>
                  <w:tcW w:w="989" w:type="pct"/>
                  <w:tcBorders>
                    <w:tl2br w:val="nil"/>
                    <w:tr2bl w:val="nil"/>
                  </w:tcBorders>
                  <w:vAlign w:val="center"/>
                </w:tcPr>
                <w:p w14:paraId="0C266B01">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全厂Q/q</w:t>
                  </w:r>
                </w:p>
              </w:tc>
            </w:tr>
            <w:tr w14:paraId="6BC864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44" w:type="pct"/>
                  <w:tcBorders>
                    <w:tl2br w:val="nil"/>
                    <w:tr2bl w:val="nil"/>
                  </w:tcBorders>
                  <w:vAlign w:val="center"/>
                </w:tcPr>
                <w:p w14:paraId="07281900">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1</w:t>
                  </w:r>
                </w:p>
              </w:tc>
              <w:tc>
                <w:tcPr>
                  <w:tcW w:w="1501" w:type="pct"/>
                  <w:tcBorders>
                    <w:tl2br w:val="nil"/>
                    <w:tr2bl w:val="nil"/>
                  </w:tcBorders>
                  <w:vAlign w:val="center"/>
                </w:tcPr>
                <w:p w14:paraId="6039E1B3">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废润滑油</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（废机油）</w:t>
                  </w:r>
                </w:p>
              </w:tc>
              <w:tc>
                <w:tcPr>
                  <w:tcW w:w="891" w:type="pct"/>
                  <w:tcBorders>
                    <w:tl2br w:val="nil"/>
                    <w:tr2bl w:val="nil"/>
                  </w:tcBorders>
                  <w:vAlign w:val="center"/>
                </w:tcPr>
                <w:p w14:paraId="1182F4FA">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0.2</w:t>
                  </w:r>
                </w:p>
              </w:tc>
              <w:tc>
                <w:tcPr>
                  <w:tcW w:w="973" w:type="pct"/>
                  <w:tcBorders>
                    <w:tl2br w:val="nil"/>
                    <w:tr2bl w:val="nil"/>
                  </w:tcBorders>
                  <w:vAlign w:val="center"/>
                </w:tcPr>
                <w:p w14:paraId="033EC3E8">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50</w:t>
                  </w:r>
                </w:p>
              </w:tc>
              <w:tc>
                <w:tcPr>
                  <w:tcW w:w="989" w:type="pct"/>
                  <w:tcBorders>
                    <w:tl2br w:val="nil"/>
                    <w:tr2bl w:val="nil"/>
                  </w:tcBorders>
                  <w:vAlign w:val="center"/>
                </w:tcPr>
                <w:p w14:paraId="372E4274">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0.004</w:t>
                  </w:r>
                </w:p>
              </w:tc>
            </w:tr>
            <w:tr w14:paraId="7B559C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44" w:type="pct"/>
                  <w:tcBorders>
                    <w:tl2br w:val="nil"/>
                    <w:tr2bl w:val="nil"/>
                  </w:tcBorders>
                  <w:vAlign w:val="center"/>
                </w:tcPr>
                <w:p w14:paraId="4C42A655">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合计</w:t>
                  </w:r>
                </w:p>
              </w:tc>
              <w:tc>
                <w:tcPr>
                  <w:tcW w:w="1501" w:type="pct"/>
                  <w:tcBorders>
                    <w:tl2br w:val="nil"/>
                    <w:tr2bl w:val="nil"/>
                  </w:tcBorders>
                  <w:vAlign w:val="center"/>
                </w:tcPr>
                <w:p w14:paraId="72545636">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w:t>
                  </w:r>
                </w:p>
              </w:tc>
              <w:tc>
                <w:tcPr>
                  <w:tcW w:w="891" w:type="pct"/>
                  <w:tcBorders>
                    <w:tl2br w:val="nil"/>
                    <w:tr2bl w:val="nil"/>
                  </w:tcBorders>
                  <w:vAlign w:val="center"/>
                </w:tcPr>
                <w:p w14:paraId="6610BB66">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w:t>
                  </w:r>
                </w:p>
              </w:tc>
              <w:tc>
                <w:tcPr>
                  <w:tcW w:w="973" w:type="pct"/>
                  <w:tcBorders>
                    <w:tl2br w:val="nil"/>
                    <w:tr2bl w:val="nil"/>
                  </w:tcBorders>
                  <w:vAlign w:val="center"/>
                </w:tcPr>
                <w:p w14:paraId="1EBB524B">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w:t>
                  </w:r>
                </w:p>
              </w:tc>
              <w:tc>
                <w:tcPr>
                  <w:tcW w:w="989" w:type="pct"/>
                  <w:tcBorders>
                    <w:tl2br w:val="nil"/>
                    <w:tr2bl w:val="nil"/>
                  </w:tcBorders>
                  <w:vAlign w:val="center"/>
                </w:tcPr>
                <w:p w14:paraId="267102B3">
                  <w:pPr>
                    <w:pStyle w:val="50"/>
                    <w:keepNext w:val="0"/>
                    <w:keepLines w:val="0"/>
                    <w:pageBreakBefore w:val="0"/>
                    <w:widowControl/>
                    <w:kinsoku/>
                    <w:wordWrap/>
                    <w:overflowPunct/>
                    <w:topLinePunct w:val="0"/>
                    <w:autoSpaceDE/>
                    <w:autoSpaceDN/>
                    <w:bidi w:val="0"/>
                    <w:adjustRightInd w:val="0"/>
                    <w:snapToGrid w:val="0"/>
                    <w:spacing w:before="0" w:line="240" w:lineRule="auto"/>
                    <w:ind w:right="0" w:firstLine="0" w:firstLineChars="0"/>
                    <w:textAlignment w:val="auto"/>
                    <w:rPr>
                      <w:rFonts w:hint="default" w:ascii="Times New Roman" w:hAnsi="Times New Roman" w:eastAsia="仿宋" w:cs="Times New Roman"/>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szCs w:val="24"/>
                      <w:highlight w:val="none"/>
                      <w:u w:val="none"/>
                      <w:lang w:val="en-US" w:eastAsia="zh-CN"/>
                      <w14:textFill>
                        <w14:solidFill>
                          <w14:schemeClr w14:val="tx1"/>
                        </w14:solidFill>
                      </w14:textFill>
                    </w:rPr>
                    <w:t>0.004</w:t>
                  </w:r>
                </w:p>
              </w:tc>
            </w:tr>
          </w:tbl>
          <w:p w14:paraId="08E81A3B">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本项目Q&lt;1</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环境风险潜势为I</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p>
          <w:p w14:paraId="038F942B">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3</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突发环境事件类型及环境风险影响分析</w:t>
            </w:r>
          </w:p>
          <w:p w14:paraId="29923846">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①风险事故情形设定</w:t>
            </w:r>
          </w:p>
          <w:p w14:paraId="1A0B4C4A">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根据前述环境风险识别，项目主要存在的事故类型有：废润滑油</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（废机油）容器</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破损时发生泄漏和遇明火发生火灾爆炸事故等。</w:t>
            </w:r>
          </w:p>
          <w:p w14:paraId="460E66B9">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②项目最大可信事故</w:t>
            </w:r>
          </w:p>
          <w:p w14:paraId="1F32C611">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最大可信事故是指在所有预测的概率不为零的事故中，对环境</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或健康</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危害最严重的重大事故。最大可信事故确定的目的是针对典型事故进行环境风险分析，并不意味着其它事故不具环境风险。在项目生产、贮存、运输等过程中，存在诸多事故风险因素，风险评价不可能面面具到，只能考虑对环境危害最大的事故风险。本次风险评价不考虑工程外部事故风险因素</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如地震、雷电、战争、人为蓄意破坏等</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主要考虑可能对厂区外周围环境造成污染危害的事故。</w:t>
            </w:r>
          </w:p>
          <w:p w14:paraId="17E5E7B3">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根据项目风险识别，项目最大可信事故为废润滑油</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（废机油）</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发生泄漏事故。</w:t>
            </w:r>
          </w:p>
          <w:p w14:paraId="674A2181">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次生/伴生影响分析：当废润滑油</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（废机油）</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发生泄漏遇明火燃烧时，均会发生爆炸会产生一氧化碳、二氧化碳等气体，如处置不当，会对周边大气环境造成危害。</w:t>
            </w:r>
          </w:p>
          <w:p w14:paraId="3B2B43B0">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③环境风险影响分析</w:t>
            </w:r>
          </w:p>
          <w:p w14:paraId="5ECA54D7">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火灾主要由于废润滑油</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（废机油）</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泄漏遇明火或高温引起的火灾事故。此类火灾发生时，在热辐射的作用下，人或设备、设施、建筑物都有可能遭受不同程度的伤害和破坏。同时，在燃烧时会形成烟尘扩散，引起大气环境的污染。</w:t>
            </w:r>
          </w:p>
          <w:p w14:paraId="6D82B938">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4</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环境风险防范措施及应急要求</w:t>
            </w:r>
          </w:p>
          <w:p w14:paraId="4BE61F87">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1</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环境风险防范措施</w:t>
            </w:r>
          </w:p>
          <w:p w14:paraId="06EDE7F9">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①总图布置和建筑安全防范措施</w:t>
            </w:r>
          </w:p>
          <w:p w14:paraId="10121A47">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总图布置严格执行相关规范要求，所有构筑物之间或与其它场所之间留有足够的防火间距，防止在火灾或爆炸时相互影响；严格按工艺处理物料特性，对厂房区域进行危险区划分。厂房区域实行人、货流分开；在厂房总平面布置中配套建设应急救援设施、救援通道、应急疏散避难所等防护设施。按《安全标志》规定在装置区设置有关的安全标志。</w:t>
            </w:r>
          </w:p>
          <w:p w14:paraId="793712CB">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根据火灾危险性等级和防火、防爆要求，建筑物的防火等级均应采用国家现行规范要求按一、二级耐火等级设计，满足建筑防火要求。凡禁火区均设置明显标志牌。各种易燃易爆物料均储存在阴凉、通风处，远离火源，避免与强氧化剂接触；安放易发生爆炸设备的房间，不允许任何人员随便入内。</w:t>
            </w:r>
          </w:p>
          <w:p w14:paraId="099B13C2">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②生产过程中的风险防范措施I、根据公司实际情况，建立安全生产岗位责任制，制定安全生产规章制度、安全操作规程。如生产过程必须有全套切实可行的安全操作规程，有专人负责检查安全操作规程的执行、安全设备及防护设备的使用情况；厂房应配备急救设备和药品；作业人员应学会自救和互救。</w:t>
            </w:r>
          </w:p>
          <w:p w14:paraId="31F7D0BE">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Ⅱ、凡容易发生事故或危及生命安全的场所、设备以及需要提醒操作人员注意的地方，应设置安全标志；在各区域设置毒物周知卡；装置设物料走向、 厂区设风向标等工艺技术设计安全防范措施。</w:t>
            </w:r>
          </w:p>
          <w:p w14:paraId="027A91E5">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Ⅲ、项目所用的电源应设在防火区域以外；所有金属设备都应接地可靠，防止静电积聚和静电放电；生产线内严禁烟火，不许带火柴，打火机等火种进入生产线。</w:t>
            </w:r>
          </w:p>
          <w:p w14:paraId="55733542">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IV、加强工艺管理，严格控制工艺指标。加强安全教育，安全生产教育包括厂级、生产线、班组三级安全教育、特殊工种安全教育、日常安全教育、装置开前安全教育和外来人员安全教育五部分内容。让所有员工了解本厂各种原辅材料、化学制品以及固体废物的物理、化学和生理特性及其毒性，所有防护措施、环境影响等。</w:t>
            </w:r>
          </w:p>
          <w:p w14:paraId="7FF45933">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V、加强对各生产设备、设施等定期检查，及时发现隐患，维护维修，关键设备实行定期大修制度。</w:t>
            </w:r>
          </w:p>
          <w:p w14:paraId="5FC1E9E9">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VI、原辅材料转移、计量、调配等过程应进行重点防范，避免由于操作 失误造成物料泄漏。所有存放原辅材料的容器，除正在使用中外，均需保持紧盖。</w:t>
            </w:r>
          </w:p>
          <w:p w14:paraId="0602574D">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VII、若由于包装破裂、倾倒或生产装置阀门损坏造成物料泄漏，应在第一时间按照泄漏物质相应的应急处理措施进行处理，泄漏的物料回收利用妥善处置。</w:t>
            </w:r>
          </w:p>
          <w:p w14:paraId="0978D341">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VII、生产车间内一般区域采用水泥硬化地面，储存区和生产区长期配备足够的应急物资，确保泄漏物料及时收集、转移。</w:t>
            </w:r>
          </w:p>
          <w:p w14:paraId="34B5F7C8">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③暂存过程中的风险防范措施</w:t>
            </w:r>
          </w:p>
          <w:p w14:paraId="01A50D2D">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I、物料存放时，应保持通风、干燥、防止日光直接照射，并应隔绝火源、远离热源。设置禁火标志及防静电措施等，配备有完善的防火及灭火装备。暂存区应具有良好的排风通风措施。</w:t>
            </w:r>
          </w:p>
          <w:p w14:paraId="484A98A9">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Ⅱ、地面硬化且采取防腐防渗处理，并设置防风、防雨、防晒、防流失等措施，防止各种液体类原辅料漫流或泄漏。</w:t>
            </w:r>
          </w:p>
          <w:p w14:paraId="0859731F">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Ⅲ、车间内配备足够的应急物资，确保泄漏物料及时收集、转移。</w:t>
            </w:r>
          </w:p>
          <w:p w14:paraId="4195DE7E">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项目生产过程中涉及的主要危险化学品储存严格按照《危险化学品安全技术手册》、《危险化学品安全技术说明书》、《危险货物运输包装通用技术条件》等相关要求执行。</w:t>
            </w:r>
          </w:p>
          <w:p w14:paraId="79796678">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④其它风险防范措施</w:t>
            </w:r>
          </w:p>
          <w:p w14:paraId="639B2305">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根据相关事故案例分析，管理混乱、物料装卸不规范等也是导致风险事故的常见原因，故建设单位一定要采取相应措施防范此类事故发生。</w:t>
            </w:r>
          </w:p>
          <w:p w14:paraId="5EB2D306">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I、加强巡检，定期对设备、阀门进行检查、维修。</w:t>
            </w:r>
          </w:p>
          <w:p w14:paraId="13361B7B">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Ⅱ、加强对废包装桶等危险废物的管理，废弃包装桶应收集并即产即清，交有资质的单位处理。</w:t>
            </w:r>
          </w:p>
          <w:p w14:paraId="53ECD255">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Ⅲ、发生泄漏后，事故处置过程中产生的含物料沙土、废棉纱等及时有效收集并送有资质单位进行处置。</w:t>
            </w:r>
          </w:p>
          <w:p w14:paraId="154D697D">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2</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事故应急预案</w:t>
            </w:r>
          </w:p>
          <w:p w14:paraId="109B1706">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为更好的做好项目的事故防范工作，应严格执行事故应急预案，并定期组织演练，具体如下：</w:t>
            </w:r>
          </w:p>
          <w:p w14:paraId="49D5DA4A">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①建立内部救援队伍</w:t>
            </w:r>
          </w:p>
          <w:p w14:paraId="6CA073C2">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建立事故应急救援指挥领导小组，由企业法人、领导及生产、安全环保、设备、保卫、卫生等部门负责人组成。</w:t>
            </w:r>
          </w:p>
          <w:p w14:paraId="244BFA31">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成立事故应急救援指挥部，负责一旦发生事故时的全厂应急救援的组织和指挥，企业法人任总指挥，若企业法人不在时，应明确有关领导全权负责应急救援工作。组织机构包括应急处置行动组、通讯联络组、疏散引导组、 安全防护救护组等。</w:t>
            </w:r>
          </w:p>
          <w:p w14:paraId="2833FC62">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指挥领导小组应负责企业事故应急预案的制定、修订；组建应急救业队伍，组织预案实施和演练；检查督促做好危险源事故的预防措施和应急救援的准备工作，一旦发生事故，按照应急救援预案实施救援。</w:t>
            </w:r>
          </w:p>
          <w:p w14:paraId="42F0EA07">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②泄漏事故处置方案</w:t>
            </w:r>
          </w:p>
          <w:p w14:paraId="17DF17E9">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I、停止使用，关闭有关设备和系统，立即向应急救援指挥部报告；</w:t>
            </w:r>
          </w:p>
          <w:p w14:paraId="20C7CC8C">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Ⅱ、事故现场严禁明火，切断电源，迅速撤离泄漏区人员至上风向安全处。同时在事故现场设置隔离区，禁止无关人员进入；</w:t>
            </w:r>
          </w:p>
          <w:p w14:paraId="1D931537">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IⅢ、应急处理人员必须配备必要的个人防护器具，严禁单独行动；</w:t>
            </w:r>
          </w:p>
          <w:p w14:paraId="72B37CE5">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IV、用预先确定的堵漏方式尽快堵漏，切断或控制泄漏源。尽快收集泄漏物料。</w:t>
            </w:r>
          </w:p>
          <w:p w14:paraId="144E1D32">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V、迅速撤离泄漏污染区的工作人员至安全区，并进行隔离，脱去被污染的衣着，用流动清水冲洗。</w:t>
            </w:r>
          </w:p>
          <w:p w14:paraId="0133775F">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VI、在厂房内设置疏散工作指示方向标识。</w:t>
            </w:r>
          </w:p>
          <w:p w14:paraId="13A5F24F">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③火灾应急措施</w:t>
            </w:r>
          </w:p>
          <w:p w14:paraId="1CF8A3B3">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I、发现起火，立即报警，通过消防灭火，采用抗溶性泡沫、干粉、二氧化碳等灭火器灭火。</w:t>
            </w:r>
          </w:p>
          <w:p w14:paraId="34EB850D">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Ⅱ、切断火势蔓延的途径，冷却和疏散受火势威胁的密闭容器和可燃物，控制燃烧范围，并积极抢救受伤和被困人员；</w:t>
            </w:r>
          </w:p>
          <w:p w14:paraId="44C7E1ED">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Ⅲ、通知安全、消防、救护等相关部门人员，启动相应的应急救护程序；</w:t>
            </w:r>
          </w:p>
          <w:p w14:paraId="094FD8F7">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IV、组织救援小组，封锁现场，疏散人员；</w:t>
            </w:r>
          </w:p>
          <w:p w14:paraId="1A65C873">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V、灭火工作结束后，对现场进行恢复清理；</w:t>
            </w:r>
          </w:p>
          <w:p w14:paraId="05A3585B">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VI、调查和鉴定事故原因，提出事故评估报告，补充或修改事故防范措施和应急方案。</w:t>
            </w:r>
          </w:p>
          <w:p w14:paraId="0E887E49">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④急救措施</w:t>
            </w:r>
          </w:p>
          <w:p w14:paraId="4133E089">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皮肤接触：脱去污染的衣着，用流动清水冲洗。</w:t>
            </w:r>
          </w:p>
          <w:p w14:paraId="196621F6">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眼睛接触：提起眼睑，用流动清水或生理盐水冲洗，就医。</w:t>
            </w:r>
          </w:p>
          <w:p w14:paraId="66E27993">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吸入：脱离现场至空气新鲜处，保持呼吸道通畅；如呼吸困难，给输氧；如呼吸停止，立即进行人工呼吸，就医。</w:t>
            </w:r>
          </w:p>
          <w:p w14:paraId="55C3B531">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食入：饮足量温水，催吐，就医。</w:t>
            </w:r>
          </w:p>
          <w:p w14:paraId="05C093D1">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5</w:t>
            </w:r>
            <w:r>
              <w:rPr>
                <w:rFonts w:hint="eastAsia"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结论</w:t>
            </w:r>
          </w:p>
          <w:p w14:paraId="6C6A3C4D">
            <w:pPr>
              <w:pStyle w:val="8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lang w:val="en-US" w:eastAsia="zh-CN" w:bidi="ar-SA"/>
                <w14:textFill>
                  <w14:solidFill>
                    <w14:schemeClr w14:val="tx1"/>
                  </w14:solidFill>
                </w14:textFill>
              </w:rPr>
              <w:t>综上所述，在采取以上防范措施的情况下，可保证环境风险水平降至最低，项目环境风险可控。</w:t>
            </w:r>
          </w:p>
          <w:p w14:paraId="2E2D04BE">
            <w:pPr>
              <w:widowControl w:val="0"/>
              <w:spacing w:after="0" w:line="360" w:lineRule="auto"/>
              <w:ind w:firstLine="482" w:firstLineChars="200"/>
              <w:jc w:val="both"/>
              <w:rPr>
                <w:rFonts w:hint="default" w:ascii="Times New Roman" w:hAnsi="Times New Roman" w:eastAsia="仿宋" w:cs="Times New Roman"/>
                <w:b/>
                <w:color w:val="000000" w:themeColor="text1"/>
                <w:kern w:val="2"/>
                <w:sz w:val="24"/>
                <w:szCs w:val="24"/>
                <w:highlight w:val="none"/>
                <w:u w:val="none"/>
                <w14:textFill>
                  <w14:solidFill>
                    <w14:schemeClr w14:val="tx1"/>
                  </w14:solidFill>
                </w14:textFill>
              </w:rPr>
            </w:pPr>
            <w:r>
              <w:rPr>
                <w:rFonts w:hint="default" w:ascii="Times New Roman" w:hAnsi="Times New Roman" w:eastAsia="仿宋" w:cs="Times New Roman"/>
                <w:b/>
                <w:color w:val="000000" w:themeColor="text1"/>
                <w:kern w:val="2"/>
                <w:sz w:val="24"/>
                <w:szCs w:val="24"/>
                <w:highlight w:val="none"/>
                <w:u w:val="none"/>
                <w:lang w:val="en-US" w:eastAsia="zh-CN"/>
                <w14:textFill>
                  <w14:solidFill>
                    <w14:schemeClr w14:val="tx1"/>
                  </w14:solidFill>
                </w14:textFill>
              </w:rPr>
              <w:t>七、</w:t>
            </w:r>
            <w:r>
              <w:rPr>
                <w:rFonts w:hint="default" w:ascii="Times New Roman" w:hAnsi="Times New Roman" w:eastAsia="仿宋" w:cs="Times New Roman"/>
                <w:b/>
                <w:color w:val="000000" w:themeColor="text1"/>
                <w:kern w:val="2"/>
                <w:sz w:val="24"/>
                <w:szCs w:val="24"/>
                <w:highlight w:val="none"/>
                <w:u w:val="none"/>
                <w14:textFill>
                  <w14:solidFill>
                    <w14:schemeClr w14:val="tx1"/>
                  </w14:solidFill>
                </w14:textFill>
              </w:rPr>
              <w:t>运输对沿线居民的影响分析</w:t>
            </w:r>
          </w:p>
          <w:p w14:paraId="7465B307">
            <w:pPr>
              <w:widowControl w:val="0"/>
              <w:spacing w:after="0" w:line="360" w:lineRule="auto"/>
              <w:ind w:firstLine="480" w:firstLineChars="200"/>
              <w:jc w:val="both"/>
              <w:rPr>
                <w:rFonts w:hint="default" w:ascii="Times New Roman" w:hAnsi="Times New Roman" w:eastAsia="仿宋" w:cs="Times New Roman"/>
                <w:bCs/>
                <w:color w:val="000000" w:themeColor="text1"/>
                <w:kern w:val="2"/>
                <w:sz w:val="24"/>
                <w:szCs w:val="24"/>
                <w:highlight w:val="none"/>
                <w:u w:val="none"/>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u w:val="none"/>
                <w14:textFill>
                  <w14:solidFill>
                    <w14:schemeClr w14:val="tx1"/>
                  </w14:solidFill>
                </w14:textFill>
              </w:rPr>
              <w:t>项目原料和产品由汽车运输，道路主要为乡道和省道。沿线居民主要为道路两侧居民，主要影响为运输扬尘和运输噪声。</w:t>
            </w:r>
          </w:p>
          <w:p w14:paraId="567970DD">
            <w:pPr>
              <w:widowControl w:val="0"/>
              <w:spacing w:after="0" w:line="360" w:lineRule="auto"/>
              <w:ind w:firstLine="480" w:firstLineChars="200"/>
              <w:jc w:val="both"/>
              <w:rPr>
                <w:rFonts w:hint="default" w:ascii="Times New Roman" w:hAnsi="Times New Roman" w:eastAsia="仿宋" w:cs="Times New Roman"/>
                <w:bCs/>
                <w:color w:val="000000" w:themeColor="text1"/>
                <w:kern w:val="2"/>
                <w:sz w:val="24"/>
                <w:szCs w:val="24"/>
                <w:highlight w:val="none"/>
                <w:u w:val="none"/>
                <w14:textFill>
                  <w14:solidFill>
                    <w14:schemeClr w14:val="tx1"/>
                  </w14:solidFill>
                </w14:textFill>
              </w:rPr>
            </w:pPr>
            <w:r>
              <w:rPr>
                <w:rFonts w:hint="default" w:ascii="Times New Roman" w:hAnsi="Times New Roman" w:eastAsia="仿宋" w:cs="Times New Roman"/>
                <w:bCs/>
                <w:color w:val="000000" w:themeColor="text1"/>
                <w:kern w:val="2"/>
                <w:sz w:val="24"/>
                <w:szCs w:val="24"/>
                <w:highlight w:val="none"/>
                <w:u w:val="none"/>
                <w14:textFill>
                  <w14:solidFill>
                    <w14:schemeClr w14:val="tx1"/>
                  </w14:solidFill>
                </w14:textFill>
              </w:rPr>
              <w:t>环评建议采取设专人对</w:t>
            </w:r>
            <w:r>
              <w:rPr>
                <w:rFonts w:hint="default" w:ascii="Times New Roman" w:hAnsi="Times New Roman" w:eastAsia="仿宋" w:cs="Times New Roman"/>
                <w:bCs/>
                <w:color w:val="000000" w:themeColor="text1"/>
                <w:kern w:val="2"/>
                <w:sz w:val="24"/>
                <w:szCs w:val="24"/>
                <w:highlight w:val="none"/>
                <w:u w:val="none"/>
                <w:lang w:val="en-US" w:eastAsia="zh-CN"/>
                <w14:textFill>
                  <w14:solidFill>
                    <w14:schemeClr w14:val="tx1"/>
                  </w14:solidFill>
                </w14:textFill>
              </w:rPr>
              <w:t>进出厂区大门口</w:t>
            </w:r>
            <w:r>
              <w:rPr>
                <w:rFonts w:hint="default" w:ascii="Times New Roman" w:hAnsi="Times New Roman" w:eastAsia="仿宋" w:cs="Times New Roman"/>
                <w:bCs/>
                <w:color w:val="000000" w:themeColor="text1"/>
                <w:kern w:val="2"/>
                <w:sz w:val="24"/>
                <w:szCs w:val="24"/>
                <w:highlight w:val="none"/>
                <w:u w:val="none"/>
                <w14:textFill>
                  <w14:solidFill>
                    <w14:schemeClr w14:val="tx1"/>
                  </w14:solidFill>
                </w14:textFill>
              </w:rPr>
              <w:t>道路进行定期清扫、洒水，严禁物料超出箱板，并加盖篷布防止洒落；严格控制进出厂区车辆的运输车速，尽量降低车速，分散进出；同时要求夜间</w:t>
            </w:r>
            <w:r>
              <w:rPr>
                <w:rFonts w:hint="eastAsia" w:eastAsia="仿宋" w:cs="Times New Roman"/>
                <w:bCs/>
                <w:color w:val="000000" w:themeColor="text1"/>
                <w:kern w:val="2"/>
                <w:sz w:val="24"/>
                <w:szCs w:val="24"/>
                <w:highlight w:val="none"/>
                <w:u w:val="none"/>
                <w:lang w:eastAsia="zh-CN"/>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u w:val="none"/>
                <w14:textFill>
                  <w14:solidFill>
                    <w14:schemeClr w14:val="tx1"/>
                  </w14:solidFill>
                </w14:textFill>
              </w:rPr>
              <w:t>22:00～次日6:00</w:t>
            </w:r>
            <w:r>
              <w:rPr>
                <w:rFonts w:hint="eastAsia" w:eastAsia="仿宋" w:cs="Times New Roman"/>
                <w:bCs/>
                <w:color w:val="000000" w:themeColor="text1"/>
                <w:kern w:val="2"/>
                <w:sz w:val="24"/>
                <w:szCs w:val="24"/>
                <w:highlight w:val="none"/>
                <w:u w:val="none"/>
                <w:lang w:eastAsia="zh-CN"/>
                <w14:textFill>
                  <w14:solidFill>
                    <w14:schemeClr w14:val="tx1"/>
                  </w14:solidFill>
                </w14:textFill>
              </w:rPr>
              <w:t>）</w:t>
            </w:r>
            <w:r>
              <w:rPr>
                <w:rFonts w:hint="default" w:ascii="Times New Roman" w:hAnsi="Times New Roman" w:eastAsia="仿宋" w:cs="Times New Roman"/>
                <w:bCs/>
                <w:color w:val="000000" w:themeColor="text1"/>
                <w:kern w:val="2"/>
                <w:sz w:val="24"/>
                <w:szCs w:val="24"/>
                <w:highlight w:val="none"/>
                <w:u w:val="none"/>
                <w14:textFill>
                  <w14:solidFill>
                    <w14:schemeClr w14:val="tx1"/>
                  </w14:solidFill>
                </w14:textFill>
              </w:rPr>
              <w:t>禁止运输。通过这些措施，可以有效的减少运输过程中扬尘和噪声影响。</w:t>
            </w:r>
          </w:p>
          <w:p w14:paraId="11F7A883">
            <w:pPr>
              <w:spacing w:line="360" w:lineRule="auto"/>
              <w:ind w:firstLine="482" w:firstLineChars="200"/>
              <w:rPr>
                <w:rFonts w:hint="default" w:ascii="Times New Roman" w:hAnsi="Times New Roman" w:eastAsia="仿宋" w:cs="Times New Roman"/>
                <w:b/>
                <w:color w:val="000000" w:themeColor="text1"/>
                <w:sz w:val="24"/>
                <w:highlight w:val="none"/>
                <w:u w:val="none"/>
                <w14:textFill>
                  <w14:solidFill>
                    <w14:schemeClr w14:val="tx1"/>
                  </w14:solidFill>
                </w14:textFill>
              </w:rPr>
            </w:pPr>
            <w:r>
              <w:rPr>
                <w:rFonts w:hint="default" w:ascii="Times New Roman" w:hAnsi="Times New Roman" w:eastAsia="仿宋" w:cs="Times New Roman"/>
                <w:b/>
                <w:color w:val="000000" w:themeColor="text1"/>
                <w:sz w:val="24"/>
                <w:highlight w:val="none"/>
                <w:u w:val="none"/>
                <w:lang w:val="en-US" w:eastAsia="zh-CN"/>
                <w14:textFill>
                  <w14:solidFill>
                    <w14:schemeClr w14:val="tx1"/>
                  </w14:solidFill>
                </w14:textFill>
              </w:rPr>
              <w:t>八</w:t>
            </w:r>
            <w:r>
              <w:rPr>
                <w:rFonts w:hint="default" w:ascii="Times New Roman" w:hAnsi="Times New Roman" w:eastAsia="仿宋" w:cs="Times New Roman"/>
                <w:b/>
                <w:color w:val="000000" w:themeColor="text1"/>
                <w:sz w:val="24"/>
                <w:highlight w:val="none"/>
                <w:u w:val="none"/>
                <w14:textFill>
                  <w14:solidFill>
                    <w14:schemeClr w14:val="tx1"/>
                  </w14:solidFill>
                </w14:textFill>
              </w:rPr>
              <w:t>、监测要求</w:t>
            </w:r>
          </w:p>
          <w:p w14:paraId="72A44EFD">
            <w:pPr>
              <w:spacing w:line="360" w:lineRule="auto"/>
              <w:ind w:firstLine="480" w:firstLineChars="200"/>
              <w:rPr>
                <w:rFonts w:hint="default" w:ascii="Times New Roman" w:hAnsi="Times New Roman" w:eastAsia="仿宋" w:cs="Times New Roman"/>
                <w:bCs/>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根据《排污许可证申请与核发技术规范总则》（HJ942—2018）、《排污单位自行监测技术指南总则》（HJ819-2017）</w:t>
            </w:r>
            <w:r>
              <w:rPr>
                <w:rFonts w:hint="eastAsia" w:eastAsia="仿宋" w:cs="Times New Roman"/>
                <w:color w:val="000000" w:themeColor="text1"/>
                <w:sz w:val="24"/>
                <w:szCs w:val="32"/>
                <w:highlight w:val="none"/>
                <w:u w:val="none"/>
                <w:lang w:val="en-US" w:eastAsia="zh-CN"/>
                <w14:textFill>
                  <w14:solidFill>
                    <w14:schemeClr w14:val="tx1"/>
                  </w14:solidFill>
                </w14:textFill>
              </w:rPr>
              <w:t>以及</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《排污许可证申请与核发技术规范 废弃资源加工业》（HJ 1034-2019）</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本项目自行监测计划见下表4-1</w:t>
            </w:r>
            <w:r>
              <w:rPr>
                <w:rFonts w:hint="default" w:ascii="Times New Roman" w:hAnsi="Times New Roman" w:eastAsia="仿宋" w:cs="Times New Roman"/>
                <w:color w:val="000000" w:themeColor="text1"/>
                <w:sz w:val="24"/>
                <w:szCs w:val="32"/>
                <w:highlight w:val="none"/>
                <w:u w:val="none"/>
                <w:lang w:val="en-US" w:eastAsia="zh-CN"/>
                <w14:textFill>
                  <w14:solidFill>
                    <w14:schemeClr w14:val="tx1"/>
                  </w14:solidFill>
                </w14:textFill>
              </w:rPr>
              <w:t>5</w:t>
            </w:r>
            <w:r>
              <w:rPr>
                <w:rFonts w:hint="default" w:ascii="Times New Roman" w:hAnsi="Times New Roman" w:eastAsia="仿宋" w:cs="Times New Roman"/>
                <w:color w:val="000000" w:themeColor="text1"/>
                <w:sz w:val="24"/>
                <w:szCs w:val="32"/>
                <w:highlight w:val="none"/>
                <w:u w:val="none"/>
                <w14:textFill>
                  <w14:solidFill>
                    <w14:schemeClr w14:val="tx1"/>
                  </w14:solidFill>
                </w14:textFill>
              </w:rPr>
              <w:t>。</w:t>
            </w:r>
          </w:p>
          <w:p w14:paraId="13297795">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表4-15项目自行监测计划一览表</w:t>
            </w:r>
          </w:p>
          <w:tbl>
            <w:tblPr>
              <w:tblStyle w:val="24"/>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205"/>
              <w:gridCol w:w="1237"/>
              <w:gridCol w:w="1188"/>
              <w:gridCol w:w="4147"/>
            </w:tblGrid>
            <w:tr w14:paraId="6882D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8" w:type="pct"/>
                  <w:tcBorders>
                    <w:tl2br w:val="nil"/>
                    <w:tr2bl w:val="nil"/>
                  </w:tcBorders>
                  <w:noWrap w:val="0"/>
                  <w:vAlign w:val="center"/>
                </w:tcPr>
                <w:p w14:paraId="4B79BD39">
                  <w:pPr>
                    <w:jc w:val="center"/>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类别</w:t>
                  </w:r>
                </w:p>
              </w:tc>
              <w:tc>
                <w:tcPr>
                  <w:tcW w:w="711" w:type="pct"/>
                  <w:tcBorders>
                    <w:tl2br w:val="nil"/>
                    <w:tr2bl w:val="nil"/>
                  </w:tcBorders>
                  <w:noWrap w:val="0"/>
                  <w:vAlign w:val="center"/>
                </w:tcPr>
                <w:p w14:paraId="75008724">
                  <w:pPr>
                    <w:jc w:val="center"/>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监测点位</w:t>
                  </w:r>
                </w:p>
              </w:tc>
              <w:tc>
                <w:tcPr>
                  <w:tcW w:w="730" w:type="pct"/>
                  <w:tcBorders>
                    <w:tl2br w:val="nil"/>
                    <w:tr2bl w:val="nil"/>
                  </w:tcBorders>
                  <w:noWrap w:val="0"/>
                  <w:vAlign w:val="center"/>
                </w:tcPr>
                <w:p w14:paraId="2D26D055">
                  <w:pPr>
                    <w:jc w:val="center"/>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监测指标</w:t>
                  </w:r>
                </w:p>
              </w:tc>
              <w:tc>
                <w:tcPr>
                  <w:tcW w:w="701" w:type="pct"/>
                  <w:tcBorders>
                    <w:tl2br w:val="nil"/>
                    <w:tr2bl w:val="nil"/>
                  </w:tcBorders>
                  <w:noWrap w:val="0"/>
                  <w:vAlign w:val="center"/>
                </w:tcPr>
                <w:p w14:paraId="6ED9AE72">
                  <w:pPr>
                    <w:jc w:val="center"/>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监测频率</w:t>
                  </w:r>
                </w:p>
              </w:tc>
              <w:tc>
                <w:tcPr>
                  <w:tcW w:w="2448" w:type="pct"/>
                  <w:tcBorders>
                    <w:tl2br w:val="nil"/>
                    <w:tr2bl w:val="nil"/>
                  </w:tcBorders>
                  <w:noWrap w:val="0"/>
                  <w:vAlign w:val="center"/>
                </w:tcPr>
                <w:p w14:paraId="7808C07C">
                  <w:pPr>
                    <w:jc w:val="center"/>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执行标准</w:t>
                  </w:r>
                </w:p>
              </w:tc>
            </w:tr>
            <w:tr w14:paraId="424D0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8" w:type="pct"/>
                  <w:vMerge w:val="restart"/>
                  <w:tcBorders>
                    <w:tl2br w:val="nil"/>
                    <w:tr2bl w:val="nil"/>
                  </w:tcBorders>
                  <w:noWrap w:val="0"/>
                  <w:vAlign w:val="center"/>
                </w:tcPr>
                <w:p w14:paraId="7D1802EE">
                  <w:pPr>
                    <w:jc w:val="center"/>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废气</w:t>
                  </w:r>
                </w:p>
              </w:tc>
              <w:tc>
                <w:tcPr>
                  <w:tcW w:w="711" w:type="pct"/>
                  <w:tcBorders>
                    <w:tl2br w:val="nil"/>
                    <w:tr2bl w:val="nil"/>
                  </w:tcBorders>
                  <w:noWrap w:val="0"/>
                  <w:vAlign w:val="center"/>
                </w:tcPr>
                <w:p w14:paraId="60E0369C">
                  <w:pPr>
                    <w:jc w:val="center"/>
                    <w:rPr>
                      <w:rFonts w:hint="default" w:ascii="Times New Roman" w:hAnsi="Times New Roman" w:eastAsia="仿宋" w:cs="Times New Roman"/>
                      <w:color w:val="000000" w:themeColor="text1"/>
                      <w:highlight w:val="none"/>
                      <w:u w:val="none"/>
                      <w:lang w:eastAsia="zh-CN"/>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DA00</w:t>
                  </w:r>
                  <w:r>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t>1</w:t>
                  </w:r>
                </w:p>
              </w:tc>
              <w:tc>
                <w:tcPr>
                  <w:tcW w:w="730" w:type="pct"/>
                  <w:tcBorders>
                    <w:tl2br w:val="nil"/>
                    <w:tr2bl w:val="nil"/>
                  </w:tcBorders>
                  <w:noWrap w:val="0"/>
                  <w:vAlign w:val="center"/>
                </w:tcPr>
                <w:p w14:paraId="243A0A85">
                  <w:pPr>
                    <w:jc w:val="cente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颗粒物</w:t>
                  </w:r>
                </w:p>
              </w:tc>
              <w:tc>
                <w:tcPr>
                  <w:tcW w:w="701" w:type="pct"/>
                  <w:tcBorders>
                    <w:tl2br w:val="nil"/>
                    <w:tr2bl w:val="nil"/>
                  </w:tcBorders>
                  <w:noWrap w:val="0"/>
                  <w:vAlign w:val="center"/>
                </w:tcPr>
                <w:p w14:paraId="10DBD668">
                  <w:pPr>
                    <w:jc w:val="center"/>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1次/年</w:t>
                  </w:r>
                </w:p>
              </w:tc>
              <w:tc>
                <w:tcPr>
                  <w:tcW w:w="2448" w:type="pct"/>
                  <w:tcBorders>
                    <w:tl2br w:val="nil"/>
                    <w:tr2bl w:val="nil"/>
                  </w:tcBorders>
                  <w:noWrap w:val="0"/>
                  <w:vAlign w:val="center"/>
                </w:tcPr>
                <w:p w14:paraId="45A13A41">
                  <w:pPr>
                    <w:jc w:val="center"/>
                    <w:rPr>
                      <w:rFonts w:hint="default" w:ascii="Times New Roman" w:hAnsi="Times New Roman" w:eastAsia="仿宋" w:cs="Times New Roman"/>
                      <w:color w:val="000000" w:themeColor="text1"/>
                      <w:highlight w:val="none"/>
                      <w:u w:val="none"/>
                      <w:lang w:val="en-US"/>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颗粒物</w:t>
                  </w:r>
                  <w:r>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t>执行</w:t>
                  </w:r>
                  <w:r>
                    <w:rPr>
                      <w:rFonts w:hint="default" w:ascii="Times New Roman" w:hAnsi="Times New Roman" w:eastAsia="仿宋" w:cs="Times New Roman"/>
                      <w:color w:val="000000" w:themeColor="text1"/>
                      <w:highlight w:val="none"/>
                      <w:u w:val="none"/>
                      <w14:textFill>
                        <w14:solidFill>
                          <w14:schemeClr w14:val="tx1"/>
                        </w14:solidFill>
                      </w14:textFill>
                    </w:rPr>
                    <w:t>《大气污染物综合排放标准》（GB16297-1996）表2标准</w:t>
                  </w:r>
                </w:p>
              </w:tc>
            </w:tr>
            <w:tr w14:paraId="7C705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8" w:type="pct"/>
                  <w:vMerge w:val="continue"/>
                  <w:tcBorders>
                    <w:tl2br w:val="nil"/>
                    <w:tr2bl w:val="nil"/>
                  </w:tcBorders>
                  <w:noWrap w:val="0"/>
                  <w:vAlign w:val="center"/>
                </w:tcPr>
                <w:p w14:paraId="4F3B2FDD">
                  <w:pPr>
                    <w:jc w:val="center"/>
                    <w:rPr>
                      <w:rFonts w:hint="default" w:ascii="Times New Roman" w:hAnsi="Times New Roman" w:eastAsia="仿宋" w:cs="Times New Roman"/>
                      <w:color w:val="000000" w:themeColor="text1"/>
                      <w:highlight w:val="none"/>
                      <w:u w:val="none"/>
                      <w14:textFill>
                        <w14:solidFill>
                          <w14:schemeClr w14:val="tx1"/>
                        </w14:solidFill>
                      </w14:textFill>
                    </w:rPr>
                  </w:pPr>
                </w:p>
              </w:tc>
              <w:tc>
                <w:tcPr>
                  <w:tcW w:w="711" w:type="pct"/>
                  <w:tcBorders>
                    <w:tl2br w:val="nil"/>
                    <w:tr2bl w:val="nil"/>
                  </w:tcBorders>
                  <w:noWrap w:val="0"/>
                  <w:vAlign w:val="center"/>
                </w:tcPr>
                <w:p w14:paraId="5D1409DE">
                  <w:pPr>
                    <w:jc w:val="center"/>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厂界</w:t>
                  </w:r>
                </w:p>
              </w:tc>
              <w:tc>
                <w:tcPr>
                  <w:tcW w:w="730" w:type="pct"/>
                  <w:tcBorders>
                    <w:tl2br w:val="nil"/>
                    <w:tr2bl w:val="nil"/>
                  </w:tcBorders>
                  <w:noWrap w:val="0"/>
                  <w:vAlign w:val="center"/>
                </w:tcPr>
                <w:p w14:paraId="0E2D6B10">
                  <w:pPr>
                    <w:jc w:val="center"/>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颗粒物</w:t>
                  </w:r>
                </w:p>
              </w:tc>
              <w:tc>
                <w:tcPr>
                  <w:tcW w:w="701" w:type="pct"/>
                  <w:tcBorders>
                    <w:tl2br w:val="nil"/>
                    <w:tr2bl w:val="nil"/>
                  </w:tcBorders>
                  <w:noWrap w:val="0"/>
                  <w:vAlign w:val="center"/>
                </w:tcPr>
                <w:p w14:paraId="189827AB">
                  <w:pPr>
                    <w:jc w:val="center"/>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1次/年</w:t>
                  </w:r>
                </w:p>
              </w:tc>
              <w:tc>
                <w:tcPr>
                  <w:tcW w:w="2448" w:type="pct"/>
                  <w:tcBorders>
                    <w:tl2br w:val="nil"/>
                    <w:tr2bl w:val="nil"/>
                  </w:tcBorders>
                  <w:noWrap w:val="0"/>
                  <w:vAlign w:val="center"/>
                </w:tcPr>
                <w:p w14:paraId="794B5CBD">
                  <w:pPr>
                    <w:jc w:val="center"/>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《大气污染物综合排放标准》（GB16297-1996）无组织排放监控浓度限值要求</w:t>
                  </w:r>
                </w:p>
              </w:tc>
            </w:tr>
            <w:tr w14:paraId="04919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8" w:type="pct"/>
                  <w:tcBorders>
                    <w:tl2br w:val="nil"/>
                    <w:tr2bl w:val="nil"/>
                  </w:tcBorders>
                  <w:noWrap w:val="0"/>
                  <w:vAlign w:val="center"/>
                </w:tcPr>
                <w:p w14:paraId="64886F53">
                  <w:pPr>
                    <w:jc w:val="center"/>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噪声</w:t>
                  </w:r>
                </w:p>
              </w:tc>
              <w:tc>
                <w:tcPr>
                  <w:tcW w:w="711" w:type="pct"/>
                  <w:tcBorders>
                    <w:tl2br w:val="nil"/>
                    <w:tr2bl w:val="nil"/>
                  </w:tcBorders>
                  <w:noWrap w:val="0"/>
                  <w:vAlign w:val="center"/>
                </w:tcPr>
                <w:p w14:paraId="50AA098D">
                  <w:pPr>
                    <w:jc w:val="center"/>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厂界</w:t>
                  </w:r>
                </w:p>
              </w:tc>
              <w:tc>
                <w:tcPr>
                  <w:tcW w:w="730" w:type="pct"/>
                  <w:tcBorders>
                    <w:tl2br w:val="nil"/>
                    <w:tr2bl w:val="nil"/>
                  </w:tcBorders>
                  <w:noWrap w:val="0"/>
                  <w:vAlign w:val="center"/>
                </w:tcPr>
                <w:p w14:paraId="6C9A70A5">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等效连续A声级</w:t>
                  </w:r>
                </w:p>
              </w:tc>
              <w:tc>
                <w:tcPr>
                  <w:tcW w:w="701" w:type="pct"/>
                  <w:tcBorders>
                    <w:tl2br w:val="nil"/>
                    <w:tr2bl w:val="nil"/>
                  </w:tcBorders>
                  <w:noWrap w:val="0"/>
                  <w:vAlign w:val="center"/>
                </w:tcPr>
                <w:p w14:paraId="6934C5E9">
                  <w:pPr>
                    <w:jc w:val="center"/>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1次/季度</w:t>
                  </w:r>
                </w:p>
              </w:tc>
              <w:tc>
                <w:tcPr>
                  <w:tcW w:w="2448" w:type="pct"/>
                  <w:tcBorders>
                    <w:tl2br w:val="nil"/>
                    <w:tr2bl w:val="nil"/>
                  </w:tcBorders>
                  <w:noWrap w:val="0"/>
                  <w:vAlign w:val="center"/>
                </w:tcPr>
                <w:p w14:paraId="06B045AE">
                  <w:pPr>
                    <w:jc w:val="center"/>
                    <w:rPr>
                      <w:rFonts w:hint="default" w:ascii="Times New Roman" w:hAnsi="Times New Roman" w:eastAsia="仿宋" w:cs="Times New Roman"/>
                      <w:color w:val="000000" w:themeColor="text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《工业企业厂界环境噪声排放标准》（GB12348-2008）</w:t>
                  </w:r>
                </w:p>
              </w:tc>
            </w:tr>
          </w:tbl>
          <w:p w14:paraId="07DC314F">
            <w:pPr>
              <w:keepNext w:val="0"/>
              <w:keepLines w:val="0"/>
              <w:pageBreakBefore w:val="0"/>
              <w:widowControl w:val="0"/>
              <w:kinsoku/>
              <w:wordWrap/>
              <w:overflowPunct/>
              <w:topLinePunct w:val="0"/>
              <w:autoSpaceDE/>
              <w:autoSpaceDN/>
              <w:bidi w:val="0"/>
              <w:adjustRightInd/>
              <w:snapToGrid/>
              <w:spacing w:before="313" w:beforeLines="100" w:line="360" w:lineRule="auto"/>
              <w:ind w:firstLine="482" w:firstLineChars="200"/>
              <w:textAlignment w:val="auto"/>
              <w:rPr>
                <w:rFonts w:hint="default" w:ascii="Times New Roman" w:hAnsi="Times New Roman" w:eastAsia="仿宋" w:cs="Times New Roman"/>
                <w:b/>
                <w:color w:val="000000" w:themeColor="text1"/>
                <w:sz w:val="24"/>
                <w:highlight w:val="none"/>
                <w:u w:val="none"/>
                <w14:textFill>
                  <w14:solidFill>
                    <w14:schemeClr w14:val="tx1"/>
                  </w14:solidFill>
                </w14:textFill>
              </w:rPr>
            </w:pPr>
            <w:r>
              <w:rPr>
                <w:rFonts w:hint="default" w:ascii="Times New Roman" w:hAnsi="Times New Roman" w:eastAsia="仿宋" w:cs="Times New Roman"/>
                <w:b/>
                <w:color w:val="000000" w:themeColor="text1"/>
                <w:sz w:val="24"/>
                <w:highlight w:val="none"/>
                <w:u w:val="none"/>
                <w:lang w:val="en-US" w:eastAsia="zh-CN"/>
                <w14:textFill>
                  <w14:solidFill>
                    <w14:schemeClr w14:val="tx1"/>
                  </w14:solidFill>
                </w14:textFill>
              </w:rPr>
              <w:t>九</w:t>
            </w:r>
            <w:r>
              <w:rPr>
                <w:rFonts w:hint="default" w:ascii="Times New Roman" w:hAnsi="Times New Roman" w:eastAsia="仿宋" w:cs="Times New Roman"/>
                <w:b/>
                <w:color w:val="000000" w:themeColor="text1"/>
                <w:sz w:val="24"/>
                <w:highlight w:val="none"/>
                <w:u w:val="none"/>
                <w14:textFill>
                  <w14:solidFill>
                    <w14:schemeClr w14:val="tx1"/>
                  </w14:solidFill>
                </w14:textFill>
              </w:rPr>
              <w:t>、</w:t>
            </w:r>
            <w:r>
              <w:rPr>
                <w:rFonts w:hint="default" w:ascii="Times New Roman" w:hAnsi="Times New Roman" w:eastAsia="仿宋" w:cs="Times New Roman"/>
                <w:b/>
                <w:color w:val="000000" w:themeColor="text1"/>
                <w:sz w:val="24"/>
                <w:highlight w:val="none"/>
                <w:u w:val="none"/>
                <w:lang w:val="en-US" w:eastAsia="zh-CN"/>
                <w14:textFill>
                  <w14:solidFill>
                    <w14:schemeClr w14:val="tx1"/>
                  </w14:solidFill>
                </w14:textFill>
              </w:rPr>
              <w:t>环保投资</w:t>
            </w:r>
          </w:p>
          <w:p w14:paraId="1DC13B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本项目总投资为</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200</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万，环保投资为</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10</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万，环保投资占工程总投资的</w:t>
            </w:r>
            <w:r>
              <w:rPr>
                <w:rFonts w:hint="eastAsia" w:ascii="Times New Roman" w:hAnsi="Times New Roman" w:eastAsia="仿宋" w:cs="Times New Roman"/>
                <w:color w:val="000000" w:themeColor="text1"/>
                <w:kern w:val="0"/>
                <w:sz w:val="24"/>
                <w:highlight w:val="none"/>
                <w:u w:val="none"/>
                <w:lang w:val="en-US" w:eastAsia="zh-CN"/>
                <w14:textFill>
                  <w14:solidFill>
                    <w14:schemeClr w14:val="tx1"/>
                  </w14:solidFill>
                </w14:textFill>
              </w:rPr>
              <w:t>5</w:t>
            </w:r>
            <w:r>
              <w:rPr>
                <w:rFonts w:hint="default" w:ascii="Times New Roman" w:hAnsi="Times New Roman" w:eastAsia="仿宋" w:cs="Times New Roman"/>
                <w:color w:val="000000" w:themeColor="text1"/>
                <w:kern w:val="0"/>
                <w:sz w:val="24"/>
                <w:highlight w:val="none"/>
                <w:u w:val="none"/>
                <w:lang w:val="en-US" w:eastAsia="zh-CN"/>
                <w14:textFill>
                  <w14:solidFill>
                    <w14:schemeClr w14:val="tx1"/>
                  </w14:solidFill>
                </w14:textFill>
              </w:rPr>
              <w:t>%。</w:t>
            </w:r>
          </w:p>
          <w:p w14:paraId="4775930D">
            <w:pPr>
              <w:tabs>
                <w:tab w:val="left" w:pos="1081"/>
              </w:tabs>
              <w:adjustRightInd w:val="0"/>
              <w:snapToGrid w:val="0"/>
              <w:spacing w:line="240" w:lineRule="auto"/>
              <w:jc w:val="center"/>
              <w:textAlignment w:val="baseline"/>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b/>
                <w:color w:val="000000" w:themeColor="text1"/>
                <w:sz w:val="21"/>
                <w:szCs w:val="21"/>
                <w:highlight w:val="none"/>
                <w:u w:val="none"/>
                <w:lang w:val="en-US" w:eastAsia="zh-CN"/>
                <w14:textFill>
                  <w14:solidFill>
                    <w14:schemeClr w14:val="tx1"/>
                  </w14:solidFill>
                </w14:textFill>
              </w:rPr>
              <w:t>表4-16建设项目环保投资一览表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756"/>
              <w:gridCol w:w="1184"/>
              <w:gridCol w:w="4059"/>
              <w:gridCol w:w="1721"/>
            </w:tblGrid>
            <w:tr w14:paraId="5E501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42" w:type="pct"/>
                  <w:tcBorders>
                    <w:tl2br w:val="nil"/>
                    <w:tr2bl w:val="nil"/>
                  </w:tcBorders>
                  <w:noWrap w:val="0"/>
                  <w:vAlign w:val="center"/>
                </w:tcPr>
                <w:p w14:paraId="1AFF65FE">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时段</w:t>
                  </w:r>
                </w:p>
              </w:tc>
              <w:tc>
                <w:tcPr>
                  <w:tcW w:w="446" w:type="pct"/>
                  <w:tcBorders>
                    <w:tl2br w:val="nil"/>
                    <w:tr2bl w:val="nil"/>
                  </w:tcBorders>
                  <w:noWrap w:val="0"/>
                  <w:vAlign w:val="center"/>
                </w:tcPr>
                <w:p w14:paraId="39AF089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污染控制类型</w:t>
                  </w:r>
                </w:p>
              </w:tc>
              <w:tc>
                <w:tcPr>
                  <w:tcW w:w="3095" w:type="pct"/>
                  <w:gridSpan w:val="2"/>
                  <w:tcBorders>
                    <w:tl2br w:val="nil"/>
                    <w:tr2bl w:val="nil"/>
                  </w:tcBorders>
                  <w:noWrap w:val="0"/>
                  <w:vAlign w:val="center"/>
                </w:tcPr>
                <w:p w14:paraId="587D569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控制措施</w:t>
                  </w:r>
                </w:p>
              </w:tc>
              <w:tc>
                <w:tcPr>
                  <w:tcW w:w="1016" w:type="pct"/>
                  <w:tcBorders>
                    <w:tl2br w:val="nil"/>
                    <w:tr2bl w:val="nil"/>
                  </w:tcBorders>
                  <w:noWrap w:val="0"/>
                  <w:vAlign w:val="center"/>
                </w:tcPr>
                <w:p w14:paraId="75ED25A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总投资额（万元）</w:t>
                  </w:r>
                </w:p>
              </w:tc>
            </w:tr>
            <w:tr w14:paraId="48601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42" w:type="pct"/>
                  <w:vMerge w:val="restart"/>
                  <w:tcBorders>
                    <w:tl2br w:val="nil"/>
                    <w:tr2bl w:val="nil"/>
                  </w:tcBorders>
                  <w:noWrap w:val="0"/>
                  <w:vAlign w:val="center"/>
                </w:tcPr>
                <w:p w14:paraId="37921134">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施工期</w:t>
                  </w:r>
                </w:p>
              </w:tc>
              <w:tc>
                <w:tcPr>
                  <w:tcW w:w="446" w:type="pct"/>
                  <w:tcBorders>
                    <w:tl2br w:val="nil"/>
                    <w:tr2bl w:val="nil"/>
                  </w:tcBorders>
                  <w:noWrap w:val="0"/>
                  <w:vAlign w:val="center"/>
                </w:tcPr>
                <w:p w14:paraId="24277FD4">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废水</w:t>
                  </w:r>
                </w:p>
              </w:tc>
              <w:tc>
                <w:tcPr>
                  <w:tcW w:w="3095" w:type="pct"/>
                  <w:gridSpan w:val="2"/>
                  <w:tcBorders>
                    <w:tl2br w:val="nil"/>
                    <w:tr2bl w:val="nil"/>
                  </w:tcBorders>
                  <w:noWrap w:val="0"/>
                  <w:vAlign w:val="center"/>
                </w:tcPr>
                <w:p w14:paraId="24A7A06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施工垃圾桶</w:t>
                  </w:r>
                </w:p>
              </w:tc>
              <w:tc>
                <w:tcPr>
                  <w:tcW w:w="1016" w:type="pct"/>
                  <w:tcBorders>
                    <w:tl2br w:val="nil"/>
                    <w:tr2bl w:val="nil"/>
                  </w:tcBorders>
                  <w:noWrap w:val="0"/>
                  <w:vAlign w:val="center"/>
                </w:tcPr>
                <w:p w14:paraId="37C57934">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0.1</w:t>
                  </w:r>
                </w:p>
              </w:tc>
            </w:tr>
            <w:tr w14:paraId="6C2221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42" w:type="pct"/>
                  <w:vMerge w:val="continue"/>
                  <w:tcBorders>
                    <w:tl2br w:val="nil"/>
                    <w:tr2bl w:val="nil"/>
                  </w:tcBorders>
                  <w:noWrap w:val="0"/>
                  <w:vAlign w:val="center"/>
                </w:tcPr>
                <w:p w14:paraId="1732BA9A">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p>
              </w:tc>
              <w:tc>
                <w:tcPr>
                  <w:tcW w:w="446" w:type="pct"/>
                  <w:tcBorders>
                    <w:tl2br w:val="nil"/>
                    <w:tr2bl w:val="nil"/>
                  </w:tcBorders>
                  <w:noWrap w:val="0"/>
                  <w:vAlign w:val="center"/>
                </w:tcPr>
                <w:p w14:paraId="74D6F928">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废气</w:t>
                  </w:r>
                </w:p>
              </w:tc>
              <w:tc>
                <w:tcPr>
                  <w:tcW w:w="3095" w:type="pct"/>
                  <w:gridSpan w:val="2"/>
                  <w:tcBorders>
                    <w:tl2br w:val="nil"/>
                    <w:tr2bl w:val="nil"/>
                  </w:tcBorders>
                  <w:noWrap w:val="0"/>
                  <w:vAlign w:val="center"/>
                </w:tcPr>
                <w:p w14:paraId="5711650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施工现场围挡、</w:t>
                  </w: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施工材料苫盖、洒水抑尘措施</w:t>
                  </w:r>
                </w:p>
              </w:tc>
              <w:tc>
                <w:tcPr>
                  <w:tcW w:w="1016" w:type="pct"/>
                  <w:tcBorders>
                    <w:tl2br w:val="nil"/>
                    <w:tr2bl w:val="nil"/>
                  </w:tcBorders>
                  <w:noWrap w:val="0"/>
                  <w:vAlign w:val="center"/>
                </w:tcPr>
                <w:p w14:paraId="73A6397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0.1</w:t>
                  </w:r>
                </w:p>
              </w:tc>
            </w:tr>
            <w:tr w14:paraId="3BDE8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42" w:type="pct"/>
                  <w:vMerge w:val="continue"/>
                  <w:tcBorders>
                    <w:tl2br w:val="nil"/>
                    <w:tr2bl w:val="nil"/>
                  </w:tcBorders>
                  <w:noWrap w:val="0"/>
                  <w:vAlign w:val="center"/>
                </w:tcPr>
                <w:p w14:paraId="5CB57EC1">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p>
              </w:tc>
              <w:tc>
                <w:tcPr>
                  <w:tcW w:w="446" w:type="pct"/>
                  <w:tcBorders>
                    <w:tl2br w:val="nil"/>
                    <w:tr2bl w:val="nil"/>
                  </w:tcBorders>
                  <w:noWrap w:val="0"/>
                  <w:vAlign w:val="center"/>
                </w:tcPr>
                <w:p w14:paraId="3E7882E5">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噪声</w:t>
                  </w:r>
                </w:p>
              </w:tc>
              <w:tc>
                <w:tcPr>
                  <w:tcW w:w="3095" w:type="pct"/>
                  <w:gridSpan w:val="2"/>
                  <w:tcBorders>
                    <w:tl2br w:val="nil"/>
                    <w:tr2bl w:val="nil"/>
                  </w:tcBorders>
                  <w:noWrap w:val="0"/>
                  <w:vAlign w:val="center"/>
                </w:tcPr>
                <w:p w14:paraId="368527F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施工期设备的消声、减振措施</w:t>
                  </w:r>
                </w:p>
              </w:tc>
              <w:tc>
                <w:tcPr>
                  <w:tcW w:w="1016" w:type="pct"/>
                  <w:tcBorders>
                    <w:tl2br w:val="nil"/>
                    <w:tr2bl w:val="nil"/>
                  </w:tcBorders>
                  <w:noWrap w:val="0"/>
                  <w:vAlign w:val="center"/>
                </w:tcPr>
                <w:p w14:paraId="3FD6E3C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0.2</w:t>
                  </w:r>
                </w:p>
              </w:tc>
            </w:tr>
            <w:tr w14:paraId="151E6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42" w:type="pct"/>
                  <w:vMerge w:val="continue"/>
                  <w:tcBorders>
                    <w:tl2br w:val="nil"/>
                    <w:tr2bl w:val="nil"/>
                  </w:tcBorders>
                  <w:noWrap w:val="0"/>
                  <w:vAlign w:val="center"/>
                </w:tcPr>
                <w:p w14:paraId="083E02A4">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p>
              </w:tc>
              <w:tc>
                <w:tcPr>
                  <w:tcW w:w="446" w:type="pct"/>
                  <w:tcBorders>
                    <w:tl2br w:val="nil"/>
                    <w:tr2bl w:val="nil"/>
                  </w:tcBorders>
                  <w:noWrap w:val="0"/>
                  <w:vAlign w:val="center"/>
                </w:tcPr>
                <w:p w14:paraId="48F67D2E">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固废</w:t>
                  </w:r>
                </w:p>
              </w:tc>
              <w:tc>
                <w:tcPr>
                  <w:tcW w:w="3095" w:type="pct"/>
                  <w:gridSpan w:val="2"/>
                  <w:tcBorders>
                    <w:tl2br w:val="nil"/>
                    <w:tr2bl w:val="nil"/>
                  </w:tcBorders>
                  <w:noWrap w:val="0"/>
                  <w:vAlign w:val="center"/>
                </w:tcPr>
                <w:p w14:paraId="1788090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施工垃圾收集处置</w:t>
                  </w:r>
                </w:p>
              </w:tc>
              <w:tc>
                <w:tcPr>
                  <w:tcW w:w="1016" w:type="pct"/>
                  <w:tcBorders>
                    <w:tl2br w:val="nil"/>
                    <w:tr2bl w:val="nil"/>
                  </w:tcBorders>
                  <w:noWrap w:val="0"/>
                  <w:vAlign w:val="center"/>
                </w:tcPr>
                <w:p w14:paraId="0B5B6AAE">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0.2</w:t>
                  </w:r>
                </w:p>
              </w:tc>
            </w:tr>
            <w:tr w14:paraId="33B5D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42" w:type="pct"/>
                  <w:vMerge w:val="restart"/>
                  <w:tcBorders>
                    <w:tl2br w:val="nil"/>
                    <w:tr2bl w:val="nil"/>
                  </w:tcBorders>
                  <w:noWrap w:val="0"/>
                  <w:vAlign w:val="center"/>
                </w:tcPr>
                <w:p w14:paraId="1085C3BB">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运营期</w:t>
                  </w:r>
                </w:p>
              </w:tc>
              <w:tc>
                <w:tcPr>
                  <w:tcW w:w="446" w:type="pct"/>
                  <w:vMerge w:val="restart"/>
                  <w:tcBorders>
                    <w:tl2br w:val="nil"/>
                    <w:tr2bl w:val="nil"/>
                  </w:tcBorders>
                  <w:noWrap w:val="0"/>
                  <w:vAlign w:val="center"/>
                </w:tcPr>
                <w:p w14:paraId="150E4BD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废气污染控制</w:t>
                  </w:r>
                </w:p>
              </w:tc>
              <w:tc>
                <w:tcPr>
                  <w:tcW w:w="699" w:type="pct"/>
                  <w:tcBorders>
                    <w:tl2br w:val="nil"/>
                    <w:tr2bl w:val="nil"/>
                  </w:tcBorders>
                  <w:noWrap w:val="0"/>
                  <w:vAlign w:val="center"/>
                </w:tcPr>
                <w:p w14:paraId="2C316F0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制粒粉尘</w:t>
                  </w:r>
                </w:p>
              </w:tc>
              <w:tc>
                <w:tcPr>
                  <w:tcW w:w="2395" w:type="pct"/>
                  <w:tcBorders>
                    <w:tl2br w:val="nil"/>
                    <w:tr2bl w:val="nil"/>
                  </w:tcBorders>
                  <w:noWrap w:val="0"/>
                  <w:vAlign w:val="center"/>
                </w:tcPr>
                <w:p w14:paraId="13A0C34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集气罩+</w:t>
                  </w: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布袋</w:t>
                  </w: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除尘器+</w:t>
                  </w:r>
                  <w:r>
                    <w:rPr>
                      <w:rFonts w:hint="eastAsia" w:eastAsia="仿宋" w:cs="Times New Roman"/>
                      <w:color w:val="000000" w:themeColor="text1"/>
                      <w:kern w:val="2"/>
                      <w:sz w:val="21"/>
                      <w:szCs w:val="21"/>
                      <w:highlight w:val="none"/>
                      <w:u w:val="none"/>
                      <w:lang w:val="en-US" w:eastAsia="zh-CN" w:bidi="ar-SA"/>
                      <w14:textFill>
                        <w14:solidFill>
                          <w14:schemeClr w14:val="tx1"/>
                        </w14:solidFill>
                      </w14:textFill>
                    </w:rPr>
                    <w:t>16m</w:t>
                  </w: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高排气筒</w:t>
                  </w:r>
                </w:p>
              </w:tc>
              <w:tc>
                <w:tcPr>
                  <w:tcW w:w="1016" w:type="pct"/>
                  <w:tcBorders>
                    <w:tl2br w:val="nil"/>
                    <w:tr2bl w:val="nil"/>
                  </w:tcBorders>
                  <w:noWrap w:val="0"/>
                  <w:vAlign w:val="center"/>
                </w:tcPr>
                <w:p w14:paraId="3D95E9EE">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3</w:t>
                  </w:r>
                  <w:r>
                    <w:rPr>
                      <w:rFonts w:hint="eastAsia" w:eastAsia="仿宋" w:cs="Times New Roman"/>
                      <w:color w:val="000000" w:themeColor="text1"/>
                      <w:kern w:val="2"/>
                      <w:sz w:val="21"/>
                      <w:szCs w:val="21"/>
                      <w:highlight w:val="none"/>
                      <w:u w:val="none"/>
                      <w:lang w:val="en-US" w:eastAsia="zh-CN" w:bidi="ar-SA"/>
                      <w14:textFill>
                        <w14:solidFill>
                          <w14:schemeClr w14:val="tx1"/>
                        </w14:solidFill>
                      </w14:textFill>
                    </w:rPr>
                    <w:t>.0</w:t>
                  </w:r>
                </w:p>
              </w:tc>
            </w:tr>
            <w:tr w14:paraId="31098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442" w:type="pct"/>
                  <w:vMerge w:val="continue"/>
                  <w:tcBorders>
                    <w:tl2br w:val="nil"/>
                    <w:tr2bl w:val="nil"/>
                  </w:tcBorders>
                  <w:noWrap w:val="0"/>
                  <w:vAlign w:val="center"/>
                </w:tcPr>
                <w:p w14:paraId="1B6F5F4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p>
              </w:tc>
              <w:tc>
                <w:tcPr>
                  <w:tcW w:w="446" w:type="pct"/>
                  <w:vMerge w:val="continue"/>
                  <w:tcBorders>
                    <w:tl2br w:val="nil"/>
                    <w:tr2bl w:val="nil"/>
                  </w:tcBorders>
                  <w:noWrap w:val="0"/>
                  <w:vAlign w:val="center"/>
                </w:tcPr>
                <w:p w14:paraId="2202BBE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p>
              </w:tc>
              <w:tc>
                <w:tcPr>
                  <w:tcW w:w="699" w:type="pct"/>
                  <w:tcBorders>
                    <w:tl2br w:val="nil"/>
                    <w:tr2bl w:val="nil"/>
                  </w:tcBorders>
                  <w:noWrap w:val="0"/>
                  <w:vAlign w:val="center"/>
                </w:tcPr>
                <w:p w14:paraId="4D385D0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无组织</w:t>
                  </w:r>
                </w:p>
                <w:p w14:paraId="53BA775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粉尘</w:t>
                  </w:r>
                </w:p>
              </w:tc>
              <w:tc>
                <w:tcPr>
                  <w:tcW w:w="2395" w:type="pct"/>
                  <w:tcBorders>
                    <w:tl2br w:val="nil"/>
                    <w:tr2bl w:val="nil"/>
                  </w:tcBorders>
                  <w:noWrap w:val="0"/>
                  <w:vAlign w:val="center"/>
                </w:tcPr>
                <w:p w14:paraId="0022A2F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封闭车间，加强设备维护、定期进行打扫清理保持地面清洁，提高废气收集效率，减少无组织排放</w:t>
                  </w:r>
                </w:p>
              </w:tc>
              <w:tc>
                <w:tcPr>
                  <w:tcW w:w="1016" w:type="pct"/>
                  <w:tcBorders>
                    <w:tl2br w:val="nil"/>
                    <w:tr2bl w:val="nil"/>
                  </w:tcBorders>
                  <w:noWrap w:val="0"/>
                  <w:vAlign w:val="center"/>
                </w:tcPr>
                <w:p w14:paraId="2CAF930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1</w:t>
                  </w:r>
                </w:p>
              </w:tc>
            </w:tr>
            <w:tr w14:paraId="63397E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42" w:type="pct"/>
                  <w:vMerge w:val="continue"/>
                  <w:tcBorders>
                    <w:tl2br w:val="nil"/>
                    <w:tr2bl w:val="nil"/>
                  </w:tcBorders>
                  <w:noWrap w:val="0"/>
                  <w:vAlign w:val="center"/>
                </w:tcPr>
                <w:p w14:paraId="245F053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p>
              </w:tc>
              <w:tc>
                <w:tcPr>
                  <w:tcW w:w="446" w:type="pct"/>
                  <w:tcBorders>
                    <w:tl2br w:val="nil"/>
                    <w:tr2bl w:val="nil"/>
                  </w:tcBorders>
                  <w:noWrap w:val="0"/>
                  <w:vAlign w:val="center"/>
                </w:tcPr>
                <w:p w14:paraId="263970E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噪声控制</w:t>
                  </w:r>
                </w:p>
              </w:tc>
              <w:tc>
                <w:tcPr>
                  <w:tcW w:w="3095" w:type="pct"/>
                  <w:gridSpan w:val="2"/>
                  <w:tcBorders>
                    <w:tl2br w:val="nil"/>
                    <w:tr2bl w:val="nil"/>
                  </w:tcBorders>
                  <w:noWrap w:val="0"/>
                  <w:vAlign w:val="center"/>
                </w:tcPr>
                <w:p w14:paraId="7C3B4D0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结构隔声、基础减振、消声等措施</w:t>
                  </w:r>
                </w:p>
              </w:tc>
              <w:tc>
                <w:tcPr>
                  <w:tcW w:w="1016" w:type="pct"/>
                  <w:tcBorders>
                    <w:tl2br w:val="nil"/>
                    <w:tr2bl w:val="nil"/>
                  </w:tcBorders>
                  <w:noWrap w:val="0"/>
                  <w:vAlign w:val="center"/>
                </w:tcPr>
                <w:p w14:paraId="298F62D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1</w:t>
                  </w:r>
                </w:p>
              </w:tc>
            </w:tr>
            <w:tr w14:paraId="40EB0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42" w:type="pct"/>
                  <w:vMerge w:val="continue"/>
                  <w:tcBorders>
                    <w:tl2br w:val="nil"/>
                    <w:tr2bl w:val="nil"/>
                  </w:tcBorders>
                  <w:noWrap w:val="0"/>
                  <w:vAlign w:val="center"/>
                </w:tcPr>
                <w:p w14:paraId="4C579FB4">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p>
              </w:tc>
              <w:tc>
                <w:tcPr>
                  <w:tcW w:w="446" w:type="pct"/>
                  <w:vMerge w:val="restart"/>
                  <w:tcBorders>
                    <w:tl2br w:val="nil"/>
                    <w:tr2bl w:val="nil"/>
                  </w:tcBorders>
                  <w:noWrap w:val="0"/>
                  <w:vAlign w:val="center"/>
                </w:tcPr>
                <w:p w14:paraId="1001FA8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固体废物处置</w:t>
                  </w:r>
                </w:p>
              </w:tc>
              <w:tc>
                <w:tcPr>
                  <w:tcW w:w="699" w:type="pct"/>
                  <w:tcBorders>
                    <w:tl2br w:val="nil"/>
                    <w:tr2bl w:val="nil"/>
                  </w:tcBorders>
                  <w:noWrap w:val="0"/>
                  <w:vAlign w:val="center"/>
                </w:tcPr>
                <w:p w14:paraId="6B184FD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生活垃圾</w:t>
                  </w:r>
                </w:p>
              </w:tc>
              <w:tc>
                <w:tcPr>
                  <w:tcW w:w="2395" w:type="pct"/>
                  <w:tcBorders>
                    <w:tl2br w:val="nil"/>
                    <w:tr2bl w:val="nil"/>
                  </w:tcBorders>
                  <w:noWrap w:val="0"/>
                  <w:vAlign w:val="center"/>
                </w:tcPr>
                <w:p w14:paraId="65997A04">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垃圾桶</w:t>
                  </w:r>
                </w:p>
              </w:tc>
              <w:tc>
                <w:tcPr>
                  <w:tcW w:w="1016" w:type="pct"/>
                  <w:tcBorders>
                    <w:tl2br w:val="nil"/>
                    <w:tr2bl w:val="nil"/>
                  </w:tcBorders>
                  <w:noWrap w:val="0"/>
                  <w:vAlign w:val="center"/>
                </w:tcPr>
                <w:p w14:paraId="2371B57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0.5</w:t>
                  </w:r>
                </w:p>
              </w:tc>
            </w:tr>
            <w:tr w14:paraId="1933A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42" w:type="pct"/>
                  <w:vMerge w:val="continue"/>
                  <w:tcBorders>
                    <w:tl2br w:val="nil"/>
                    <w:tr2bl w:val="nil"/>
                  </w:tcBorders>
                  <w:noWrap w:val="0"/>
                  <w:vAlign w:val="center"/>
                </w:tcPr>
                <w:p w14:paraId="1AB2458E">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p>
              </w:tc>
              <w:tc>
                <w:tcPr>
                  <w:tcW w:w="446" w:type="pct"/>
                  <w:vMerge w:val="continue"/>
                  <w:tcBorders>
                    <w:tl2br w:val="nil"/>
                    <w:tr2bl w:val="nil"/>
                  </w:tcBorders>
                  <w:noWrap w:val="0"/>
                  <w:vAlign w:val="center"/>
                </w:tcPr>
                <w:p w14:paraId="2A7D675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p>
              </w:tc>
              <w:tc>
                <w:tcPr>
                  <w:tcW w:w="699" w:type="pct"/>
                  <w:tcBorders>
                    <w:tl2br w:val="nil"/>
                    <w:tr2bl w:val="nil"/>
                  </w:tcBorders>
                  <w:noWrap w:val="0"/>
                  <w:vAlign w:val="center"/>
                </w:tcPr>
                <w:p w14:paraId="65AA243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危废暂存间</w:t>
                  </w:r>
                </w:p>
              </w:tc>
              <w:tc>
                <w:tcPr>
                  <w:tcW w:w="2395" w:type="pct"/>
                  <w:tcBorders>
                    <w:tl2br w:val="nil"/>
                    <w:tr2bl w:val="nil"/>
                  </w:tcBorders>
                  <w:noWrap w:val="0"/>
                  <w:vAlign w:val="center"/>
                </w:tcPr>
                <w:p w14:paraId="40251C9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防渗处理</w:t>
                  </w:r>
                </w:p>
              </w:tc>
              <w:tc>
                <w:tcPr>
                  <w:tcW w:w="1016" w:type="pct"/>
                  <w:tcBorders>
                    <w:tl2br w:val="nil"/>
                    <w:tr2bl w:val="nil"/>
                  </w:tcBorders>
                  <w:noWrap w:val="0"/>
                  <w:vAlign w:val="center"/>
                </w:tcPr>
                <w:p w14:paraId="1588C9CF">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1</w:t>
                  </w:r>
                </w:p>
              </w:tc>
            </w:tr>
            <w:tr w14:paraId="0CF1B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42" w:type="pct"/>
                  <w:vMerge w:val="continue"/>
                  <w:tcBorders>
                    <w:tl2br w:val="nil"/>
                    <w:tr2bl w:val="nil"/>
                  </w:tcBorders>
                  <w:noWrap w:val="0"/>
                  <w:vAlign w:val="center"/>
                </w:tcPr>
                <w:p w14:paraId="6C956FF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p>
              </w:tc>
              <w:tc>
                <w:tcPr>
                  <w:tcW w:w="6011" w:type="dxa"/>
                  <w:gridSpan w:val="3"/>
                  <w:tcBorders>
                    <w:tl2br w:val="nil"/>
                    <w:tr2bl w:val="nil"/>
                  </w:tcBorders>
                  <w:noWrap w:val="0"/>
                  <w:vAlign w:val="center"/>
                </w:tcPr>
                <w:p w14:paraId="0AC7E481">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例行监测费用</w:t>
                  </w:r>
                </w:p>
              </w:tc>
              <w:tc>
                <w:tcPr>
                  <w:tcW w:w="1016" w:type="pct"/>
                  <w:tcBorders>
                    <w:tl2br w:val="nil"/>
                    <w:tr2bl w:val="nil"/>
                  </w:tcBorders>
                  <w:noWrap w:val="0"/>
                  <w:vAlign w:val="center"/>
                </w:tcPr>
                <w:p w14:paraId="785F899B">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0.4</w:t>
                  </w:r>
                </w:p>
              </w:tc>
            </w:tr>
            <w:tr w14:paraId="7C1427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42" w:type="pct"/>
                  <w:vMerge w:val="continue"/>
                  <w:tcBorders>
                    <w:tl2br w:val="nil"/>
                    <w:tr2bl w:val="nil"/>
                  </w:tcBorders>
                  <w:noWrap w:val="0"/>
                  <w:vAlign w:val="center"/>
                </w:tcPr>
                <w:p w14:paraId="565A38B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p>
              </w:tc>
              <w:tc>
                <w:tcPr>
                  <w:tcW w:w="6011" w:type="dxa"/>
                  <w:gridSpan w:val="3"/>
                  <w:tcBorders>
                    <w:tl2br w:val="nil"/>
                    <w:tr2bl w:val="nil"/>
                  </w:tcBorders>
                  <w:noWrap w:val="0"/>
                  <w:vAlign w:val="center"/>
                </w:tcPr>
                <w:p w14:paraId="430E3AA4">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环保设施运行维护费用</w:t>
                  </w:r>
                </w:p>
              </w:tc>
              <w:tc>
                <w:tcPr>
                  <w:tcW w:w="1016" w:type="pct"/>
                  <w:tcBorders>
                    <w:tl2br w:val="nil"/>
                    <w:tr2bl w:val="nil"/>
                  </w:tcBorders>
                  <w:noWrap w:val="0"/>
                  <w:vAlign w:val="center"/>
                </w:tcPr>
                <w:p w14:paraId="7AFD174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0.2</w:t>
                  </w:r>
                </w:p>
              </w:tc>
            </w:tr>
            <w:tr w14:paraId="0D1F4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983" w:type="pct"/>
                  <w:gridSpan w:val="4"/>
                  <w:tcBorders>
                    <w:tl2br w:val="nil"/>
                    <w:tr2bl w:val="nil"/>
                  </w:tcBorders>
                  <w:noWrap w:val="0"/>
                  <w:vAlign w:val="center"/>
                </w:tcPr>
                <w:p w14:paraId="44F06D1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合计</w:t>
                  </w:r>
                </w:p>
              </w:tc>
              <w:tc>
                <w:tcPr>
                  <w:tcW w:w="1016" w:type="pct"/>
                  <w:tcBorders>
                    <w:tl2br w:val="nil"/>
                    <w:tr2bl w:val="nil"/>
                  </w:tcBorders>
                  <w:noWrap w:val="0"/>
                  <w:vAlign w:val="center"/>
                </w:tcPr>
                <w:p w14:paraId="15A68F5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10</w:t>
                  </w:r>
                </w:p>
              </w:tc>
            </w:tr>
          </w:tbl>
          <w:p w14:paraId="3FE2C742">
            <w:pPr>
              <w:spacing w:line="360" w:lineRule="auto"/>
              <w:rPr>
                <w:rFonts w:hint="default" w:ascii="Times New Roman" w:hAnsi="Times New Roman" w:eastAsia="仿宋" w:cs="Times New Roman"/>
                <w:color w:val="000000" w:themeColor="text1"/>
                <w:highlight w:val="none"/>
                <w:u w:val="none"/>
                <w:lang w:val="en-US" w:eastAsia="zh-CN"/>
                <w14:textFill>
                  <w14:solidFill>
                    <w14:schemeClr w14:val="tx1"/>
                  </w14:solidFill>
                </w14:textFill>
              </w:rPr>
            </w:pPr>
          </w:p>
        </w:tc>
      </w:tr>
    </w:tbl>
    <w:p w14:paraId="0C0D3958">
      <w:pPr>
        <w:adjustRightInd w:val="0"/>
        <w:snapToGrid w:val="0"/>
        <w:spacing w:line="360" w:lineRule="auto"/>
        <w:rPr>
          <w:rFonts w:hint="default" w:ascii="Times New Roman" w:hAnsi="Times New Roman" w:eastAsia="仿宋" w:cs="Times New Roman"/>
          <w:b/>
          <w:color w:val="000000" w:themeColor="text1"/>
          <w:kern w:val="0"/>
          <w:sz w:val="28"/>
          <w:szCs w:val="28"/>
          <w:highlight w:val="none"/>
          <w:u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27B12D7">
      <w:pPr>
        <w:pStyle w:val="21"/>
        <w:jc w:val="center"/>
        <w:outlineLvl w:val="0"/>
        <w:rPr>
          <w:rFonts w:hint="default" w:ascii="Times New Roman" w:hAnsi="Times New Roman" w:eastAsia="仿宋" w:cs="Times New Roman"/>
          <w:snapToGrid w:val="0"/>
          <w:color w:val="000000" w:themeColor="text1"/>
          <w:sz w:val="30"/>
          <w:szCs w:val="30"/>
          <w:highlight w:val="none"/>
          <w:u w:val="none"/>
          <w14:textFill>
            <w14:solidFill>
              <w14:schemeClr w14:val="tx1"/>
            </w14:solidFill>
          </w14:textFill>
        </w:rPr>
      </w:pPr>
      <w:bookmarkStart w:id="8" w:name="_Toc19420"/>
      <w:r>
        <w:rPr>
          <w:rFonts w:hint="default" w:ascii="Times New Roman" w:hAnsi="Times New Roman" w:eastAsia="仿宋" w:cs="Times New Roman"/>
          <w:snapToGrid w:val="0"/>
          <w:color w:val="000000" w:themeColor="text1"/>
          <w:sz w:val="30"/>
          <w:szCs w:val="30"/>
          <w:highlight w:val="none"/>
          <w:u w:val="none"/>
          <w14:textFill>
            <w14:solidFill>
              <w14:schemeClr w14:val="tx1"/>
            </w14:solidFill>
          </w14:textFill>
        </w:rPr>
        <w:t>五、</w:t>
      </w:r>
      <w:bookmarkStart w:id="9" w:name="_Hlk54167917"/>
      <w:r>
        <w:rPr>
          <w:rFonts w:hint="default" w:ascii="Times New Roman" w:hAnsi="Times New Roman" w:eastAsia="仿宋" w:cs="Times New Roman"/>
          <w:snapToGrid w:val="0"/>
          <w:color w:val="000000" w:themeColor="text1"/>
          <w:sz w:val="30"/>
          <w:szCs w:val="30"/>
          <w:highlight w:val="none"/>
          <w:u w:val="none"/>
          <w14:textFill>
            <w14:solidFill>
              <w14:schemeClr w14:val="tx1"/>
            </w14:solidFill>
          </w14:textFill>
        </w:rPr>
        <w:t>环境保护措施监督检查清单</w:t>
      </w:r>
      <w:bookmarkEnd w:id="8"/>
      <w:bookmarkEnd w:id="9"/>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657"/>
        <w:gridCol w:w="858"/>
        <w:gridCol w:w="1291"/>
        <w:gridCol w:w="2488"/>
        <w:gridCol w:w="2368"/>
      </w:tblGrid>
      <w:tr w14:paraId="09F0B1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38" w:type="dxa"/>
            <w:tcBorders>
              <w:tl2br w:val="single" w:color="auto" w:sz="4" w:space="0"/>
            </w:tcBorders>
            <w:noWrap w:val="0"/>
            <w:vAlign w:val="top"/>
          </w:tcPr>
          <w:p w14:paraId="26935C94">
            <w:pPr>
              <w:adjustRightInd w:val="0"/>
              <w:snapToGrid w:val="0"/>
              <w:ind w:firstLine="420" w:firstLineChars="200"/>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内容</w:t>
            </w:r>
          </w:p>
          <w:p w14:paraId="683E7803">
            <w:pPr>
              <w:adjustRightInd w:val="0"/>
              <w:snapToGrid w:val="0"/>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要素</w:t>
            </w:r>
          </w:p>
        </w:tc>
        <w:tc>
          <w:tcPr>
            <w:tcW w:w="1515" w:type="dxa"/>
            <w:gridSpan w:val="2"/>
            <w:noWrap w:val="0"/>
            <w:vAlign w:val="center"/>
          </w:tcPr>
          <w:p w14:paraId="1A359092">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排放口</w:t>
            </w:r>
            <w:r>
              <w:rPr>
                <w:rFonts w:hint="eastAsia" w:eastAsia="仿宋" w:cs="Times New Roman"/>
                <w:color w:val="000000" w:themeColor="text1"/>
                <w:szCs w:val="21"/>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Cs w:val="21"/>
                <w:highlight w:val="none"/>
                <w:u w:val="none"/>
                <w14:textFill>
                  <w14:solidFill>
                    <w14:schemeClr w14:val="tx1"/>
                  </w14:solidFill>
                </w14:textFill>
              </w:rPr>
              <w:t>编号、名称</w:t>
            </w:r>
            <w:r>
              <w:rPr>
                <w:rFonts w:hint="eastAsia" w:eastAsia="仿宋" w:cs="Times New Roman"/>
                <w:color w:val="000000" w:themeColor="text1"/>
                <w:szCs w:val="21"/>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Cs w:val="21"/>
                <w:highlight w:val="none"/>
                <w:u w:val="none"/>
                <w14:textFill>
                  <w14:solidFill>
                    <w14:schemeClr w14:val="tx1"/>
                  </w14:solidFill>
                </w14:textFill>
              </w:rPr>
              <w:t>/污染源</w:t>
            </w:r>
          </w:p>
        </w:tc>
        <w:tc>
          <w:tcPr>
            <w:tcW w:w="1291" w:type="dxa"/>
            <w:noWrap w:val="0"/>
            <w:vAlign w:val="center"/>
          </w:tcPr>
          <w:p w14:paraId="79055B5E">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污染物项目</w:t>
            </w:r>
          </w:p>
        </w:tc>
        <w:tc>
          <w:tcPr>
            <w:tcW w:w="2488" w:type="dxa"/>
            <w:noWrap w:val="0"/>
            <w:vAlign w:val="center"/>
          </w:tcPr>
          <w:p w14:paraId="142C9C08">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环境保护措施</w:t>
            </w:r>
          </w:p>
        </w:tc>
        <w:tc>
          <w:tcPr>
            <w:tcW w:w="2368" w:type="dxa"/>
            <w:noWrap w:val="0"/>
            <w:vAlign w:val="center"/>
          </w:tcPr>
          <w:p w14:paraId="5A238ADE">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执行标准</w:t>
            </w:r>
          </w:p>
        </w:tc>
      </w:tr>
      <w:tr w14:paraId="6F085F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38" w:type="dxa"/>
            <w:vMerge w:val="restart"/>
            <w:noWrap w:val="0"/>
            <w:vAlign w:val="center"/>
          </w:tcPr>
          <w:p w14:paraId="625E1708">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大气环境</w:t>
            </w:r>
          </w:p>
        </w:tc>
        <w:tc>
          <w:tcPr>
            <w:tcW w:w="657" w:type="dxa"/>
            <w:noWrap w:val="0"/>
            <w:vAlign w:val="center"/>
          </w:tcPr>
          <w:p w14:paraId="6A55994F">
            <w:pPr>
              <w:adjustRightInd w:val="0"/>
              <w:snapToGrid w:val="0"/>
              <w:jc w:val="cente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有组织</w:t>
            </w:r>
          </w:p>
        </w:tc>
        <w:tc>
          <w:tcPr>
            <w:tcW w:w="858" w:type="dxa"/>
            <w:noWrap w:val="0"/>
            <w:vAlign w:val="center"/>
          </w:tcPr>
          <w:p w14:paraId="08BF2C2C">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DA00</w:t>
            </w: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1</w:t>
            </w:r>
          </w:p>
        </w:tc>
        <w:tc>
          <w:tcPr>
            <w:tcW w:w="1291" w:type="dxa"/>
            <w:noWrap w:val="0"/>
            <w:vAlign w:val="center"/>
          </w:tcPr>
          <w:p w14:paraId="36F53AE8">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颗粒物</w:t>
            </w:r>
          </w:p>
        </w:tc>
        <w:tc>
          <w:tcPr>
            <w:tcW w:w="2488" w:type="dxa"/>
            <w:noWrap w:val="0"/>
            <w:vAlign w:val="center"/>
          </w:tcPr>
          <w:p w14:paraId="2B1E9A8B">
            <w:pPr>
              <w:pStyle w:val="12"/>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集气罩+布袋除尘器+</w:t>
            </w: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w:t>
            </w:r>
            <w:r>
              <w:rPr>
                <w:rFonts w:hint="eastAsia" w:eastAsia="仿宋" w:cs="Times New Roman"/>
                <w:color w:val="000000" w:themeColor="text1"/>
                <w:kern w:val="2"/>
                <w:sz w:val="21"/>
                <w:szCs w:val="21"/>
                <w:highlight w:val="none"/>
                <w:u w:val="none"/>
                <w:lang w:val="en-US" w:eastAsia="zh-CN" w:bidi="ar-SA"/>
                <w14:textFill>
                  <w14:solidFill>
                    <w14:schemeClr w14:val="tx1"/>
                  </w14:solidFill>
                </w14:textFill>
              </w:rPr>
              <w:t>16m</w:t>
            </w: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高排气筒（DA001）。</w:t>
            </w:r>
          </w:p>
        </w:tc>
        <w:tc>
          <w:tcPr>
            <w:tcW w:w="2368" w:type="dxa"/>
            <w:noWrap w:val="0"/>
            <w:vAlign w:val="center"/>
          </w:tcPr>
          <w:p w14:paraId="5F2EE50F">
            <w:pPr>
              <w:adjustRightInd w:val="0"/>
              <w:snapToGrid w:val="0"/>
              <w:jc w:val="center"/>
              <w:rPr>
                <w:rFonts w:hint="default" w:ascii="Times New Roman" w:hAnsi="Times New Roman" w:eastAsia="仿宋" w:cs="Times New Roman"/>
                <w:color w:val="000000" w:themeColor="text1"/>
                <w:szCs w:val="21"/>
                <w:highlight w:val="none"/>
                <w:u w:val="none"/>
                <w:lang w:val="en-US"/>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执行《大气污染物综合排放标准》（GB16297-1996）表2标准；</w:t>
            </w:r>
          </w:p>
        </w:tc>
      </w:tr>
      <w:tr w14:paraId="43F0BB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1138" w:type="dxa"/>
            <w:vMerge w:val="continue"/>
            <w:noWrap w:val="0"/>
            <w:vAlign w:val="center"/>
          </w:tcPr>
          <w:p w14:paraId="54DC61E2">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p>
        </w:tc>
        <w:tc>
          <w:tcPr>
            <w:tcW w:w="657" w:type="dxa"/>
            <w:noWrap w:val="0"/>
            <w:vAlign w:val="center"/>
          </w:tcPr>
          <w:p w14:paraId="2E716BEB">
            <w:pPr>
              <w:adjustRightInd w:val="0"/>
              <w:snapToGrid w:val="0"/>
              <w:jc w:val="cente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无组织</w:t>
            </w:r>
          </w:p>
        </w:tc>
        <w:tc>
          <w:tcPr>
            <w:tcW w:w="858" w:type="dxa"/>
            <w:noWrap w:val="0"/>
            <w:vAlign w:val="center"/>
          </w:tcPr>
          <w:p w14:paraId="5289AEC2">
            <w:pPr>
              <w:adjustRightInd w:val="0"/>
              <w:snapToGrid w:val="0"/>
              <w:jc w:val="cente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厂界</w:t>
            </w:r>
          </w:p>
        </w:tc>
        <w:tc>
          <w:tcPr>
            <w:tcW w:w="1291" w:type="dxa"/>
            <w:noWrap w:val="0"/>
            <w:vAlign w:val="center"/>
          </w:tcPr>
          <w:p w14:paraId="3BDD151F">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颗粒物</w:t>
            </w:r>
          </w:p>
        </w:tc>
        <w:tc>
          <w:tcPr>
            <w:tcW w:w="2488" w:type="dxa"/>
            <w:noWrap w:val="0"/>
            <w:vAlign w:val="center"/>
          </w:tcPr>
          <w:p w14:paraId="5BABEAB2">
            <w:pPr>
              <w:adjustRightInd w:val="0"/>
              <w:snapToGrid w:val="0"/>
              <w:jc w:val="cente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封闭车间，加强设备维护、定期进行打扫清理保持地面清洁，提高废气收集效率，减少无组织排放</w:t>
            </w:r>
          </w:p>
        </w:tc>
        <w:tc>
          <w:tcPr>
            <w:tcW w:w="2368" w:type="dxa"/>
            <w:noWrap w:val="0"/>
            <w:vAlign w:val="center"/>
          </w:tcPr>
          <w:p w14:paraId="58C74651">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《大气污染物综合排放标准》（GB16297-1996）</w:t>
            </w:r>
            <w:r>
              <w:rPr>
                <w:rFonts w:hint="default" w:ascii="Times New Roman" w:hAnsi="Times New Roman" w:eastAsia="仿宋" w:cs="Times New Roman"/>
                <w:color w:val="000000" w:themeColor="text1"/>
                <w:highlight w:val="none"/>
                <w:u w:val="none"/>
                <w14:textFill>
                  <w14:solidFill>
                    <w14:schemeClr w14:val="tx1"/>
                  </w14:solidFill>
                </w14:textFill>
              </w:rPr>
              <w:t>无组织排放监控浓度限值要求</w:t>
            </w:r>
          </w:p>
        </w:tc>
      </w:tr>
      <w:tr w14:paraId="2605E3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38" w:type="dxa"/>
            <w:noWrap w:val="0"/>
            <w:vAlign w:val="center"/>
          </w:tcPr>
          <w:p w14:paraId="163B4DDE">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地表水环境</w:t>
            </w:r>
          </w:p>
        </w:tc>
        <w:tc>
          <w:tcPr>
            <w:tcW w:w="1515" w:type="dxa"/>
            <w:gridSpan w:val="2"/>
            <w:noWrap w:val="0"/>
            <w:vAlign w:val="center"/>
          </w:tcPr>
          <w:p w14:paraId="06756201">
            <w:pPr>
              <w:adjustRightInd w:val="0"/>
              <w:snapToGrid w:val="0"/>
              <w:jc w:val="center"/>
              <w:rPr>
                <w:rFonts w:hint="default" w:ascii="Times New Roman" w:hAnsi="Times New Roman" w:eastAsia="仿宋" w:cs="Times New Roman"/>
                <w:color w:val="000000" w:themeColor="text1"/>
                <w:szCs w:val="21"/>
                <w:highlight w:val="none"/>
                <w:u w:val="none"/>
                <w:lang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t>生活污水</w:t>
            </w:r>
          </w:p>
        </w:tc>
        <w:tc>
          <w:tcPr>
            <w:tcW w:w="1291" w:type="dxa"/>
            <w:noWrap w:val="0"/>
            <w:vAlign w:val="center"/>
          </w:tcPr>
          <w:p w14:paraId="0F41216C">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pH、</w:t>
            </w:r>
          </w:p>
          <w:p w14:paraId="761A8150">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CODCr、</w:t>
            </w:r>
          </w:p>
          <w:p w14:paraId="7D68FCDE">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BOD</w:t>
            </w:r>
            <w:r>
              <w:rPr>
                <w:rFonts w:hint="default" w:ascii="Times New Roman" w:hAnsi="Times New Roman" w:eastAsia="仿宋" w:cs="Times New Roman"/>
                <w:color w:val="000000" w:themeColor="text1"/>
                <w:szCs w:val="21"/>
                <w:highlight w:val="none"/>
                <w:u w:val="none"/>
                <w:vertAlign w:val="subscript"/>
                <w14:textFill>
                  <w14:solidFill>
                    <w14:schemeClr w14:val="tx1"/>
                  </w14:solidFill>
                </w14:textFill>
              </w:rPr>
              <w:t>5</w:t>
            </w:r>
            <w:r>
              <w:rPr>
                <w:rFonts w:hint="default" w:ascii="Times New Roman" w:hAnsi="Times New Roman" w:eastAsia="仿宋" w:cs="Times New Roman"/>
                <w:color w:val="000000" w:themeColor="text1"/>
                <w:szCs w:val="21"/>
                <w:highlight w:val="none"/>
                <w:u w:val="none"/>
                <w14:textFill>
                  <w14:solidFill>
                    <w14:schemeClr w14:val="tx1"/>
                  </w14:solidFill>
                </w14:textFill>
              </w:rPr>
              <w:t>、</w:t>
            </w:r>
          </w:p>
          <w:p w14:paraId="123AF21F">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SS、氨氮</w:t>
            </w:r>
          </w:p>
        </w:tc>
        <w:tc>
          <w:tcPr>
            <w:tcW w:w="2488" w:type="dxa"/>
            <w:noWrap w:val="0"/>
            <w:vAlign w:val="center"/>
          </w:tcPr>
          <w:p w14:paraId="1DEBB893">
            <w:pPr>
              <w:adjustRightInd w:val="0"/>
              <w:snapToGrid w:val="0"/>
              <w:jc w:val="center"/>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Cs w:val="21"/>
                <w:highlight w:val="none"/>
                <w:u w:val="none"/>
                <w:lang w:val="en-US" w:eastAsia="zh-CN"/>
                <w14:textFill>
                  <w14:solidFill>
                    <w14:schemeClr w14:val="tx1"/>
                  </w14:solidFill>
                </w14:textFill>
              </w:rPr>
              <w:t>防渗旱厕，定期清掏，外运堆肥</w:t>
            </w:r>
          </w:p>
        </w:tc>
        <w:tc>
          <w:tcPr>
            <w:tcW w:w="2368" w:type="dxa"/>
            <w:noWrap w:val="0"/>
            <w:vAlign w:val="center"/>
          </w:tcPr>
          <w:p w14:paraId="128C0C68">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w:t>
            </w:r>
          </w:p>
        </w:tc>
      </w:tr>
      <w:tr w14:paraId="34C12D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138" w:type="dxa"/>
            <w:noWrap w:val="0"/>
            <w:vAlign w:val="center"/>
          </w:tcPr>
          <w:p w14:paraId="691CDC05">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声环境</w:t>
            </w:r>
          </w:p>
        </w:tc>
        <w:tc>
          <w:tcPr>
            <w:tcW w:w="1515" w:type="dxa"/>
            <w:gridSpan w:val="2"/>
            <w:noWrap w:val="0"/>
            <w:vAlign w:val="center"/>
          </w:tcPr>
          <w:p w14:paraId="089491B9">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厂界噪声</w:t>
            </w:r>
          </w:p>
        </w:tc>
        <w:tc>
          <w:tcPr>
            <w:tcW w:w="1291" w:type="dxa"/>
            <w:noWrap w:val="0"/>
            <w:vAlign w:val="center"/>
          </w:tcPr>
          <w:p w14:paraId="454D61A6">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等效连续A声级</w:t>
            </w:r>
          </w:p>
        </w:tc>
        <w:tc>
          <w:tcPr>
            <w:tcW w:w="2488" w:type="dxa"/>
            <w:noWrap w:val="0"/>
            <w:vAlign w:val="center"/>
          </w:tcPr>
          <w:p w14:paraId="4EFACBF9">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采用低噪声设备、采取减振、隔声等措施</w:t>
            </w:r>
          </w:p>
        </w:tc>
        <w:tc>
          <w:tcPr>
            <w:tcW w:w="2368" w:type="dxa"/>
            <w:noWrap w:val="0"/>
            <w:vAlign w:val="center"/>
          </w:tcPr>
          <w:p w14:paraId="0CF70801">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highlight w:val="none"/>
                <w:u w:val="none"/>
                <w14:textFill>
                  <w14:solidFill>
                    <w14:schemeClr w14:val="tx1"/>
                  </w14:solidFill>
                </w14:textFill>
              </w:rPr>
              <w:t>《工业企业厂界环境噪声排放标准》（GB12348-2008）2类</w:t>
            </w:r>
          </w:p>
        </w:tc>
      </w:tr>
      <w:tr w14:paraId="4C0568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38" w:type="dxa"/>
            <w:noWrap w:val="0"/>
            <w:vAlign w:val="center"/>
          </w:tcPr>
          <w:p w14:paraId="2F1548F0">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电磁辐射</w:t>
            </w:r>
          </w:p>
        </w:tc>
        <w:tc>
          <w:tcPr>
            <w:tcW w:w="1515" w:type="dxa"/>
            <w:gridSpan w:val="2"/>
            <w:noWrap w:val="0"/>
            <w:vAlign w:val="center"/>
          </w:tcPr>
          <w:p w14:paraId="50599A6C">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w:t>
            </w:r>
          </w:p>
        </w:tc>
        <w:tc>
          <w:tcPr>
            <w:tcW w:w="1291" w:type="dxa"/>
            <w:noWrap w:val="0"/>
            <w:vAlign w:val="center"/>
          </w:tcPr>
          <w:p w14:paraId="02F1687F">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w:t>
            </w:r>
          </w:p>
        </w:tc>
        <w:tc>
          <w:tcPr>
            <w:tcW w:w="2488" w:type="dxa"/>
            <w:noWrap w:val="0"/>
            <w:vAlign w:val="center"/>
          </w:tcPr>
          <w:p w14:paraId="3249312A">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w:t>
            </w:r>
          </w:p>
        </w:tc>
        <w:tc>
          <w:tcPr>
            <w:tcW w:w="2368" w:type="dxa"/>
            <w:noWrap w:val="0"/>
            <w:vAlign w:val="center"/>
          </w:tcPr>
          <w:p w14:paraId="2A424C70">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w:t>
            </w:r>
          </w:p>
        </w:tc>
      </w:tr>
      <w:tr w14:paraId="370977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38" w:type="dxa"/>
            <w:noWrap w:val="0"/>
            <w:vAlign w:val="center"/>
          </w:tcPr>
          <w:p w14:paraId="51354A39">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固体废物</w:t>
            </w:r>
          </w:p>
        </w:tc>
        <w:tc>
          <w:tcPr>
            <w:tcW w:w="7662" w:type="dxa"/>
            <w:gridSpan w:val="5"/>
            <w:noWrap w:val="0"/>
            <w:vAlign w:val="center"/>
          </w:tcPr>
          <w:p w14:paraId="49D8C3BA">
            <w:pPr>
              <w:adjustRightInd w:val="0"/>
              <w:snapToGrid w:val="0"/>
              <w:jc w:val="center"/>
              <w:rPr>
                <w:rFonts w:hint="default" w:ascii="Times New Roman" w:hAnsi="Times New Roman" w:eastAsia="仿宋" w:cs="Times New Roman"/>
                <w:color w:val="000000" w:themeColor="text1"/>
                <w:szCs w:val="21"/>
                <w:highlight w:val="none"/>
                <w:u w:val="none"/>
                <w:lang w:eastAsia="zh-CN"/>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收集粉尘后回用于生产；生活垃圾收集后交由环卫部门统一清运</w:t>
            </w:r>
            <w:r>
              <w:rPr>
                <w:rFonts w:hint="default" w:ascii="Times New Roman" w:hAnsi="Times New Roman" w:eastAsia="仿宋" w:cs="Times New Roman"/>
                <w:color w:val="000000" w:themeColor="text1"/>
                <w:szCs w:val="21"/>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Cs w:val="21"/>
                <w:highlight w:val="none"/>
                <w:u w:val="none"/>
                <w14:textFill>
                  <w14:solidFill>
                    <w14:schemeClr w14:val="tx1"/>
                  </w14:solidFill>
                </w14:textFill>
              </w:rPr>
              <w:t>废润滑油</w:t>
            </w:r>
            <w:r>
              <w:rPr>
                <w:rFonts w:hint="eastAsia" w:ascii="Times New Roman" w:hAnsi="Times New Roman" w:eastAsia="仿宋" w:cs="Times New Roman"/>
                <w:color w:val="000000" w:themeColor="text1"/>
                <w:szCs w:val="21"/>
                <w:highlight w:val="none"/>
                <w:u w:val="none"/>
                <w:lang w:eastAsia="zh-CN"/>
                <w14:textFill>
                  <w14:solidFill>
                    <w14:schemeClr w14:val="tx1"/>
                  </w14:solidFill>
                </w14:textFill>
              </w:rPr>
              <w:t>（</w:t>
            </w:r>
            <w:r>
              <w:rPr>
                <w:rFonts w:hint="eastAsia" w:ascii="Times New Roman" w:hAnsi="Times New Roman" w:eastAsia="仿宋" w:cs="Times New Roman"/>
                <w:color w:val="000000" w:themeColor="text1"/>
                <w:szCs w:val="21"/>
                <w:highlight w:val="none"/>
                <w:u w:val="none"/>
                <w:lang w:val="en-US" w:eastAsia="zh-CN"/>
                <w14:textFill>
                  <w14:solidFill>
                    <w14:schemeClr w14:val="tx1"/>
                  </w14:solidFill>
                </w14:textFill>
              </w:rPr>
              <w:t>废机油</w:t>
            </w:r>
            <w:r>
              <w:rPr>
                <w:rFonts w:hint="eastAsia" w:ascii="Times New Roman" w:hAnsi="Times New Roman" w:eastAsia="仿宋" w:cs="Times New Roman"/>
                <w:color w:val="000000" w:themeColor="text1"/>
                <w:szCs w:val="21"/>
                <w:highlight w:val="none"/>
                <w:u w:val="none"/>
                <w:lang w:eastAsia="zh-CN"/>
                <w14:textFill>
                  <w14:solidFill>
                    <w14:schemeClr w14:val="tx1"/>
                  </w14:solidFill>
                </w14:textFill>
              </w:rPr>
              <w:t>），</w:t>
            </w:r>
            <w:r>
              <w:rPr>
                <w:rFonts w:hint="default" w:ascii="Times New Roman" w:hAnsi="Times New Roman" w:eastAsia="仿宋" w:cs="Times New Roman"/>
                <w:color w:val="000000" w:themeColor="text1"/>
                <w:szCs w:val="21"/>
                <w:highlight w:val="none"/>
                <w:u w:val="none"/>
                <w14:textFill>
                  <w14:solidFill>
                    <w14:schemeClr w14:val="tx1"/>
                  </w14:solidFill>
                </w14:textFill>
              </w:rPr>
              <w:t>在每年设备定期维护检修时，暂存于危废暂存间内，定期交由有资质单位进行处置。</w:t>
            </w:r>
          </w:p>
        </w:tc>
      </w:tr>
      <w:tr w14:paraId="712B37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6" w:hRule="atLeast"/>
          <w:jc w:val="center"/>
        </w:trPr>
        <w:tc>
          <w:tcPr>
            <w:tcW w:w="1138" w:type="dxa"/>
            <w:noWrap w:val="0"/>
            <w:vAlign w:val="center"/>
          </w:tcPr>
          <w:p w14:paraId="011831BC">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土壤及地下水污染防治措施</w:t>
            </w:r>
          </w:p>
        </w:tc>
        <w:tc>
          <w:tcPr>
            <w:tcW w:w="7662" w:type="dxa"/>
            <w:gridSpan w:val="5"/>
            <w:noWrap w:val="0"/>
            <w:vAlign w:val="center"/>
          </w:tcPr>
          <w:p w14:paraId="3EB1EC64">
            <w:pPr>
              <w:pStyle w:val="80"/>
              <w:spacing w:line="360" w:lineRule="auto"/>
              <w:ind w:left="0" w:leftChars="0" w:firstLine="420" w:firstLineChars="200"/>
              <w:rPr>
                <w:rFonts w:hint="default" w:ascii="Times New Roman" w:hAnsi="Times New Roman" w:eastAsia="仿宋" w:cs="Times New Roman"/>
                <w:color w:val="000000" w:themeColor="text1"/>
                <w:szCs w:val="21"/>
                <w:highlight w:val="none"/>
                <w:u w:val="none"/>
                <w:lang w:eastAsia="zh-CN"/>
                <w14:textFill>
                  <w14:solidFill>
                    <w14:schemeClr w14:val="tx1"/>
                  </w14:solidFill>
                </w14:textFill>
              </w:rPr>
            </w:pP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本项目工艺过程不存在土壤环境的污染途径，危废暂存间的渗透系数≤1×10</w:t>
            </w:r>
            <w:r>
              <w:rPr>
                <w:rFonts w:hint="default" w:ascii="Times New Roman" w:hAnsi="Times New Roman" w:eastAsia="仿宋" w:cs="Times New Roman"/>
                <w:color w:val="000000" w:themeColor="text1"/>
                <w:kern w:val="2"/>
                <w:sz w:val="21"/>
                <w:szCs w:val="21"/>
                <w:highlight w:val="none"/>
                <w:u w:val="none"/>
                <w:vertAlign w:val="superscript"/>
                <w:lang w:val="en-US" w:eastAsia="zh-CN" w:bidi="ar-SA"/>
                <w14:textFill>
                  <w14:solidFill>
                    <w14:schemeClr w14:val="tx1"/>
                  </w14:solidFill>
                </w14:textFill>
              </w:rPr>
              <w:t>-10</w:t>
            </w: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cm/s；</w:t>
            </w:r>
            <w:r>
              <w:rPr>
                <w:rFonts w:hint="eastAsia"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制粒车间、周转仓、产品仓库</w:t>
            </w:r>
            <w:r>
              <w:rPr>
                <w:rFonts w:hint="default" w:ascii="Times New Roman" w:hAnsi="Times New Roman" w:eastAsia="仿宋" w:cs="Times New Roman"/>
                <w:color w:val="000000" w:themeColor="text1"/>
                <w:kern w:val="2"/>
                <w:sz w:val="21"/>
                <w:szCs w:val="21"/>
                <w:highlight w:val="none"/>
                <w:u w:val="none"/>
                <w:lang w:val="en-US" w:eastAsia="zh-CN" w:bidi="ar-SA"/>
                <w14:textFill>
                  <w14:solidFill>
                    <w14:schemeClr w14:val="tx1"/>
                  </w14:solidFill>
                </w14:textFill>
              </w:rPr>
              <w:t>采用混凝土铺设，达到防渗的目的。</w:t>
            </w:r>
          </w:p>
        </w:tc>
      </w:tr>
      <w:tr w14:paraId="7C7D43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8" w:type="dxa"/>
            <w:noWrap w:val="0"/>
            <w:vAlign w:val="center"/>
          </w:tcPr>
          <w:p w14:paraId="5FE3A4BF">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生态保护措施</w:t>
            </w:r>
          </w:p>
        </w:tc>
        <w:tc>
          <w:tcPr>
            <w:tcW w:w="7662" w:type="dxa"/>
            <w:gridSpan w:val="5"/>
            <w:noWrap w:val="0"/>
            <w:vAlign w:val="center"/>
          </w:tcPr>
          <w:p w14:paraId="38F09608">
            <w:pPr>
              <w:adjustRightInd w:val="0"/>
              <w:snapToGrid w:val="0"/>
              <w:jc w:val="center"/>
              <w:rPr>
                <w:rFonts w:hint="default" w:ascii="Times New Roman" w:hAnsi="Times New Roman" w:eastAsia="仿宋" w:cs="Times New Roman"/>
                <w:color w:val="000000" w:themeColor="text1"/>
                <w:szCs w:val="21"/>
                <w:highlight w:val="none"/>
                <w:u w:val="none"/>
                <w14:textFill>
                  <w14:solidFill>
                    <w14:schemeClr w14:val="tx1"/>
                  </w14:solidFill>
                </w14:textFill>
              </w:rPr>
            </w:pPr>
            <w:r>
              <w:rPr>
                <w:rFonts w:hint="default" w:ascii="Times New Roman" w:hAnsi="Times New Roman" w:eastAsia="仿宋" w:cs="Times New Roman"/>
                <w:color w:val="000000" w:themeColor="text1"/>
                <w:szCs w:val="21"/>
                <w:highlight w:val="none"/>
                <w:u w:val="none"/>
                <w14:textFill>
                  <w14:solidFill>
                    <w14:schemeClr w14:val="tx1"/>
                  </w14:solidFill>
                </w14:textFill>
              </w:rPr>
              <w:t>/</w:t>
            </w:r>
          </w:p>
        </w:tc>
      </w:tr>
      <w:tr w14:paraId="3C83F2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8" w:type="dxa"/>
            <w:noWrap w:val="0"/>
            <w:vAlign w:val="center"/>
          </w:tcPr>
          <w:p w14:paraId="4D7B22FE">
            <w:pPr>
              <w:adjustRightInd w:val="0"/>
              <w:snapToGrid w:val="0"/>
              <w:jc w:val="center"/>
              <w:rPr>
                <w:rFonts w:hint="default" w:ascii="Times New Roman" w:hAnsi="Times New Roman" w:eastAsia="仿宋" w:cs="Times New Roman"/>
                <w:color w:val="000000" w:themeColor="text1"/>
                <w:spacing w:val="-8"/>
                <w:szCs w:val="21"/>
                <w:highlight w:val="none"/>
                <w:u w:val="none"/>
                <w14:textFill>
                  <w14:solidFill>
                    <w14:schemeClr w14:val="tx1"/>
                  </w14:solidFill>
                </w14:textFill>
              </w:rPr>
            </w:pPr>
            <w:r>
              <w:rPr>
                <w:rFonts w:hint="default" w:ascii="Times New Roman" w:hAnsi="Times New Roman" w:eastAsia="仿宋" w:cs="Times New Roman"/>
                <w:color w:val="000000" w:themeColor="text1"/>
                <w:spacing w:val="-8"/>
                <w:szCs w:val="21"/>
                <w:highlight w:val="none"/>
                <w:u w:val="none"/>
                <w14:textFill>
                  <w14:solidFill>
                    <w14:schemeClr w14:val="tx1"/>
                  </w14:solidFill>
                </w14:textFill>
              </w:rPr>
              <w:t>环境风险</w:t>
            </w:r>
          </w:p>
          <w:p w14:paraId="7437EBEE">
            <w:pPr>
              <w:adjustRightInd w:val="0"/>
              <w:snapToGrid w:val="0"/>
              <w:jc w:val="center"/>
              <w:rPr>
                <w:rFonts w:hint="default" w:ascii="Times New Roman" w:hAnsi="Times New Roman" w:eastAsia="仿宋" w:cs="Times New Roman"/>
                <w:color w:val="000000" w:themeColor="text1"/>
                <w:spacing w:val="-8"/>
                <w:szCs w:val="21"/>
                <w:highlight w:val="none"/>
                <w:u w:val="none"/>
                <w14:textFill>
                  <w14:solidFill>
                    <w14:schemeClr w14:val="tx1"/>
                  </w14:solidFill>
                </w14:textFill>
              </w:rPr>
            </w:pPr>
            <w:r>
              <w:rPr>
                <w:rFonts w:hint="default" w:ascii="Times New Roman" w:hAnsi="Times New Roman" w:eastAsia="仿宋" w:cs="Times New Roman"/>
                <w:color w:val="000000" w:themeColor="text1"/>
                <w:spacing w:val="-8"/>
                <w:szCs w:val="21"/>
                <w:highlight w:val="none"/>
                <w:u w:val="none"/>
                <w14:textFill>
                  <w14:solidFill>
                    <w14:schemeClr w14:val="tx1"/>
                  </w14:solidFill>
                </w14:textFill>
              </w:rPr>
              <w:t>防范措施</w:t>
            </w:r>
          </w:p>
        </w:tc>
        <w:tc>
          <w:tcPr>
            <w:tcW w:w="7662" w:type="dxa"/>
            <w:gridSpan w:val="5"/>
            <w:noWrap w:val="0"/>
            <w:vAlign w:val="center"/>
          </w:tcPr>
          <w:p w14:paraId="6C76E89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t>①生产车间和仓库内严禁烟火，并张贴安全生产细则；</w:t>
            </w:r>
          </w:p>
          <w:p w14:paraId="282FDB1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t>②生产车间保持良好的通风性；</w:t>
            </w:r>
          </w:p>
          <w:p w14:paraId="6498C6D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t>③厂区必须配备有足够数量的灭火装置；</w:t>
            </w:r>
          </w:p>
          <w:p w14:paraId="72CAEBC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t>④组织职工学习用电安全知识和各用仪器设备的正确操作，提高职工的安全意识，规范职工的行为，做到人走断电；</w:t>
            </w:r>
          </w:p>
          <w:p w14:paraId="09EC02E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t>⑤组织学习正确使用灭火器和面对火灾发生正确的逃生方法；</w:t>
            </w:r>
          </w:p>
          <w:p w14:paraId="1497695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t>⑥定期安排专业人员检修电路和生产设备，确保正常使用；</w:t>
            </w:r>
          </w:p>
          <w:p w14:paraId="0AB66EF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t>⑦所有的安全通道必须配置相应的疏散标志，保证安全通道的畅通；</w:t>
            </w:r>
          </w:p>
          <w:p w14:paraId="7F413736">
            <w:pPr>
              <w:spacing w:line="360" w:lineRule="auto"/>
              <w:ind w:firstLine="420" w:firstLineChars="200"/>
              <w:rPr>
                <w:rFonts w:hint="default" w:ascii="Times New Roman" w:hAnsi="Times New Roman" w:eastAsia="仿宋"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t>⑧一旦事故发生后，建设单位应迅速采取有效措施，积极组织抢救，防止事故蔓延。并立即如实向当地安全生产监督管理部门和环保主管部门报告事故情况，以便采取有力措施，将污染和伤亡事故降到最低限度。</w:t>
            </w:r>
          </w:p>
        </w:tc>
      </w:tr>
      <w:tr w14:paraId="47F82D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27" w:hRule="atLeast"/>
          <w:jc w:val="center"/>
        </w:trPr>
        <w:tc>
          <w:tcPr>
            <w:tcW w:w="1138" w:type="dxa"/>
            <w:noWrap w:val="0"/>
            <w:vAlign w:val="center"/>
          </w:tcPr>
          <w:p w14:paraId="43430CD9">
            <w:pPr>
              <w:adjustRightInd w:val="0"/>
              <w:snapToGrid w:val="0"/>
              <w:jc w:val="center"/>
              <w:rPr>
                <w:rFonts w:hint="default" w:ascii="Times New Roman" w:hAnsi="Times New Roman" w:eastAsia="仿宋" w:cs="Times New Roman"/>
                <w:color w:val="000000" w:themeColor="text1"/>
                <w:spacing w:val="-8"/>
                <w:szCs w:val="21"/>
                <w:highlight w:val="none"/>
                <w:u w:val="none"/>
                <w14:textFill>
                  <w14:solidFill>
                    <w14:schemeClr w14:val="tx1"/>
                  </w14:solidFill>
                </w14:textFill>
              </w:rPr>
            </w:pPr>
            <w:r>
              <w:rPr>
                <w:rFonts w:hint="default" w:ascii="Times New Roman" w:hAnsi="Times New Roman" w:eastAsia="仿宋" w:cs="Times New Roman"/>
                <w:color w:val="000000" w:themeColor="text1"/>
                <w:spacing w:val="-8"/>
                <w:szCs w:val="21"/>
                <w:highlight w:val="none"/>
                <w:u w:val="none"/>
                <w14:textFill>
                  <w14:solidFill>
                    <w14:schemeClr w14:val="tx1"/>
                  </w14:solidFill>
                </w14:textFill>
              </w:rPr>
              <w:t>其他环境</w:t>
            </w:r>
          </w:p>
          <w:p w14:paraId="4E48FB7E">
            <w:pPr>
              <w:adjustRightInd w:val="0"/>
              <w:snapToGrid w:val="0"/>
              <w:jc w:val="center"/>
              <w:rPr>
                <w:rFonts w:hint="default" w:ascii="Times New Roman" w:hAnsi="Times New Roman" w:eastAsia="仿宋" w:cs="Times New Roman"/>
                <w:color w:val="000000" w:themeColor="text1"/>
                <w:spacing w:val="-8"/>
                <w:szCs w:val="21"/>
                <w:highlight w:val="none"/>
                <w:u w:val="none"/>
                <w14:textFill>
                  <w14:solidFill>
                    <w14:schemeClr w14:val="tx1"/>
                  </w14:solidFill>
                </w14:textFill>
              </w:rPr>
            </w:pPr>
            <w:r>
              <w:rPr>
                <w:rFonts w:hint="default" w:ascii="Times New Roman" w:hAnsi="Times New Roman" w:eastAsia="仿宋" w:cs="Times New Roman"/>
                <w:color w:val="000000" w:themeColor="text1"/>
                <w:spacing w:val="-8"/>
                <w:szCs w:val="21"/>
                <w:highlight w:val="none"/>
                <w:u w:val="none"/>
                <w14:textFill>
                  <w14:solidFill>
                    <w14:schemeClr w14:val="tx1"/>
                  </w14:solidFill>
                </w14:textFill>
              </w:rPr>
              <w:t>管理要求</w:t>
            </w:r>
          </w:p>
        </w:tc>
        <w:tc>
          <w:tcPr>
            <w:tcW w:w="7662" w:type="dxa"/>
            <w:gridSpan w:val="5"/>
            <w:noWrap w:val="0"/>
            <w:vAlign w:val="center"/>
          </w:tcPr>
          <w:p w14:paraId="0C3C116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（1）三同时管理</w:t>
            </w:r>
          </w:p>
          <w:p w14:paraId="4C8B445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t>根据国家新修订的《建设项目环境保护管理条例》，已取消建设项目竣工验收环境保护验收行政许可，改为建设单位自主验收，进一步强化建设单位的环境保护“三同时”主体责任，各级环境保护部门主要是加强对建设单位的指导和监督检查，确保验收内容不缺项，验收标准不降低，验收结果全公开。建设项目竣工后，建设单位应及时委托有能力的技术机构编制验收监测（调查）报告，如实查验、监测、记载建设项目环境保护设施的建设和调试情况。</w:t>
            </w:r>
          </w:p>
          <w:p w14:paraId="540C43E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（2）排污许可管理</w:t>
            </w:r>
          </w:p>
          <w:p w14:paraId="1BAC97D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根据《排污许可管理办法》（试行）（环境保护部令第48号）以及《固定污染源排污许可分类管理名录》（2019年版）要求，本项目属于登记管理。本项目建成后，建设单位须依照名录要求在全国排污许可证管理信息平台进行排污许可申请登记。</w:t>
            </w:r>
          </w:p>
          <w:p w14:paraId="46FC716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（3）排污口规范化管理</w:t>
            </w:r>
          </w:p>
          <w:p w14:paraId="14EEECD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t>固定噪声源、固体废物贮存和排气筒必须按照国家的有关规定进行建设，应符合“一明显、二合理、三便于”的要求，即环保标志明显，排污口设置合理，便于采集样品、便于监测计量、便于公众参与和监督管理。同时要求按照</w:t>
            </w: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生态环境部</w:t>
            </w:r>
            <w:r>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t>制定的《环境保护图形标志实施细则（试行）》的规定，设置与排污口相应的图形标志牌。</w:t>
            </w:r>
          </w:p>
          <w:p w14:paraId="103AAE9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t>①排气筒设置取样口，并具备采样监测条件。</w:t>
            </w:r>
          </w:p>
          <w:p w14:paraId="3EA1F7F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t>②建设单位应在各个排污口处树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14:paraId="545FCE3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t>③环境保护图形标志</w:t>
            </w:r>
          </w:p>
          <w:p w14:paraId="2B141C5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zh-CN" w:eastAsia="zh-CN"/>
                <w14:textFill>
                  <w14:solidFill>
                    <w14:schemeClr w14:val="tx1"/>
                  </w14:solidFill>
                </w14:textFill>
              </w:rPr>
              <w:t>在场区的废气排放源、固体废物贮存处置场应设置环境保护图形标志，图形符号分为提示图形和警告图形符号两种，分别按GB15562.1-1995、GB15562.2-1995执行。要求各排污口（源）提示标志形状采用正方形边框，背景颜色采用绿色，图形颜色采用白色。标志牌应设在与之功能相应的醒目处，并保持清晰、完整。环境保护图形标志的形状及颜色见表5-1，环境保护图形符号见表5-2。</w:t>
            </w:r>
          </w:p>
          <w:p w14:paraId="292B34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p>
          <w:p w14:paraId="1CDD05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p>
          <w:p w14:paraId="7D0C54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p>
          <w:p w14:paraId="5BF1F5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表5-1环境保护图形标志的形状及颜色表</w:t>
            </w:r>
          </w:p>
          <w:tbl>
            <w:tblPr>
              <w:tblStyle w:val="78"/>
              <w:tblW w:w="4999"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862"/>
              <w:gridCol w:w="1857"/>
              <w:gridCol w:w="1862"/>
              <w:gridCol w:w="1864"/>
            </w:tblGrid>
            <w:tr w14:paraId="3EA529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1250" w:type="pct"/>
                  <w:tcBorders>
                    <w:tl2br w:val="nil"/>
                    <w:tr2bl w:val="nil"/>
                  </w:tcBorders>
                  <w:noWrap w:val="0"/>
                  <w:vAlign w:val="center"/>
                </w:tcPr>
                <w:p w14:paraId="0E5FED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14:textFill>
                        <w14:solidFill>
                          <w14:schemeClr w14:val="tx1"/>
                        </w14:solidFill>
                      </w14:textFill>
                    </w:rPr>
                    <w:t>标志名称</w:t>
                  </w:r>
                </w:p>
              </w:tc>
              <w:tc>
                <w:tcPr>
                  <w:tcW w:w="1247" w:type="pct"/>
                  <w:tcBorders>
                    <w:tl2br w:val="nil"/>
                    <w:tr2bl w:val="nil"/>
                  </w:tcBorders>
                  <w:noWrap w:val="0"/>
                  <w:vAlign w:val="center"/>
                </w:tcPr>
                <w:p w14:paraId="749D8F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14:textFill>
                        <w14:solidFill>
                          <w14:schemeClr w14:val="tx1"/>
                        </w14:solidFill>
                      </w14:textFill>
                    </w:rPr>
                    <w:t>形状</w:t>
                  </w:r>
                </w:p>
              </w:tc>
              <w:tc>
                <w:tcPr>
                  <w:tcW w:w="1250" w:type="pct"/>
                  <w:tcBorders>
                    <w:tl2br w:val="nil"/>
                    <w:tr2bl w:val="nil"/>
                  </w:tcBorders>
                  <w:noWrap w:val="0"/>
                  <w:vAlign w:val="center"/>
                </w:tcPr>
                <w:p w14:paraId="78ABA5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14:textFill>
                        <w14:solidFill>
                          <w14:schemeClr w14:val="tx1"/>
                        </w14:solidFill>
                      </w14:textFill>
                    </w:rPr>
                    <w:t>背景颜色</w:t>
                  </w:r>
                </w:p>
              </w:tc>
              <w:tc>
                <w:tcPr>
                  <w:tcW w:w="1252" w:type="pct"/>
                  <w:tcBorders>
                    <w:tl2br w:val="nil"/>
                    <w:tr2bl w:val="nil"/>
                  </w:tcBorders>
                  <w:noWrap w:val="0"/>
                  <w:vAlign w:val="center"/>
                </w:tcPr>
                <w:p w14:paraId="1B2682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b/>
                      <w:bCs/>
                      <w:color w:val="000000" w:themeColor="text1"/>
                      <w:sz w:val="18"/>
                      <w:szCs w:val="18"/>
                      <w:highlight w:val="none"/>
                      <w:u w:val="none"/>
                      <w14:textFill>
                        <w14:solidFill>
                          <w14:schemeClr w14:val="tx1"/>
                        </w14:solidFill>
                      </w14:textFill>
                    </w:rPr>
                    <w:t>图形颜色</w:t>
                  </w:r>
                </w:p>
              </w:tc>
            </w:tr>
            <w:tr w14:paraId="254A1F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50" w:type="pct"/>
                  <w:tcBorders>
                    <w:tl2br w:val="nil"/>
                    <w:tr2bl w:val="nil"/>
                  </w:tcBorders>
                  <w:noWrap w:val="0"/>
                  <w:vAlign w:val="center"/>
                </w:tcPr>
                <w:p w14:paraId="02B104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警告标志</w:t>
                  </w:r>
                </w:p>
              </w:tc>
              <w:tc>
                <w:tcPr>
                  <w:tcW w:w="1247" w:type="pct"/>
                  <w:tcBorders>
                    <w:tl2br w:val="nil"/>
                    <w:tr2bl w:val="nil"/>
                  </w:tcBorders>
                  <w:noWrap w:val="0"/>
                  <w:vAlign w:val="center"/>
                </w:tcPr>
                <w:p w14:paraId="0D7ED8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三角形边框</w:t>
                  </w:r>
                </w:p>
              </w:tc>
              <w:tc>
                <w:tcPr>
                  <w:tcW w:w="1250" w:type="pct"/>
                  <w:tcBorders>
                    <w:tl2br w:val="nil"/>
                    <w:tr2bl w:val="nil"/>
                  </w:tcBorders>
                  <w:noWrap w:val="0"/>
                  <w:vAlign w:val="center"/>
                </w:tcPr>
                <w:p w14:paraId="072256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黄色</w:t>
                  </w:r>
                </w:p>
              </w:tc>
              <w:tc>
                <w:tcPr>
                  <w:tcW w:w="1252" w:type="pct"/>
                  <w:tcBorders>
                    <w:tl2br w:val="nil"/>
                    <w:tr2bl w:val="nil"/>
                  </w:tcBorders>
                  <w:noWrap w:val="0"/>
                  <w:vAlign w:val="center"/>
                </w:tcPr>
                <w:p w14:paraId="2B3341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黑色</w:t>
                  </w:r>
                </w:p>
              </w:tc>
            </w:tr>
            <w:tr w14:paraId="07EC0A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50" w:type="pct"/>
                  <w:tcBorders>
                    <w:tl2br w:val="nil"/>
                    <w:tr2bl w:val="nil"/>
                  </w:tcBorders>
                  <w:noWrap w:val="0"/>
                  <w:vAlign w:val="center"/>
                </w:tcPr>
                <w:p w14:paraId="070A1D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提示标志</w:t>
                  </w:r>
                </w:p>
              </w:tc>
              <w:tc>
                <w:tcPr>
                  <w:tcW w:w="1247" w:type="pct"/>
                  <w:tcBorders>
                    <w:tl2br w:val="nil"/>
                    <w:tr2bl w:val="nil"/>
                  </w:tcBorders>
                  <w:noWrap w:val="0"/>
                  <w:vAlign w:val="center"/>
                </w:tcPr>
                <w:p w14:paraId="48136E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正方形边框</w:t>
                  </w:r>
                </w:p>
              </w:tc>
              <w:tc>
                <w:tcPr>
                  <w:tcW w:w="1250" w:type="pct"/>
                  <w:tcBorders>
                    <w:tl2br w:val="nil"/>
                    <w:tr2bl w:val="nil"/>
                  </w:tcBorders>
                  <w:noWrap w:val="0"/>
                  <w:vAlign w:val="center"/>
                </w:tcPr>
                <w:p w14:paraId="078DBD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绿色</w:t>
                  </w:r>
                </w:p>
              </w:tc>
              <w:tc>
                <w:tcPr>
                  <w:tcW w:w="1252" w:type="pct"/>
                  <w:tcBorders>
                    <w:tl2br w:val="nil"/>
                    <w:tr2bl w:val="nil"/>
                  </w:tcBorders>
                  <w:noWrap w:val="0"/>
                  <w:vAlign w:val="center"/>
                </w:tcPr>
                <w:p w14:paraId="567649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白色</w:t>
                  </w:r>
                </w:p>
              </w:tc>
            </w:tr>
          </w:tbl>
          <w:p w14:paraId="12E7D9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仿宋" w:cs="Times New Roman"/>
                <w:b/>
                <w:bCs/>
                <w:color w:val="000000" w:themeColor="text1"/>
                <w:sz w:val="21"/>
                <w:szCs w:val="21"/>
                <w:highlight w:val="none"/>
                <w:u w:val="none"/>
                <w14:textFill>
                  <w14:solidFill>
                    <w14:schemeClr w14:val="tx1"/>
                  </w14:solidFill>
                </w14:textFill>
              </w:rPr>
              <w:t>表5-2各排污口（源）标志牌设置示意图</w:t>
            </w:r>
          </w:p>
          <w:tbl>
            <w:tblPr>
              <w:tblStyle w:val="78"/>
              <w:tblW w:w="4997" w:type="pct"/>
              <w:tblInd w:w="2"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065"/>
              <w:gridCol w:w="681"/>
              <w:gridCol w:w="1178"/>
              <w:gridCol w:w="1007"/>
              <w:gridCol w:w="886"/>
              <w:gridCol w:w="816"/>
              <w:gridCol w:w="1809"/>
            </w:tblGrid>
            <w:tr w14:paraId="6E215DC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15" w:type="pct"/>
                  <w:tcBorders>
                    <w:tl2br w:val="nil"/>
                    <w:tr2bl w:val="nil"/>
                  </w:tcBorders>
                  <w:noWrap w:val="0"/>
                  <w:vAlign w:val="center"/>
                </w:tcPr>
                <w:p w14:paraId="078773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排放口名称</w:t>
                  </w:r>
                </w:p>
              </w:tc>
              <w:tc>
                <w:tcPr>
                  <w:tcW w:w="457" w:type="pct"/>
                  <w:tcBorders>
                    <w:tl2br w:val="nil"/>
                    <w:tr2bl w:val="nil"/>
                  </w:tcBorders>
                  <w:noWrap w:val="0"/>
                  <w:vAlign w:val="center"/>
                </w:tcPr>
                <w:p w14:paraId="1619BE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编号</w:t>
                  </w:r>
                </w:p>
              </w:tc>
              <w:tc>
                <w:tcPr>
                  <w:tcW w:w="791" w:type="pct"/>
                  <w:tcBorders>
                    <w:tl2br w:val="nil"/>
                    <w:tr2bl w:val="nil"/>
                  </w:tcBorders>
                  <w:noWrap w:val="0"/>
                  <w:vAlign w:val="center"/>
                </w:tcPr>
                <w:p w14:paraId="1B892F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图形标志</w:t>
                  </w:r>
                </w:p>
              </w:tc>
              <w:tc>
                <w:tcPr>
                  <w:tcW w:w="676" w:type="pct"/>
                  <w:tcBorders>
                    <w:tl2br w:val="nil"/>
                    <w:tr2bl w:val="nil"/>
                  </w:tcBorders>
                  <w:noWrap w:val="0"/>
                  <w:vAlign w:val="center"/>
                </w:tcPr>
                <w:p w14:paraId="4D8187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形状</w:t>
                  </w:r>
                </w:p>
              </w:tc>
              <w:tc>
                <w:tcPr>
                  <w:tcW w:w="595" w:type="pct"/>
                  <w:tcBorders>
                    <w:tl2br w:val="nil"/>
                    <w:tr2bl w:val="nil"/>
                  </w:tcBorders>
                  <w:noWrap w:val="0"/>
                  <w:vAlign w:val="center"/>
                </w:tcPr>
                <w:p w14:paraId="087049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背景颜色</w:t>
                  </w:r>
                </w:p>
              </w:tc>
              <w:tc>
                <w:tcPr>
                  <w:tcW w:w="548" w:type="pct"/>
                  <w:tcBorders>
                    <w:tl2br w:val="nil"/>
                    <w:tr2bl w:val="nil"/>
                  </w:tcBorders>
                  <w:noWrap w:val="0"/>
                  <w:vAlign w:val="center"/>
                </w:tcPr>
                <w:p w14:paraId="6809CA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图形颜色</w:t>
                  </w:r>
                </w:p>
              </w:tc>
              <w:tc>
                <w:tcPr>
                  <w:tcW w:w="1215" w:type="pct"/>
                  <w:tcBorders>
                    <w:tl2br w:val="nil"/>
                    <w:tr2bl w:val="nil"/>
                  </w:tcBorders>
                  <w:noWrap w:val="0"/>
                  <w:vAlign w:val="center"/>
                </w:tcPr>
                <w:p w14:paraId="152AC3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图形符号</w:t>
                  </w:r>
                </w:p>
              </w:tc>
            </w:tr>
            <w:tr w14:paraId="7F1EC46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15" w:type="pct"/>
                  <w:tcBorders>
                    <w:tl2br w:val="nil"/>
                    <w:tr2bl w:val="nil"/>
                  </w:tcBorders>
                  <w:noWrap w:val="0"/>
                  <w:vAlign w:val="center"/>
                </w:tcPr>
                <w:p w14:paraId="61D86D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废气排放口</w:t>
                  </w:r>
                </w:p>
              </w:tc>
              <w:tc>
                <w:tcPr>
                  <w:tcW w:w="457" w:type="pct"/>
                  <w:tcBorders>
                    <w:tl2br w:val="nil"/>
                    <w:tr2bl w:val="nil"/>
                  </w:tcBorders>
                  <w:noWrap w:val="0"/>
                  <w:vAlign w:val="center"/>
                </w:tcPr>
                <w:p w14:paraId="1F5D91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FQ-01</w:t>
                  </w:r>
                </w:p>
              </w:tc>
              <w:tc>
                <w:tcPr>
                  <w:tcW w:w="791" w:type="pct"/>
                  <w:tcBorders>
                    <w:tl2br w:val="nil"/>
                    <w:tr2bl w:val="nil"/>
                  </w:tcBorders>
                  <w:noWrap w:val="0"/>
                  <w:vAlign w:val="center"/>
                </w:tcPr>
                <w:p w14:paraId="7B8C53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提示标志</w:t>
                  </w:r>
                </w:p>
              </w:tc>
              <w:tc>
                <w:tcPr>
                  <w:tcW w:w="676" w:type="pct"/>
                  <w:tcBorders>
                    <w:tl2br w:val="nil"/>
                    <w:tr2bl w:val="nil"/>
                  </w:tcBorders>
                  <w:noWrap w:val="0"/>
                  <w:vAlign w:val="center"/>
                </w:tcPr>
                <w:p w14:paraId="09ACE6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正方形边框</w:t>
                  </w:r>
                </w:p>
              </w:tc>
              <w:tc>
                <w:tcPr>
                  <w:tcW w:w="595" w:type="pct"/>
                  <w:tcBorders>
                    <w:tl2br w:val="nil"/>
                    <w:tr2bl w:val="nil"/>
                  </w:tcBorders>
                  <w:noWrap w:val="0"/>
                  <w:vAlign w:val="center"/>
                </w:tcPr>
                <w:p w14:paraId="793A66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绿色</w:t>
                  </w:r>
                </w:p>
              </w:tc>
              <w:tc>
                <w:tcPr>
                  <w:tcW w:w="548" w:type="pct"/>
                  <w:tcBorders>
                    <w:tl2br w:val="nil"/>
                    <w:tr2bl w:val="nil"/>
                  </w:tcBorders>
                  <w:noWrap w:val="0"/>
                  <w:vAlign w:val="center"/>
                </w:tcPr>
                <w:p w14:paraId="5E2A2A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t>白色</w:t>
                  </w:r>
                </w:p>
              </w:tc>
              <w:tc>
                <w:tcPr>
                  <w:tcW w:w="1215" w:type="pct"/>
                  <w:tcBorders>
                    <w:tl2br w:val="nil"/>
                    <w:tr2bl w:val="nil"/>
                  </w:tcBorders>
                  <w:noWrap w:val="0"/>
                  <w:vAlign w:val="center"/>
                </w:tcPr>
                <w:p w14:paraId="072D43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themeColor="text1"/>
                      <w:sz w:val="18"/>
                      <w:szCs w:val="18"/>
                      <w:highlight w:val="none"/>
                      <w:u w:val="none"/>
                      <w14:textFill>
                        <w14:solidFill>
                          <w14:schemeClr w14:val="tx1"/>
                        </w14:solidFill>
                      </w14:textFill>
                    </w:rPr>
                  </w:pPr>
                  <w:r>
                    <w:rPr>
                      <w:rFonts w:hint="default" w:ascii="Times New Roman" w:hAnsi="Times New Roman" w:eastAsia="仿宋" w:cs="Times New Roman"/>
                      <w:color w:val="000000" w:themeColor="text1"/>
                      <w:sz w:val="18"/>
                      <w:szCs w:val="18"/>
                      <w:highlight w:val="none"/>
                      <w:u w:val="none"/>
                      <w14:textFill>
                        <w14:solidFill>
                          <w14:schemeClr w14:val="tx1"/>
                        </w14:solidFill>
                      </w14:textFill>
                    </w:rPr>
                    <w:drawing>
                      <wp:inline distT="0" distB="0" distL="114300" distR="114300">
                        <wp:extent cx="1007110" cy="732790"/>
                        <wp:effectExtent l="0" t="0" r="2540" b="10160"/>
                        <wp:docPr id="35" name="图片 18"/>
                        <wp:cNvGraphicFramePr/>
                        <a:graphic xmlns:a="http://schemas.openxmlformats.org/drawingml/2006/main">
                          <a:graphicData uri="http://schemas.openxmlformats.org/drawingml/2006/picture">
                            <pic:pic xmlns:pic="http://schemas.openxmlformats.org/drawingml/2006/picture">
                              <pic:nvPicPr>
                                <pic:cNvPr id="35" name="图片 18"/>
                                <pic:cNvPicPr/>
                              </pic:nvPicPr>
                              <pic:blipFill>
                                <a:blip r:embed="rId21"/>
                                <a:stretch>
                                  <a:fillRect/>
                                </a:stretch>
                              </pic:blipFill>
                              <pic:spPr>
                                <a:xfrm>
                                  <a:off x="0" y="0"/>
                                  <a:ext cx="1007110" cy="732790"/>
                                </a:xfrm>
                                <a:prstGeom prst="rect">
                                  <a:avLst/>
                                </a:prstGeom>
                                <a:noFill/>
                                <a:ln>
                                  <a:noFill/>
                                </a:ln>
                              </pic:spPr>
                            </pic:pic>
                          </a:graphicData>
                        </a:graphic>
                      </wp:inline>
                    </w:drawing>
                  </w:r>
                </w:p>
              </w:tc>
            </w:tr>
          </w:tbl>
          <w:p w14:paraId="6F6AD2D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（4）竣工环境保护验收要求</w:t>
            </w:r>
          </w:p>
          <w:p w14:paraId="7E8C63F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①建设项目竣工后，建设单位或者其委托的技术机构应当依照国家有关法律法规、建设项目竣工环境保护验收技术规范、建设项目环境影响报告书（表）和审批决定等要求，如实查验、监测、记载建设项目环境保护设施的建设和调试情况，同时还应如实记载其他环境保护对策措施“三同时”落实情况，编制竣工环境保护验收报告。</w:t>
            </w:r>
          </w:p>
          <w:p w14:paraId="17408A9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②验收报告编制完成后，建设单位应组织成立验收工作组，对建设项目进行自主验收。</w:t>
            </w:r>
          </w:p>
          <w:p w14:paraId="5A944E7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t>③建设项目配套建设的环境保护设施经验收合格后，其主体工程才可以投入生产或者使用。</w:t>
            </w:r>
          </w:p>
          <w:p w14:paraId="068FD43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p>
          <w:p w14:paraId="0FD0916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p>
          <w:p w14:paraId="2A5CB0F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p>
          <w:p w14:paraId="08E84A6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p>
          <w:p w14:paraId="5D82250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p>
          <w:p w14:paraId="48B8DAA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p>
          <w:p w14:paraId="1229C9B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p>
          <w:p w14:paraId="23AE96A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p>
          <w:p w14:paraId="373C7E8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p>
          <w:p w14:paraId="7EAA50E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p>
          <w:p w14:paraId="48B31CA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p>
          <w:p w14:paraId="7233374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p>
          <w:p w14:paraId="22A078B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p>
          <w:p w14:paraId="67AAEA9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p>
          <w:p w14:paraId="4D3A6C9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仿宋" w:cs="Times New Roman"/>
                <w:color w:val="000000" w:themeColor="text1"/>
                <w:sz w:val="21"/>
                <w:szCs w:val="21"/>
                <w:highlight w:val="none"/>
                <w:u w:val="none"/>
                <w:lang w:val="en-US" w:eastAsia="zh-CN"/>
                <w14:textFill>
                  <w14:solidFill>
                    <w14:schemeClr w14:val="tx1"/>
                  </w14:solidFill>
                </w14:textFill>
              </w:rPr>
            </w:pPr>
          </w:p>
        </w:tc>
      </w:tr>
    </w:tbl>
    <w:p w14:paraId="5274FAA0">
      <w:pPr>
        <w:pStyle w:val="21"/>
        <w:jc w:val="center"/>
        <w:outlineLvl w:val="0"/>
        <w:rPr>
          <w:rFonts w:hint="default" w:ascii="Times New Roman" w:hAnsi="Times New Roman" w:eastAsia="仿宋" w:cs="Times New Roman"/>
          <w:snapToGrid w:val="0"/>
          <w:color w:val="000000" w:themeColor="text1"/>
          <w:sz w:val="30"/>
          <w:szCs w:val="30"/>
          <w:highlight w:val="none"/>
          <w:u w:val="none"/>
          <w14:textFill>
            <w14:solidFill>
              <w14:schemeClr w14:val="tx1"/>
            </w14:solidFill>
          </w14:textFill>
        </w:rPr>
      </w:pPr>
      <w:r>
        <w:rPr>
          <w:rFonts w:hint="default" w:ascii="Times New Roman" w:hAnsi="Times New Roman" w:eastAsia="仿宋" w:cs="Times New Roman"/>
          <w:snapToGrid w:val="0"/>
          <w:color w:val="000000" w:themeColor="text1"/>
          <w:highlight w:val="none"/>
          <w:u w:val="none"/>
          <w14:textFill>
            <w14:solidFill>
              <w14:schemeClr w14:val="tx1"/>
            </w14:solidFill>
          </w14:textFill>
        </w:rPr>
        <w:br w:type="page"/>
      </w:r>
      <w:bookmarkStart w:id="10" w:name="_Toc5424"/>
      <w:r>
        <w:rPr>
          <w:rFonts w:hint="default" w:ascii="Times New Roman" w:hAnsi="Times New Roman" w:eastAsia="仿宋" w:cs="Times New Roman"/>
          <w:snapToGrid w:val="0"/>
          <w:color w:val="000000" w:themeColor="text1"/>
          <w:sz w:val="30"/>
          <w:szCs w:val="30"/>
          <w:highlight w:val="none"/>
          <w:u w:val="none"/>
          <w14:textFill>
            <w14:solidFill>
              <w14:schemeClr w14:val="tx1"/>
            </w14:solidFill>
          </w14:textFill>
        </w:rPr>
        <w:t>六、结论</w:t>
      </w:r>
      <w:bookmarkEnd w:id="10"/>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F3C3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78BF86D7">
            <w:pPr>
              <w:spacing w:line="360" w:lineRule="auto"/>
              <w:ind w:firstLine="480" w:firstLineChars="200"/>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综上所述，本项目建成后对周围环境造成污染较小，建设单位若能切实落实本环评提出的各项环境污染防治措施，落实“三同时”制度，加强环境管理，保证环保投资的投入，确保</w:t>
            </w: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污染防治设施稳定运行，</w:t>
            </w:r>
            <w:r>
              <w:rPr>
                <w:rFonts w:hint="default" w:ascii="Times New Roman" w:hAnsi="Times New Roman" w:eastAsia="仿宋" w:cs="Times New Roman"/>
                <w:color w:val="000000" w:themeColor="text1"/>
                <w:sz w:val="24"/>
                <w:highlight w:val="none"/>
                <w:u w:val="none"/>
                <w14:textFill>
                  <w14:solidFill>
                    <w14:schemeClr w14:val="tx1"/>
                  </w14:solidFill>
                </w14:textFill>
              </w:rPr>
              <w:t>污染物达标排放，则本项目建成投入使用后，对环境的影响是可以接受的。在此前提下，本项目的选址和建设从环境保护角度而言是可行的。</w:t>
            </w:r>
          </w:p>
        </w:tc>
      </w:tr>
    </w:tbl>
    <w:p w14:paraId="2C68789E">
      <w:pPr>
        <w:rPr>
          <w:rFonts w:hint="default" w:ascii="Times New Roman" w:hAnsi="Times New Roman" w:eastAsia="仿宋" w:cs="Times New Roman"/>
          <w:color w:val="000000" w:themeColor="text1"/>
          <w:highlight w:val="none"/>
          <w:u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810B88D">
      <w:pPr>
        <w:pStyle w:val="21"/>
        <w:adjustRightInd w:val="0"/>
        <w:snapToGrid w:val="0"/>
        <w:spacing w:before="0" w:beforeAutospacing="0" w:after="0" w:afterAutospacing="0"/>
        <w:outlineLvl w:val="0"/>
        <w:rPr>
          <w:rFonts w:hint="default" w:ascii="Times New Roman" w:hAnsi="Times New Roman" w:eastAsia="仿宋" w:cs="Times New Roman"/>
          <w:snapToGrid w:val="0"/>
          <w:color w:val="000000" w:themeColor="text1"/>
          <w:sz w:val="32"/>
          <w:szCs w:val="32"/>
          <w:highlight w:val="none"/>
          <w:u w:val="none"/>
          <w14:textFill>
            <w14:solidFill>
              <w14:schemeClr w14:val="tx1"/>
            </w14:solidFill>
          </w14:textFill>
        </w:rPr>
      </w:pPr>
      <w:bookmarkStart w:id="11" w:name="_Toc11915"/>
      <w:r>
        <w:rPr>
          <w:rFonts w:hint="default" w:ascii="Times New Roman" w:hAnsi="Times New Roman" w:eastAsia="仿宋" w:cs="Times New Roman"/>
          <w:snapToGrid w:val="0"/>
          <w:color w:val="000000" w:themeColor="text1"/>
          <w:sz w:val="32"/>
          <w:szCs w:val="32"/>
          <w:highlight w:val="none"/>
          <w:u w:val="none"/>
          <w14:textFill>
            <w14:solidFill>
              <w14:schemeClr w14:val="tx1"/>
            </w14:solidFill>
          </w14:textFill>
        </w:rPr>
        <w:t>附表</w:t>
      </w:r>
      <w:bookmarkEnd w:id="11"/>
    </w:p>
    <w:p w14:paraId="7D2EEFDF">
      <w:pPr>
        <w:pStyle w:val="21"/>
        <w:adjustRightInd w:val="0"/>
        <w:snapToGrid w:val="0"/>
        <w:spacing w:before="0" w:beforeAutospacing="0" w:after="0" w:afterAutospacing="0"/>
        <w:jc w:val="center"/>
        <w:outlineLvl w:val="0"/>
        <w:rPr>
          <w:rFonts w:hint="default" w:ascii="Times New Roman" w:hAnsi="Times New Roman" w:eastAsia="仿宋" w:cs="Times New Roman"/>
          <w:snapToGrid w:val="0"/>
          <w:color w:val="000000" w:themeColor="text1"/>
          <w:sz w:val="38"/>
          <w:szCs w:val="38"/>
          <w:highlight w:val="none"/>
          <w:u w:val="none"/>
          <w14:textFill>
            <w14:solidFill>
              <w14:schemeClr w14:val="tx1"/>
            </w14:solidFill>
          </w14:textFill>
        </w:rPr>
      </w:pPr>
      <w:bookmarkStart w:id="12" w:name="_Toc1822"/>
      <w:r>
        <w:rPr>
          <w:rFonts w:hint="default" w:ascii="Times New Roman" w:hAnsi="Times New Roman" w:eastAsia="仿宋" w:cs="Times New Roman"/>
          <w:snapToGrid w:val="0"/>
          <w:color w:val="000000" w:themeColor="text1"/>
          <w:sz w:val="38"/>
          <w:szCs w:val="38"/>
          <w:highlight w:val="none"/>
          <w:u w:val="none"/>
          <w14:textFill>
            <w14:solidFill>
              <w14:schemeClr w14:val="tx1"/>
            </w14:solidFill>
          </w14:textFill>
        </w:rPr>
        <w:t>建设项目污染物排放量汇总表</w:t>
      </w:r>
      <w:bookmarkEnd w:id="12"/>
    </w:p>
    <w:tbl>
      <w:tblPr>
        <w:tblStyle w:val="24"/>
        <w:tblW w:w="1389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1568"/>
        <w:gridCol w:w="1701"/>
        <w:gridCol w:w="1276"/>
        <w:gridCol w:w="1701"/>
        <w:gridCol w:w="1559"/>
        <w:gridCol w:w="1761"/>
        <w:gridCol w:w="1705"/>
        <w:gridCol w:w="1185"/>
      </w:tblGrid>
      <w:tr w14:paraId="522986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37" w:type="dxa"/>
            <w:tcBorders>
              <w:tl2br w:val="single" w:color="auto" w:sz="4" w:space="0"/>
            </w:tcBorders>
            <w:noWrap w:val="0"/>
            <w:tcMar>
              <w:left w:w="28" w:type="dxa"/>
              <w:right w:w="28" w:type="dxa"/>
            </w:tcMar>
            <w:vAlign w:val="center"/>
          </w:tcPr>
          <w:p w14:paraId="0443E067">
            <w:pPr>
              <w:pStyle w:val="49"/>
              <w:spacing w:before="0" w:beforeLines="0" w:afterLines="0" w:line="240" w:lineRule="auto"/>
              <w:ind w:right="0" w:firstLine="0" w:firstLineChars="0"/>
              <w:jc w:val="right"/>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t>项目</w:t>
            </w:r>
          </w:p>
          <w:p w14:paraId="26D5733E">
            <w:pPr>
              <w:pStyle w:val="49"/>
              <w:spacing w:before="0" w:beforeLines="0" w:afterLines="0" w:line="240" w:lineRule="auto"/>
              <w:ind w:right="0" w:firstLine="0" w:firstLineChars="0"/>
              <w:jc w:val="left"/>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t>分类</w:t>
            </w:r>
          </w:p>
        </w:tc>
        <w:tc>
          <w:tcPr>
            <w:tcW w:w="1568" w:type="dxa"/>
            <w:noWrap w:val="0"/>
            <w:tcMar>
              <w:left w:w="28" w:type="dxa"/>
              <w:right w:w="28" w:type="dxa"/>
            </w:tcMar>
            <w:vAlign w:val="center"/>
          </w:tcPr>
          <w:p w14:paraId="47F01DE2">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t>污染物名称</w:t>
            </w:r>
          </w:p>
        </w:tc>
        <w:tc>
          <w:tcPr>
            <w:tcW w:w="1701" w:type="dxa"/>
            <w:noWrap w:val="0"/>
            <w:tcMar>
              <w:left w:w="28" w:type="dxa"/>
              <w:right w:w="28" w:type="dxa"/>
            </w:tcMar>
            <w:vAlign w:val="center"/>
          </w:tcPr>
          <w:p w14:paraId="09A7DFF7">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t>现有工程</w:t>
            </w:r>
          </w:p>
          <w:p w14:paraId="63C15038">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t>排放量（固体废物产生量）</w:t>
            </w: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instrText xml:space="preserve"> = 1 \* GB3 \* MERGEFORMAT </w:instrText>
            </w: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fldChar w:fldCharType="separate"/>
            </w:r>
            <w:r>
              <w:rPr>
                <w:rFonts w:hint="default" w:ascii="Times New Roman" w:hAnsi="Times New Roman" w:eastAsia="仿宋" w:cs="Times New Roman"/>
                <w:color w:val="000000" w:themeColor="text1"/>
                <w:kern w:val="2"/>
                <w:sz w:val="24"/>
                <w:szCs w:val="24"/>
                <w:highlight w:val="none"/>
                <w:u w:val="none"/>
                <w:lang w:val="en-US" w:eastAsia="zh-CN"/>
                <w14:textFill>
                  <w14:solidFill>
                    <w14:schemeClr w14:val="tx1"/>
                  </w14:solidFill>
                </w14:textFill>
              </w:rPr>
              <w:t>①</w:t>
            </w: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fldChar w:fldCharType="end"/>
            </w:r>
          </w:p>
        </w:tc>
        <w:tc>
          <w:tcPr>
            <w:tcW w:w="1276" w:type="dxa"/>
            <w:noWrap w:val="0"/>
            <w:tcMar>
              <w:left w:w="28" w:type="dxa"/>
              <w:right w:w="28" w:type="dxa"/>
            </w:tcMar>
            <w:vAlign w:val="center"/>
          </w:tcPr>
          <w:p w14:paraId="0EF0B8BE">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t>现有工程</w:t>
            </w:r>
          </w:p>
          <w:p w14:paraId="78C0AF28">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t>许可排放量</w:t>
            </w:r>
          </w:p>
          <w:p w14:paraId="34CAC412">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instrText xml:space="preserve"> = 2 \* GB3 \* MERGEFORMAT </w:instrText>
            </w: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fldChar w:fldCharType="separate"/>
            </w: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t>②</w:t>
            </w: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fldChar w:fldCharType="end"/>
            </w:r>
          </w:p>
        </w:tc>
        <w:tc>
          <w:tcPr>
            <w:tcW w:w="1701" w:type="dxa"/>
            <w:noWrap w:val="0"/>
            <w:tcMar>
              <w:left w:w="28" w:type="dxa"/>
              <w:right w:w="28" w:type="dxa"/>
            </w:tcMar>
            <w:vAlign w:val="center"/>
          </w:tcPr>
          <w:p w14:paraId="604407BF">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t>在建工程</w:t>
            </w:r>
          </w:p>
          <w:p w14:paraId="7B2EE377">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t>排放量（固体废物产生量）</w:t>
            </w: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instrText xml:space="preserve"> = 3 \* GB3 \* MERGEFORMAT </w:instrText>
            </w: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fldChar w:fldCharType="separate"/>
            </w:r>
            <w:r>
              <w:rPr>
                <w:rFonts w:hint="default" w:ascii="Times New Roman" w:hAnsi="Times New Roman" w:eastAsia="仿宋" w:cs="Times New Roman"/>
                <w:color w:val="000000" w:themeColor="text1"/>
                <w:kern w:val="2"/>
                <w:sz w:val="24"/>
                <w:szCs w:val="24"/>
                <w:highlight w:val="none"/>
                <w:u w:val="none"/>
                <w:lang w:val="en-US" w:eastAsia="zh-CN"/>
                <w14:textFill>
                  <w14:solidFill>
                    <w14:schemeClr w14:val="tx1"/>
                  </w14:solidFill>
                </w14:textFill>
              </w:rPr>
              <w:t>③</w:t>
            </w: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fldChar w:fldCharType="end"/>
            </w:r>
          </w:p>
        </w:tc>
        <w:tc>
          <w:tcPr>
            <w:tcW w:w="1559" w:type="dxa"/>
            <w:noWrap w:val="0"/>
            <w:tcMar>
              <w:left w:w="28" w:type="dxa"/>
              <w:right w:w="28" w:type="dxa"/>
            </w:tcMar>
            <w:vAlign w:val="center"/>
          </w:tcPr>
          <w:p w14:paraId="21845193">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t>本项目</w:t>
            </w:r>
          </w:p>
          <w:p w14:paraId="713243CB">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t>排放量（固体废物产生量）</w:t>
            </w: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instrText xml:space="preserve"> = 4 \* GB3 \* MERGEFORMAT </w:instrText>
            </w: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fldChar w:fldCharType="separate"/>
            </w:r>
            <w:r>
              <w:rPr>
                <w:rFonts w:hint="default" w:ascii="Times New Roman" w:hAnsi="Times New Roman" w:eastAsia="仿宋" w:cs="Times New Roman"/>
                <w:color w:val="000000" w:themeColor="text1"/>
                <w:kern w:val="2"/>
                <w:sz w:val="24"/>
                <w:szCs w:val="24"/>
                <w:highlight w:val="none"/>
                <w:u w:val="none"/>
                <w:lang w:val="en-US" w:eastAsia="zh-CN"/>
                <w14:textFill>
                  <w14:solidFill>
                    <w14:schemeClr w14:val="tx1"/>
                  </w14:solidFill>
                </w14:textFill>
              </w:rPr>
              <w:t>④</w:t>
            </w: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fldChar w:fldCharType="end"/>
            </w:r>
          </w:p>
        </w:tc>
        <w:tc>
          <w:tcPr>
            <w:tcW w:w="1761" w:type="dxa"/>
            <w:noWrap w:val="0"/>
            <w:tcMar>
              <w:left w:w="28" w:type="dxa"/>
              <w:right w:w="28" w:type="dxa"/>
            </w:tcMar>
            <w:vAlign w:val="center"/>
          </w:tcPr>
          <w:p w14:paraId="12A3CEFE">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spacing w:val="-16"/>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16"/>
                <w:kern w:val="21"/>
                <w:sz w:val="24"/>
                <w:szCs w:val="24"/>
                <w:highlight w:val="none"/>
                <w:u w:val="none"/>
                <w:lang w:val="en-US" w:eastAsia="zh-CN"/>
                <w14:textFill>
                  <w14:solidFill>
                    <w14:schemeClr w14:val="tx1"/>
                  </w14:solidFill>
                </w14:textFill>
              </w:rPr>
              <w:t>以新带老削减量</w:t>
            </w:r>
          </w:p>
          <w:p w14:paraId="25FE6814">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spacing w:val="-16"/>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16"/>
                <w:kern w:val="21"/>
                <w:sz w:val="24"/>
                <w:szCs w:val="24"/>
                <w:highlight w:val="none"/>
                <w:u w:val="none"/>
                <w:lang w:val="en-US" w:eastAsia="zh-CN"/>
                <w14:textFill>
                  <w14:solidFill>
                    <w14:schemeClr w14:val="tx1"/>
                  </w14:solidFill>
                </w14:textFill>
              </w:rPr>
              <w:t>（新建项目不填）</w:t>
            </w:r>
            <w:r>
              <w:rPr>
                <w:rFonts w:hint="default" w:ascii="Times New Roman" w:hAnsi="Times New Roman" w:eastAsia="仿宋" w:cs="Times New Roman"/>
                <w:snapToGrid w:val="0"/>
                <w:color w:val="000000" w:themeColor="text1"/>
                <w:spacing w:val="-16"/>
                <w:kern w:val="21"/>
                <w:sz w:val="24"/>
                <w:szCs w:val="24"/>
                <w:highlight w:val="none"/>
                <w:u w:val="none"/>
                <w:lang w:val="en-US" w:eastAsia="zh-CN"/>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16"/>
                <w:kern w:val="21"/>
                <w:sz w:val="24"/>
                <w:szCs w:val="24"/>
                <w:highlight w:val="none"/>
                <w:u w:val="none"/>
                <w:lang w:val="en-US" w:eastAsia="zh-CN"/>
                <w14:textFill>
                  <w14:solidFill>
                    <w14:schemeClr w14:val="tx1"/>
                  </w14:solidFill>
                </w14:textFill>
              </w:rPr>
              <w:instrText xml:space="preserve"> = 5 \* GB3 \* MERGEFORMAT </w:instrText>
            </w:r>
            <w:r>
              <w:rPr>
                <w:rFonts w:hint="default" w:ascii="Times New Roman" w:hAnsi="Times New Roman" w:eastAsia="仿宋" w:cs="Times New Roman"/>
                <w:snapToGrid w:val="0"/>
                <w:color w:val="000000" w:themeColor="text1"/>
                <w:spacing w:val="-16"/>
                <w:kern w:val="21"/>
                <w:sz w:val="24"/>
                <w:szCs w:val="24"/>
                <w:highlight w:val="none"/>
                <w:u w:val="none"/>
                <w:lang w:val="en-US" w:eastAsia="zh-CN"/>
                <w14:textFill>
                  <w14:solidFill>
                    <w14:schemeClr w14:val="tx1"/>
                  </w14:solidFill>
                </w14:textFill>
              </w:rPr>
              <w:fldChar w:fldCharType="separate"/>
            </w:r>
            <w:r>
              <w:rPr>
                <w:rFonts w:hint="default" w:ascii="Times New Roman" w:hAnsi="Times New Roman" w:eastAsia="仿宋" w:cs="Times New Roman"/>
                <w:color w:val="000000" w:themeColor="text1"/>
                <w:kern w:val="2"/>
                <w:sz w:val="24"/>
                <w:szCs w:val="24"/>
                <w:highlight w:val="none"/>
                <w:u w:val="none"/>
                <w:lang w:val="en-US" w:eastAsia="zh-CN"/>
                <w14:textFill>
                  <w14:solidFill>
                    <w14:schemeClr w14:val="tx1"/>
                  </w14:solidFill>
                </w14:textFill>
              </w:rPr>
              <w:t>⑤</w:t>
            </w:r>
            <w:r>
              <w:rPr>
                <w:rFonts w:hint="default" w:ascii="Times New Roman" w:hAnsi="Times New Roman" w:eastAsia="仿宋" w:cs="Times New Roman"/>
                <w:snapToGrid w:val="0"/>
                <w:color w:val="000000" w:themeColor="text1"/>
                <w:spacing w:val="-16"/>
                <w:kern w:val="21"/>
                <w:sz w:val="24"/>
                <w:szCs w:val="24"/>
                <w:highlight w:val="none"/>
                <w:u w:val="none"/>
                <w:lang w:val="en-US" w:eastAsia="zh-CN"/>
                <w14:textFill>
                  <w14:solidFill>
                    <w14:schemeClr w14:val="tx1"/>
                  </w14:solidFill>
                </w14:textFill>
              </w:rPr>
              <w:fldChar w:fldCharType="end"/>
            </w:r>
          </w:p>
        </w:tc>
        <w:tc>
          <w:tcPr>
            <w:tcW w:w="1705" w:type="dxa"/>
            <w:noWrap w:val="0"/>
            <w:tcMar>
              <w:left w:w="28" w:type="dxa"/>
              <w:right w:w="28" w:type="dxa"/>
            </w:tcMar>
            <w:vAlign w:val="center"/>
          </w:tcPr>
          <w:p w14:paraId="666700C3">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spacing w:val="-16"/>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16"/>
                <w:kern w:val="21"/>
                <w:sz w:val="24"/>
                <w:szCs w:val="24"/>
                <w:highlight w:val="none"/>
                <w:u w:val="none"/>
                <w:lang w:val="en-US" w:eastAsia="zh-CN"/>
                <w14:textFill>
                  <w14:solidFill>
                    <w14:schemeClr w14:val="tx1"/>
                  </w14:solidFill>
                </w14:textFill>
              </w:rPr>
              <w:t>本项目建成后</w:t>
            </w:r>
          </w:p>
          <w:p w14:paraId="546FF5CA">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spacing w:val="-16"/>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16"/>
                <w:kern w:val="21"/>
                <w:sz w:val="24"/>
                <w:szCs w:val="24"/>
                <w:highlight w:val="none"/>
                <w:u w:val="none"/>
                <w:lang w:val="en-US" w:eastAsia="zh-CN"/>
                <w14:textFill>
                  <w14:solidFill>
                    <w14:schemeClr w14:val="tx1"/>
                  </w14:solidFill>
                </w14:textFill>
              </w:rPr>
              <w:t>全厂排放量（固体废物产生量）</w:t>
            </w:r>
            <w:r>
              <w:rPr>
                <w:rFonts w:hint="default" w:ascii="Times New Roman" w:hAnsi="Times New Roman" w:eastAsia="仿宋" w:cs="Times New Roman"/>
                <w:snapToGrid w:val="0"/>
                <w:color w:val="000000" w:themeColor="text1"/>
                <w:spacing w:val="-16"/>
                <w:kern w:val="21"/>
                <w:sz w:val="24"/>
                <w:szCs w:val="24"/>
                <w:highlight w:val="none"/>
                <w:u w:val="none"/>
                <w:lang w:val="en-US" w:eastAsia="zh-CN"/>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16"/>
                <w:kern w:val="21"/>
                <w:sz w:val="24"/>
                <w:szCs w:val="24"/>
                <w:highlight w:val="none"/>
                <w:u w:val="none"/>
                <w:lang w:val="en-US" w:eastAsia="zh-CN"/>
                <w14:textFill>
                  <w14:solidFill>
                    <w14:schemeClr w14:val="tx1"/>
                  </w14:solidFill>
                </w14:textFill>
              </w:rPr>
              <w:instrText xml:space="preserve"> = 6 \* GB3 \* MERGEFORMAT </w:instrText>
            </w:r>
            <w:r>
              <w:rPr>
                <w:rFonts w:hint="default" w:ascii="Times New Roman" w:hAnsi="Times New Roman" w:eastAsia="仿宋" w:cs="Times New Roman"/>
                <w:snapToGrid w:val="0"/>
                <w:color w:val="000000" w:themeColor="text1"/>
                <w:spacing w:val="-16"/>
                <w:kern w:val="21"/>
                <w:sz w:val="24"/>
                <w:szCs w:val="24"/>
                <w:highlight w:val="none"/>
                <w:u w:val="none"/>
                <w:lang w:val="en-US" w:eastAsia="zh-CN"/>
                <w14:textFill>
                  <w14:solidFill>
                    <w14:schemeClr w14:val="tx1"/>
                  </w14:solidFill>
                </w14:textFill>
              </w:rPr>
              <w:fldChar w:fldCharType="separate"/>
            </w:r>
            <w:r>
              <w:rPr>
                <w:rFonts w:hint="default" w:ascii="Times New Roman" w:hAnsi="Times New Roman" w:eastAsia="仿宋" w:cs="Times New Roman"/>
                <w:color w:val="000000" w:themeColor="text1"/>
                <w:kern w:val="2"/>
                <w:sz w:val="24"/>
                <w:szCs w:val="24"/>
                <w:highlight w:val="none"/>
                <w:u w:val="none"/>
                <w:lang w:val="en-US" w:eastAsia="zh-CN"/>
                <w14:textFill>
                  <w14:solidFill>
                    <w14:schemeClr w14:val="tx1"/>
                  </w14:solidFill>
                </w14:textFill>
              </w:rPr>
              <w:t>⑥</w:t>
            </w:r>
            <w:r>
              <w:rPr>
                <w:rFonts w:hint="default" w:ascii="Times New Roman" w:hAnsi="Times New Roman" w:eastAsia="仿宋" w:cs="Times New Roman"/>
                <w:snapToGrid w:val="0"/>
                <w:color w:val="000000" w:themeColor="text1"/>
                <w:spacing w:val="-16"/>
                <w:kern w:val="21"/>
                <w:sz w:val="24"/>
                <w:szCs w:val="24"/>
                <w:highlight w:val="none"/>
                <w:u w:val="none"/>
                <w:lang w:val="en-US" w:eastAsia="zh-CN"/>
                <w14:textFill>
                  <w14:solidFill>
                    <w14:schemeClr w14:val="tx1"/>
                  </w14:solidFill>
                </w14:textFill>
              </w:rPr>
              <w:fldChar w:fldCharType="end"/>
            </w:r>
          </w:p>
        </w:tc>
        <w:tc>
          <w:tcPr>
            <w:tcW w:w="1185" w:type="dxa"/>
            <w:noWrap w:val="0"/>
            <w:tcMar>
              <w:left w:w="28" w:type="dxa"/>
              <w:right w:w="28" w:type="dxa"/>
            </w:tcMar>
            <w:vAlign w:val="center"/>
          </w:tcPr>
          <w:p w14:paraId="3A3A9681">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t>变化量</w:t>
            </w:r>
          </w:p>
          <w:p w14:paraId="2415354A">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instrText xml:space="preserve"> = 7 \* GB3 \* MERGEFORMAT </w:instrText>
            </w: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fldChar w:fldCharType="separate"/>
            </w:r>
            <w:r>
              <w:rPr>
                <w:rFonts w:hint="default" w:ascii="Times New Roman" w:hAnsi="Times New Roman" w:eastAsia="仿宋" w:cs="Times New Roman"/>
                <w:color w:val="000000" w:themeColor="text1"/>
                <w:kern w:val="2"/>
                <w:sz w:val="24"/>
                <w:szCs w:val="24"/>
                <w:highlight w:val="none"/>
                <w:u w:val="none"/>
                <w:lang w:val="en-US" w:eastAsia="zh-CN"/>
                <w14:textFill>
                  <w14:solidFill>
                    <w14:schemeClr w14:val="tx1"/>
                  </w14:solidFill>
                </w14:textFill>
              </w:rPr>
              <w:t>⑦</w:t>
            </w:r>
            <w:r>
              <w:rPr>
                <w:rFonts w:hint="default" w:ascii="Times New Roman" w:hAnsi="Times New Roman" w:eastAsia="仿宋" w:cs="Times New Roman"/>
                <w:snapToGrid w:val="0"/>
                <w:color w:val="000000" w:themeColor="text1"/>
                <w:spacing w:val="-6"/>
                <w:kern w:val="21"/>
                <w:sz w:val="24"/>
                <w:szCs w:val="24"/>
                <w:highlight w:val="none"/>
                <w:u w:val="none"/>
                <w:lang w:val="en-US" w:eastAsia="zh-CN"/>
                <w14:textFill>
                  <w14:solidFill>
                    <w14:schemeClr w14:val="tx1"/>
                  </w14:solidFill>
                </w14:textFill>
              </w:rPr>
              <w:fldChar w:fldCharType="end"/>
            </w:r>
          </w:p>
        </w:tc>
      </w:tr>
      <w:tr w14:paraId="181B9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7" w:type="dxa"/>
            <w:noWrap w:val="0"/>
            <w:vAlign w:val="center"/>
          </w:tcPr>
          <w:p w14:paraId="12C352B2">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t>废气</w:t>
            </w:r>
          </w:p>
        </w:tc>
        <w:tc>
          <w:tcPr>
            <w:tcW w:w="1568" w:type="dxa"/>
            <w:noWrap w:val="0"/>
            <w:vAlign w:val="center"/>
          </w:tcPr>
          <w:p w14:paraId="2F635F60">
            <w:pPr>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颗粒物</w:t>
            </w:r>
          </w:p>
        </w:tc>
        <w:tc>
          <w:tcPr>
            <w:tcW w:w="1701" w:type="dxa"/>
            <w:noWrap w:val="0"/>
            <w:vAlign w:val="center"/>
          </w:tcPr>
          <w:p w14:paraId="1EE7F3EF">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t>/</w:t>
            </w:r>
          </w:p>
        </w:tc>
        <w:tc>
          <w:tcPr>
            <w:tcW w:w="1276" w:type="dxa"/>
            <w:noWrap w:val="0"/>
            <w:vAlign w:val="center"/>
          </w:tcPr>
          <w:p w14:paraId="557B9893">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t>/</w:t>
            </w:r>
          </w:p>
        </w:tc>
        <w:tc>
          <w:tcPr>
            <w:tcW w:w="1701" w:type="dxa"/>
            <w:noWrap w:val="0"/>
            <w:vAlign w:val="center"/>
          </w:tcPr>
          <w:p w14:paraId="6B7982E4">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t>/</w:t>
            </w:r>
          </w:p>
        </w:tc>
        <w:tc>
          <w:tcPr>
            <w:tcW w:w="1559" w:type="dxa"/>
            <w:noWrap w:val="0"/>
            <w:vAlign w:val="center"/>
          </w:tcPr>
          <w:p w14:paraId="38023FF6">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1.287</w:t>
            </w: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t/a</w:t>
            </w:r>
          </w:p>
        </w:tc>
        <w:tc>
          <w:tcPr>
            <w:tcW w:w="1761" w:type="dxa"/>
            <w:noWrap w:val="0"/>
            <w:vAlign w:val="center"/>
          </w:tcPr>
          <w:p w14:paraId="22F818A4">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w:t>
            </w:r>
          </w:p>
        </w:tc>
        <w:tc>
          <w:tcPr>
            <w:tcW w:w="1705" w:type="dxa"/>
            <w:noWrap w:val="0"/>
            <w:vAlign w:val="center"/>
          </w:tcPr>
          <w:p w14:paraId="50D2FD96">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1.287</w:t>
            </w: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t/a</w:t>
            </w:r>
          </w:p>
        </w:tc>
        <w:tc>
          <w:tcPr>
            <w:tcW w:w="1185" w:type="dxa"/>
            <w:noWrap w:val="0"/>
            <w:vAlign w:val="center"/>
          </w:tcPr>
          <w:p w14:paraId="33FF010D">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+1.287</w:t>
            </w: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t/a</w:t>
            </w:r>
          </w:p>
        </w:tc>
      </w:tr>
      <w:tr w14:paraId="6ECE07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7" w:type="dxa"/>
            <w:vMerge w:val="restart"/>
            <w:noWrap w:val="0"/>
            <w:vAlign w:val="center"/>
          </w:tcPr>
          <w:p w14:paraId="28F04384">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t>废水</w:t>
            </w:r>
          </w:p>
        </w:tc>
        <w:tc>
          <w:tcPr>
            <w:tcW w:w="1568" w:type="dxa"/>
            <w:noWrap w:val="0"/>
            <w:vAlign w:val="center"/>
          </w:tcPr>
          <w:p w14:paraId="6BAA6B03">
            <w:pPr>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COD</w:t>
            </w:r>
            <w:r>
              <w:rPr>
                <w:rFonts w:hint="default" w:ascii="Times New Roman" w:hAnsi="Times New Roman" w:eastAsia="仿宋" w:cs="Times New Roman"/>
                <w:color w:val="000000" w:themeColor="text1"/>
                <w:sz w:val="24"/>
                <w:highlight w:val="none"/>
                <w:u w:val="none"/>
                <w:vertAlign w:val="subscript"/>
                <w14:textFill>
                  <w14:solidFill>
                    <w14:schemeClr w14:val="tx1"/>
                  </w14:solidFill>
                </w14:textFill>
              </w:rPr>
              <w:t>Gr</w:t>
            </w:r>
          </w:p>
        </w:tc>
        <w:tc>
          <w:tcPr>
            <w:tcW w:w="1701" w:type="dxa"/>
            <w:noWrap w:val="0"/>
            <w:vAlign w:val="center"/>
          </w:tcPr>
          <w:p w14:paraId="1B61012E">
            <w:pPr>
              <w:pStyle w:val="49"/>
              <w:spacing w:before="0" w:beforeLines="0" w:afterLines="0" w:line="240" w:lineRule="auto"/>
              <w:ind w:right="0" w:rightChars="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t>/</w:t>
            </w:r>
          </w:p>
        </w:tc>
        <w:tc>
          <w:tcPr>
            <w:tcW w:w="1276" w:type="dxa"/>
            <w:noWrap w:val="0"/>
            <w:vAlign w:val="center"/>
          </w:tcPr>
          <w:p w14:paraId="79867F90">
            <w:pPr>
              <w:pStyle w:val="49"/>
              <w:spacing w:before="0" w:beforeLines="0" w:afterLines="0" w:line="240" w:lineRule="auto"/>
              <w:ind w:right="0" w:rightChars="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t>/</w:t>
            </w:r>
          </w:p>
        </w:tc>
        <w:tc>
          <w:tcPr>
            <w:tcW w:w="1701" w:type="dxa"/>
            <w:noWrap w:val="0"/>
            <w:vAlign w:val="center"/>
          </w:tcPr>
          <w:p w14:paraId="7F4E1442">
            <w:pPr>
              <w:pStyle w:val="49"/>
              <w:spacing w:before="0" w:beforeLines="0" w:afterLines="0" w:line="240" w:lineRule="auto"/>
              <w:ind w:right="0" w:rightChars="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t>/</w:t>
            </w:r>
          </w:p>
        </w:tc>
        <w:tc>
          <w:tcPr>
            <w:tcW w:w="1559" w:type="dxa"/>
            <w:noWrap w:val="0"/>
            <w:vAlign w:val="center"/>
          </w:tcPr>
          <w:p w14:paraId="5FE21C68">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0</w:t>
            </w:r>
          </w:p>
        </w:tc>
        <w:tc>
          <w:tcPr>
            <w:tcW w:w="1761" w:type="dxa"/>
            <w:noWrap w:val="0"/>
            <w:vAlign w:val="center"/>
          </w:tcPr>
          <w:p w14:paraId="0CBF1CC9">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w:t>
            </w:r>
          </w:p>
        </w:tc>
        <w:tc>
          <w:tcPr>
            <w:tcW w:w="1705" w:type="dxa"/>
            <w:noWrap w:val="0"/>
            <w:vAlign w:val="center"/>
          </w:tcPr>
          <w:p w14:paraId="00C1D7D5">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0</w:t>
            </w:r>
          </w:p>
        </w:tc>
        <w:tc>
          <w:tcPr>
            <w:tcW w:w="1185" w:type="dxa"/>
            <w:noWrap w:val="0"/>
            <w:vAlign w:val="center"/>
          </w:tcPr>
          <w:p w14:paraId="549BEF67">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0</w:t>
            </w:r>
          </w:p>
        </w:tc>
      </w:tr>
      <w:tr w14:paraId="39ED59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7" w:type="dxa"/>
            <w:vMerge w:val="continue"/>
            <w:noWrap w:val="0"/>
            <w:vAlign w:val="center"/>
          </w:tcPr>
          <w:p w14:paraId="145A8484">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p>
        </w:tc>
        <w:tc>
          <w:tcPr>
            <w:tcW w:w="1568" w:type="dxa"/>
            <w:noWrap w:val="0"/>
            <w:vAlign w:val="center"/>
          </w:tcPr>
          <w:p w14:paraId="31EC4D2A">
            <w:pPr>
              <w:jc w:val="center"/>
              <w:rPr>
                <w:rFonts w:hint="default" w:ascii="Times New Roman" w:hAnsi="Times New Roman" w:eastAsia="仿宋" w:cs="Times New Roman"/>
                <w:color w:val="000000" w:themeColor="text1"/>
                <w:sz w:val="24"/>
                <w:highlight w:val="none"/>
                <w:u w:val="none"/>
                <w14:textFill>
                  <w14:solidFill>
                    <w14:schemeClr w14:val="tx1"/>
                  </w14:solidFill>
                </w14:textFill>
              </w:rPr>
            </w:pPr>
            <w:r>
              <w:rPr>
                <w:rFonts w:hint="default" w:ascii="Times New Roman" w:hAnsi="Times New Roman" w:eastAsia="仿宋" w:cs="Times New Roman"/>
                <w:color w:val="000000" w:themeColor="text1"/>
                <w:sz w:val="24"/>
                <w:highlight w:val="none"/>
                <w:u w:val="none"/>
                <w14:textFill>
                  <w14:solidFill>
                    <w14:schemeClr w14:val="tx1"/>
                  </w14:solidFill>
                </w14:textFill>
              </w:rPr>
              <w:t>NH</w:t>
            </w:r>
            <w:r>
              <w:rPr>
                <w:rFonts w:hint="default" w:ascii="Times New Roman" w:hAnsi="Times New Roman" w:eastAsia="仿宋" w:cs="Times New Roman"/>
                <w:color w:val="000000" w:themeColor="text1"/>
                <w:sz w:val="24"/>
                <w:highlight w:val="none"/>
                <w:u w:val="none"/>
                <w:vertAlign w:val="subscript"/>
                <w14:textFill>
                  <w14:solidFill>
                    <w14:schemeClr w14:val="tx1"/>
                  </w14:solidFill>
                </w14:textFill>
              </w:rPr>
              <w:t>3</w:t>
            </w:r>
            <w:r>
              <w:rPr>
                <w:rFonts w:hint="default" w:ascii="Times New Roman" w:hAnsi="Times New Roman" w:eastAsia="仿宋" w:cs="Times New Roman"/>
                <w:color w:val="000000" w:themeColor="text1"/>
                <w:sz w:val="24"/>
                <w:highlight w:val="none"/>
                <w:u w:val="none"/>
                <w14:textFill>
                  <w14:solidFill>
                    <w14:schemeClr w14:val="tx1"/>
                  </w14:solidFill>
                </w14:textFill>
              </w:rPr>
              <w:t>-N</w:t>
            </w:r>
          </w:p>
        </w:tc>
        <w:tc>
          <w:tcPr>
            <w:tcW w:w="1701" w:type="dxa"/>
            <w:noWrap w:val="0"/>
            <w:vAlign w:val="center"/>
          </w:tcPr>
          <w:p w14:paraId="1DF656FA">
            <w:pPr>
              <w:pStyle w:val="49"/>
              <w:spacing w:before="0" w:beforeLines="0" w:afterLines="0" w:line="240" w:lineRule="auto"/>
              <w:ind w:right="0" w:rightChars="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t>/</w:t>
            </w:r>
          </w:p>
        </w:tc>
        <w:tc>
          <w:tcPr>
            <w:tcW w:w="1276" w:type="dxa"/>
            <w:noWrap w:val="0"/>
            <w:vAlign w:val="center"/>
          </w:tcPr>
          <w:p w14:paraId="3E2A78E7">
            <w:pPr>
              <w:pStyle w:val="49"/>
              <w:spacing w:before="0" w:beforeLines="0" w:afterLines="0" w:line="240" w:lineRule="auto"/>
              <w:ind w:right="0" w:rightChars="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t>/</w:t>
            </w:r>
          </w:p>
        </w:tc>
        <w:tc>
          <w:tcPr>
            <w:tcW w:w="1701" w:type="dxa"/>
            <w:noWrap w:val="0"/>
            <w:vAlign w:val="center"/>
          </w:tcPr>
          <w:p w14:paraId="23273C52">
            <w:pPr>
              <w:pStyle w:val="49"/>
              <w:spacing w:before="0" w:beforeLines="0" w:afterLines="0" w:line="240" w:lineRule="auto"/>
              <w:ind w:right="0" w:rightChars="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t>/</w:t>
            </w:r>
          </w:p>
        </w:tc>
        <w:tc>
          <w:tcPr>
            <w:tcW w:w="1559" w:type="dxa"/>
            <w:noWrap w:val="0"/>
            <w:vAlign w:val="center"/>
          </w:tcPr>
          <w:p w14:paraId="6034B1D1">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0</w:t>
            </w:r>
          </w:p>
        </w:tc>
        <w:tc>
          <w:tcPr>
            <w:tcW w:w="1761" w:type="dxa"/>
            <w:noWrap w:val="0"/>
            <w:vAlign w:val="center"/>
          </w:tcPr>
          <w:p w14:paraId="10466EF3">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w:t>
            </w:r>
          </w:p>
        </w:tc>
        <w:tc>
          <w:tcPr>
            <w:tcW w:w="1705" w:type="dxa"/>
            <w:noWrap w:val="0"/>
            <w:vAlign w:val="center"/>
          </w:tcPr>
          <w:p w14:paraId="79A1099A">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0</w:t>
            </w:r>
          </w:p>
        </w:tc>
        <w:tc>
          <w:tcPr>
            <w:tcW w:w="1185" w:type="dxa"/>
            <w:noWrap w:val="0"/>
            <w:vAlign w:val="center"/>
          </w:tcPr>
          <w:p w14:paraId="528B8A73">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0</w:t>
            </w:r>
          </w:p>
        </w:tc>
      </w:tr>
      <w:tr w14:paraId="469FB2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7" w:type="dxa"/>
            <w:vMerge w:val="restart"/>
            <w:noWrap w:val="0"/>
            <w:vAlign w:val="center"/>
          </w:tcPr>
          <w:p w14:paraId="574BA9DC">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t>一般工业</w:t>
            </w:r>
          </w:p>
          <w:p w14:paraId="75B2BC19">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t>固体废物</w:t>
            </w:r>
          </w:p>
        </w:tc>
        <w:tc>
          <w:tcPr>
            <w:tcW w:w="1568" w:type="dxa"/>
            <w:noWrap w:val="0"/>
            <w:vAlign w:val="center"/>
          </w:tcPr>
          <w:p w14:paraId="70EC8D8C">
            <w:pPr>
              <w:adjustRightInd w:val="0"/>
              <w:snapToGrid w:val="0"/>
              <w:jc w:val="center"/>
              <w:rPr>
                <w:rFonts w:hint="default" w:ascii="Times New Roman" w:hAnsi="Times New Roman" w:eastAsia="仿宋" w:cs="Times New Roman"/>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 w:val="24"/>
                <w:szCs w:val="24"/>
                <w:highlight w:val="none"/>
                <w:u w:val="none"/>
                <w:lang w:val="en-US" w:eastAsia="zh-CN"/>
                <w14:textFill>
                  <w14:solidFill>
                    <w14:schemeClr w14:val="tx1"/>
                  </w14:solidFill>
                </w14:textFill>
              </w:rPr>
              <w:t>收集粉尘</w:t>
            </w:r>
          </w:p>
        </w:tc>
        <w:tc>
          <w:tcPr>
            <w:tcW w:w="1701" w:type="dxa"/>
            <w:noWrap w:val="0"/>
            <w:vAlign w:val="center"/>
          </w:tcPr>
          <w:p w14:paraId="37AEEF2E">
            <w:pPr>
              <w:pStyle w:val="49"/>
              <w:spacing w:before="0" w:beforeLines="0" w:afterLines="0" w:line="240" w:lineRule="auto"/>
              <w:ind w:right="0" w:rightChars="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t>/</w:t>
            </w:r>
          </w:p>
        </w:tc>
        <w:tc>
          <w:tcPr>
            <w:tcW w:w="1276" w:type="dxa"/>
            <w:noWrap w:val="0"/>
            <w:vAlign w:val="center"/>
          </w:tcPr>
          <w:p w14:paraId="676FDF68">
            <w:pPr>
              <w:pStyle w:val="49"/>
              <w:spacing w:before="0" w:beforeLines="0" w:afterLines="0" w:line="240" w:lineRule="auto"/>
              <w:ind w:right="0" w:rightChars="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t>/</w:t>
            </w:r>
          </w:p>
        </w:tc>
        <w:tc>
          <w:tcPr>
            <w:tcW w:w="1701" w:type="dxa"/>
            <w:noWrap w:val="0"/>
            <w:vAlign w:val="center"/>
          </w:tcPr>
          <w:p w14:paraId="077995D4">
            <w:pPr>
              <w:pStyle w:val="49"/>
              <w:spacing w:before="0" w:beforeLines="0" w:afterLines="0" w:line="240" w:lineRule="auto"/>
              <w:ind w:right="0" w:rightChars="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t>/</w:t>
            </w:r>
          </w:p>
        </w:tc>
        <w:tc>
          <w:tcPr>
            <w:tcW w:w="1559" w:type="dxa"/>
            <w:noWrap w:val="0"/>
            <w:vAlign w:val="center"/>
          </w:tcPr>
          <w:p w14:paraId="42733A08">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12.63</w:t>
            </w: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t/a</w:t>
            </w:r>
          </w:p>
        </w:tc>
        <w:tc>
          <w:tcPr>
            <w:tcW w:w="1761" w:type="dxa"/>
            <w:noWrap w:val="0"/>
            <w:vAlign w:val="center"/>
          </w:tcPr>
          <w:p w14:paraId="0AA734A6">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w:t>
            </w:r>
          </w:p>
        </w:tc>
        <w:tc>
          <w:tcPr>
            <w:tcW w:w="1705" w:type="dxa"/>
            <w:noWrap w:val="0"/>
            <w:vAlign w:val="center"/>
          </w:tcPr>
          <w:p w14:paraId="1754EA40">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12.63</w:t>
            </w: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t/a</w:t>
            </w:r>
          </w:p>
        </w:tc>
        <w:tc>
          <w:tcPr>
            <w:tcW w:w="1185" w:type="dxa"/>
            <w:noWrap w:val="0"/>
            <w:vAlign w:val="center"/>
          </w:tcPr>
          <w:p w14:paraId="316346FA">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+12.63</w:t>
            </w: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t/a</w:t>
            </w:r>
          </w:p>
        </w:tc>
      </w:tr>
      <w:tr w14:paraId="44A44B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7" w:type="dxa"/>
            <w:vMerge w:val="continue"/>
            <w:noWrap w:val="0"/>
            <w:vAlign w:val="center"/>
          </w:tcPr>
          <w:p w14:paraId="69D504D3">
            <w:pPr>
              <w:pStyle w:val="49"/>
              <w:spacing w:before="0" w:beforeLines="0" w:afterLines="0" w:line="240" w:lineRule="auto"/>
              <w:ind w:right="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p>
        </w:tc>
        <w:tc>
          <w:tcPr>
            <w:tcW w:w="1568" w:type="dxa"/>
            <w:noWrap w:val="0"/>
            <w:vAlign w:val="center"/>
          </w:tcPr>
          <w:p w14:paraId="5350B788">
            <w:pPr>
              <w:adjustRightInd w:val="0"/>
              <w:snapToGrid w:val="0"/>
              <w:jc w:val="center"/>
              <w:rPr>
                <w:rFonts w:hint="default" w:ascii="Times New Roman" w:hAnsi="Times New Roman" w:eastAsia="仿宋" w:cs="Times New Roman"/>
                <w:bCs/>
                <w:color w:val="000000" w:themeColor="text1"/>
                <w:sz w:val="24"/>
                <w:highlight w:val="none"/>
                <w:u w:val="none"/>
                <w:lang w:eastAsia="zh-CN"/>
                <w14:textFill>
                  <w14:solidFill>
                    <w14:schemeClr w14:val="tx1"/>
                  </w14:solidFill>
                </w14:textFill>
              </w:rPr>
            </w:pP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生活垃圾</w:t>
            </w:r>
          </w:p>
        </w:tc>
        <w:tc>
          <w:tcPr>
            <w:tcW w:w="1701" w:type="dxa"/>
            <w:noWrap w:val="0"/>
            <w:vAlign w:val="center"/>
          </w:tcPr>
          <w:p w14:paraId="1080D4C9">
            <w:pPr>
              <w:pStyle w:val="49"/>
              <w:spacing w:before="0" w:beforeLines="0" w:afterLines="0" w:line="240" w:lineRule="auto"/>
              <w:ind w:right="0" w:rightChars="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t>/</w:t>
            </w:r>
          </w:p>
        </w:tc>
        <w:tc>
          <w:tcPr>
            <w:tcW w:w="1276" w:type="dxa"/>
            <w:noWrap w:val="0"/>
            <w:vAlign w:val="center"/>
          </w:tcPr>
          <w:p w14:paraId="3ABDDF7A">
            <w:pPr>
              <w:pStyle w:val="49"/>
              <w:spacing w:before="0" w:beforeLines="0" w:afterLines="0" w:line="240" w:lineRule="auto"/>
              <w:ind w:right="0" w:rightChars="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t>/</w:t>
            </w:r>
          </w:p>
        </w:tc>
        <w:tc>
          <w:tcPr>
            <w:tcW w:w="1701" w:type="dxa"/>
            <w:noWrap w:val="0"/>
            <w:vAlign w:val="center"/>
          </w:tcPr>
          <w:p w14:paraId="03B5569B">
            <w:pPr>
              <w:pStyle w:val="49"/>
              <w:spacing w:before="0" w:beforeLines="0" w:afterLines="0" w:line="240" w:lineRule="auto"/>
              <w:ind w:right="0" w:rightChars="0" w:firstLine="0" w:firstLineChars="0"/>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pPr>
            <w:r>
              <w:rPr>
                <w:rFonts w:hint="default" w:ascii="Times New Roman" w:hAnsi="Times New Roman" w:eastAsia="仿宋" w:cs="Times New Roman"/>
                <w:snapToGrid w:val="0"/>
                <w:color w:val="000000" w:themeColor="text1"/>
                <w:kern w:val="21"/>
                <w:sz w:val="24"/>
                <w:szCs w:val="24"/>
                <w:highlight w:val="none"/>
                <w:u w:val="none"/>
                <w:lang w:val="en-US" w:eastAsia="zh-CN"/>
                <w14:textFill>
                  <w14:solidFill>
                    <w14:schemeClr w14:val="tx1"/>
                  </w14:solidFill>
                </w14:textFill>
              </w:rPr>
              <w:t>/</w:t>
            </w:r>
          </w:p>
        </w:tc>
        <w:tc>
          <w:tcPr>
            <w:tcW w:w="1559" w:type="dxa"/>
            <w:noWrap w:val="0"/>
            <w:vAlign w:val="center"/>
          </w:tcPr>
          <w:p w14:paraId="1EDA9AC8">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0.3</w:t>
            </w: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t/a</w:t>
            </w:r>
          </w:p>
        </w:tc>
        <w:tc>
          <w:tcPr>
            <w:tcW w:w="1761" w:type="dxa"/>
            <w:noWrap w:val="0"/>
            <w:vAlign w:val="center"/>
          </w:tcPr>
          <w:p w14:paraId="6869261C">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w:t>
            </w:r>
          </w:p>
        </w:tc>
        <w:tc>
          <w:tcPr>
            <w:tcW w:w="1705" w:type="dxa"/>
            <w:noWrap w:val="0"/>
            <w:vAlign w:val="center"/>
          </w:tcPr>
          <w:p w14:paraId="755CE742">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0.3</w:t>
            </w: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t/a</w:t>
            </w:r>
          </w:p>
        </w:tc>
        <w:tc>
          <w:tcPr>
            <w:tcW w:w="1185" w:type="dxa"/>
            <w:noWrap w:val="0"/>
            <w:vAlign w:val="center"/>
          </w:tcPr>
          <w:p w14:paraId="223A28D6">
            <w:pPr>
              <w:jc w:val="cente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color w:val="000000" w:themeColor="text1"/>
                <w:sz w:val="24"/>
                <w:highlight w:val="none"/>
                <w:u w:val="none"/>
                <w:lang w:val="en-US" w:eastAsia="zh-CN"/>
                <w14:textFill>
                  <w14:solidFill>
                    <w14:schemeClr w14:val="tx1"/>
                  </w14:solidFill>
                </w14:textFill>
              </w:rPr>
              <w:t>+0.3</w:t>
            </w:r>
            <w:r>
              <w:rPr>
                <w:rFonts w:hint="default" w:ascii="Times New Roman" w:hAnsi="Times New Roman" w:eastAsia="仿宋" w:cs="Times New Roman"/>
                <w:color w:val="000000" w:themeColor="text1"/>
                <w:sz w:val="24"/>
                <w:highlight w:val="none"/>
                <w:u w:val="none"/>
                <w:lang w:val="en-US" w:eastAsia="zh-CN"/>
                <w14:textFill>
                  <w14:solidFill>
                    <w14:schemeClr w14:val="tx1"/>
                  </w14:solidFill>
                </w14:textFill>
              </w:rPr>
              <w:t>t/a</w:t>
            </w:r>
          </w:p>
        </w:tc>
      </w:tr>
      <w:tr w14:paraId="62F6C0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7" w:type="dxa"/>
            <w:noWrap w:val="0"/>
            <w:vAlign w:val="center"/>
          </w:tcPr>
          <w:p w14:paraId="14620A6B">
            <w:pPr>
              <w:adjustRightInd w:val="0"/>
              <w:snapToGrid w:val="0"/>
              <w:jc w:val="cente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bCs/>
                <w:color w:val="000000" w:themeColor="text1"/>
                <w:sz w:val="24"/>
                <w:highlight w:val="none"/>
                <w:u w:val="none"/>
                <w:lang w:val="en-US" w:eastAsia="zh-CN"/>
                <w14:textFill>
                  <w14:solidFill>
                    <w14:schemeClr w14:val="tx1"/>
                  </w14:solidFill>
                </w14:textFill>
              </w:rPr>
              <w:t>危险废物</w:t>
            </w:r>
          </w:p>
        </w:tc>
        <w:tc>
          <w:tcPr>
            <w:tcW w:w="1568" w:type="dxa"/>
            <w:noWrap w:val="0"/>
            <w:vAlign w:val="center"/>
          </w:tcPr>
          <w:p w14:paraId="0A852595">
            <w:pPr>
              <w:adjustRightInd w:val="0"/>
              <w:snapToGrid w:val="0"/>
              <w:jc w:val="cente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pP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废润滑油</w:t>
            </w:r>
            <w:r>
              <w:rPr>
                <w:rFonts w:hint="eastAsia" w:ascii="Times New Roman" w:hAnsi="Times New Roman" w:eastAsia="仿宋" w:cs="Times New Roman"/>
                <w:bCs/>
                <w:color w:val="000000" w:themeColor="text1"/>
                <w:sz w:val="24"/>
                <w:highlight w:val="none"/>
                <w:u w:val="none"/>
                <w:lang w:val="en-US" w:eastAsia="zh-CN"/>
                <w14:textFill>
                  <w14:solidFill>
                    <w14:schemeClr w14:val="tx1"/>
                  </w14:solidFill>
                </w14:textFill>
              </w:rPr>
              <w:t>（废机油）</w:t>
            </w:r>
          </w:p>
        </w:tc>
        <w:tc>
          <w:tcPr>
            <w:tcW w:w="1701" w:type="dxa"/>
            <w:noWrap w:val="0"/>
            <w:vAlign w:val="center"/>
          </w:tcPr>
          <w:p w14:paraId="37DB5525">
            <w:pPr>
              <w:adjustRightInd w:val="0"/>
              <w:snapToGrid w:val="0"/>
              <w:jc w:val="cente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pPr>
          </w:p>
        </w:tc>
        <w:tc>
          <w:tcPr>
            <w:tcW w:w="1276" w:type="dxa"/>
            <w:noWrap w:val="0"/>
            <w:vAlign w:val="center"/>
          </w:tcPr>
          <w:p w14:paraId="78CF4AB5">
            <w:pPr>
              <w:adjustRightInd w:val="0"/>
              <w:snapToGrid w:val="0"/>
              <w:jc w:val="cente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pPr>
          </w:p>
        </w:tc>
        <w:tc>
          <w:tcPr>
            <w:tcW w:w="1701" w:type="dxa"/>
            <w:noWrap w:val="0"/>
            <w:vAlign w:val="center"/>
          </w:tcPr>
          <w:p w14:paraId="2FA6DC89">
            <w:pPr>
              <w:adjustRightInd w:val="0"/>
              <w:snapToGrid w:val="0"/>
              <w:jc w:val="cente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pPr>
          </w:p>
        </w:tc>
        <w:tc>
          <w:tcPr>
            <w:tcW w:w="1559" w:type="dxa"/>
            <w:noWrap w:val="0"/>
            <w:vAlign w:val="center"/>
          </w:tcPr>
          <w:p w14:paraId="3D40F0E5">
            <w:pPr>
              <w:adjustRightInd w:val="0"/>
              <w:snapToGrid w:val="0"/>
              <w:jc w:val="cente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bCs/>
                <w:color w:val="000000" w:themeColor="text1"/>
                <w:sz w:val="24"/>
                <w:highlight w:val="none"/>
                <w:u w:val="none"/>
                <w:lang w:val="en-US" w:eastAsia="zh-CN"/>
                <w14:textFill>
                  <w14:solidFill>
                    <w14:schemeClr w14:val="tx1"/>
                  </w14:solidFill>
                </w14:textFill>
              </w:rPr>
              <w:t>0.2</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t/a</w:t>
            </w:r>
          </w:p>
        </w:tc>
        <w:tc>
          <w:tcPr>
            <w:tcW w:w="1761" w:type="dxa"/>
            <w:noWrap w:val="0"/>
            <w:vAlign w:val="center"/>
          </w:tcPr>
          <w:p w14:paraId="146EA4A7">
            <w:pPr>
              <w:adjustRightInd w:val="0"/>
              <w:snapToGrid w:val="0"/>
              <w:jc w:val="cente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pPr>
          </w:p>
        </w:tc>
        <w:tc>
          <w:tcPr>
            <w:tcW w:w="1705" w:type="dxa"/>
            <w:noWrap w:val="0"/>
            <w:vAlign w:val="center"/>
          </w:tcPr>
          <w:p w14:paraId="05D4D120">
            <w:pPr>
              <w:adjustRightInd w:val="0"/>
              <w:snapToGrid w:val="0"/>
              <w:jc w:val="center"/>
              <w:rPr>
                <w:rFonts w:hint="eastAsia" w:ascii="Times New Roman" w:hAnsi="Times New Roman" w:eastAsia="仿宋" w:cs="Times New Roman"/>
                <w:bCs/>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bCs/>
                <w:color w:val="000000" w:themeColor="text1"/>
                <w:sz w:val="24"/>
                <w:highlight w:val="none"/>
                <w:u w:val="none"/>
                <w:lang w:val="en-US" w:eastAsia="zh-CN"/>
                <w14:textFill>
                  <w14:solidFill>
                    <w14:schemeClr w14:val="tx1"/>
                  </w14:solidFill>
                </w14:textFill>
              </w:rPr>
              <w:t>0.2</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t/a</w:t>
            </w:r>
          </w:p>
        </w:tc>
        <w:tc>
          <w:tcPr>
            <w:tcW w:w="1185" w:type="dxa"/>
            <w:noWrap w:val="0"/>
            <w:vAlign w:val="center"/>
          </w:tcPr>
          <w:p w14:paraId="6675224C">
            <w:pPr>
              <w:adjustRightInd w:val="0"/>
              <w:snapToGrid w:val="0"/>
              <w:jc w:val="cente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pPr>
            <w:r>
              <w:rPr>
                <w:rFonts w:hint="eastAsia" w:ascii="Times New Roman" w:hAnsi="Times New Roman" w:eastAsia="仿宋" w:cs="Times New Roman"/>
                <w:bCs/>
                <w:color w:val="000000" w:themeColor="text1"/>
                <w:sz w:val="24"/>
                <w:highlight w:val="none"/>
                <w:u w:val="none"/>
                <w:lang w:val="en-US" w:eastAsia="zh-CN"/>
                <w14:textFill>
                  <w14:solidFill>
                    <w14:schemeClr w14:val="tx1"/>
                  </w14:solidFill>
                </w14:textFill>
              </w:rPr>
              <w:t>0.2</w:t>
            </w:r>
            <w:r>
              <w:rPr>
                <w:rFonts w:hint="default" w:ascii="Times New Roman" w:hAnsi="Times New Roman" w:eastAsia="仿宋" w:cs="Times New Roman"/>
                <w:bCs/>
                <w:color w:val="000000" w:themeColor="text1"/>
                <w:sz w:val="24"/>
                <w:highlight w:val="none"/>
                <w:u w:val="none"/>
                <w:lang w:val="en-US" w:eastAsia="zh-CN"/>
                <w14:textFill>
                  <w14:solidFill>
                    <w14:schemeClr w14:val="tx1"/>
                  </w14:solidFill>
                </w14:textFill>
              </w:rPr>
              <w:t>t/a</w:t>
            </w:r>
          </w:p>
        </w:tc>
      </w:tr>
    </w:tbl>
    <w:p w14:paraId="6E2B24AF">
      <w:pPr>
        <w:pStyle w:val="49"/>
        <w:spacing w:before="192" w:beforeLines="80" w:after="24"/>
        <w:ind w:firstLine="480"/>
        <w:jc w:val="left"/>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pPr>
      <w:r>
        <w:rPr>
          <w:rFonts w:hint="default" w:ascii="Times New Roman" w:hAnsi="Times New Roman" w:eastAsia="仿宋" w:cs="Times New Roman"/>
          <w:snapToGrid w:val="0"/>
          <w:color w:val="000000" w:themeColor="text1"/>
          <w:kern w:val="21"/>
          <w:szCs w:val="21"/>
          <w:highlight w:val="none"/>
          <w:u w:val="none"/>
          <w14:textFill>
            <w14:solidFill>
              <w14:schemeClr w14:val="tx1"/>
            </w14:solidFill>
          </w14:textFill>
        </w:rPr>
        <w:t>注：</w:t>
      </w:r>
      <w:r>
        <w:rPr>
          <w:rFonts w:hint="default" w:ascii="Times New Roman" w:hAnsi="Times New Roman" w:eastAsia="仿宋" w:cs="Times New Roman"/>
          <w:snapToGrid w:val="0"/>
          <w:color w:val="000000" w:themeColor="text1"/>
          <w:spacing w:val="-16"/>
          <w:kern w:val="21"/>
          <w:szCs w:val="21"/>
          <w:highlight w:val="none"/>
          <w:u w:val="none"/>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16"/>
          <w:kern w:val="21"/>
          <w:szCs w:val="21"/>
          <w:highlight w:val="none"/>
          <w:u w:val="none"/>
          <w14:textFill>
            <w14:solidFill>
              <w14:schemeClr w14:val="tx1"/>
            </w14:solidFill>
          </w14:textFill>
        </w:rPr>
        <w:instrText xml:space="preserve"> = 6 \* GB3 \* MERGEFORMAT </w:instrText>
      </w:r>
      <w:r>
        <w:rPr>
          <w:rFonts w:hint="default" w:ascii="Times New Roman" w:hAnsi="Times New Roman" w:eastAsia="仿宋" w:cs="Times New Roman"/>
          <w:snapToGrid w:val="0"/>
          <w:color w:val="000000" w:themeColor="text1"/>
          <w:spacing w:val="-16"/>
          <w:kern w:val="21"/>
          <w:szCs w:val="21"/>
          <w:highlight w:val="none"/>
          <w:u w:val="none"/>
          <w14:textFill>
            <w14:solidFill>
              <w14:schemeClr w14:val="tx1"/>
            </w14:solidFill>
          </w14:textFill>
        </w:rPr>
        <w:fldChar w:fldCharType="separate"/>
      </w:r>
      <w:r>
        <w:rPr>
          <w:rFonts w:hint="default" w:ascii="Times New Roman" w:hAnsi="Times New Roman" w:eastAsia="仿宋" w:cs="Times New Roman"/>
          <w:color w:val="000000" w:themeColor="text1"/>
          <w:szCs w:val="21"/>
          <w:highlight w:val="none"/>
          <w:u w:val="none"/>
          <w14:textFill>
            <w14:solidFill>
              <w14:schemeClr w14:val="tx1"/>
            </w14:solidFill>
          </w14:textFill>
        </w:rPr>
        <w:t>⑥</w:t>
      </w:r>
      <w:r>
        <w:rPr>
          <w:rFonts w:hint="default" w:ascii="Times New Roman" w:hAnsi="Times New Roman" w:eastAsia="仿宋" w:cs="Times New Roman"/>
          <w:snapToGrid w:val="0"/>
          <w:color w:val="000000" w:themeColor="text1"/>
          <w:spacing w:val="-16"/>
          <w:kern w:val="21"/>
          <w:szCs w:val="21"/>
          <w:highlight w:val="none"/>
          <w:u w:val="none"/>
          <w14:textFill>
            <w14:solidFill>
              <w14:schemeClr w14:val="tx1"/>
            </w14:solidFill>
          </w14:textFill>
        </w:rPr>
        <w:fldChar w:fldCharType="end"/>
      </w:r>
      <w:r>
        <w:rPr>
          <w:rFonts w:hint="default" w:ascii="Times New Roman" w:hAnsi="Times New Roman" w:eastAsia="仿宋" w:cs="Times New Roman"/>
          <w:snapToGrid w:val="0"/>
          <w:color w:val="000000" w:themeColor="text1"/>
          <w:spacing w:val="-16"/>
          <w:kern w:val="21"/>
          <w:szCs w:val="21"/>
          <w:highlight w:val="none"/>
          <w:u w:val="none"/>
          <w14:textFill>
            <w14:solidFill>
              <w14:schemeClr w14:val="tx1"/>
            </w14:solidFill>
          </w14:textFill>
        </w:rPr>
        <w:t>=</w:t>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instrText xml:space="preserve"> = 1 \* GB3 \* MERGEFORMAT </w:instrText>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fldChar w:fldCharType="separate"/>
      </w:r>
      <w:r>
        <w:rPr>
          <w:rFonts w:hint="default" w:ascii="Times New Roman" w:hAnsi="Times New Roman" w:eastAsia="仿宋" w:cs="Times New Roman"/>
          <w:color w:val="000000" w:themeColor="text1"/>
          <w:szCs w:val="21"/>
          <w:highlight w:val="none"/>
          <w:u w:val="none"/>
          <w14:textFill>
            <w14:solidFill>
              <w14:schemeClr w14:val="tx1"/>
            </w14:solidFill>
          </w14:textFill>
        </w:rPr>
        <w:t>①</w:t>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fldChar w:fldCharType="end"/>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t>+</w:t>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instrText xml:space="preserve"> = 3 \* GB3 \* MERGEFORMAT </w:instrText>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fldChar w:fldCharType="separate"/>
      </w:r>
      <w:r>
        <w:rPr>
          <w:rFonts w:hint="default" w:ascii="Times New Roman" w:hAnsi="Times New Roman" w:eastAsia="仿宋" w:cs="Times New Roman"/>
          <w:color w:val="000000" w:themeColor="text1"/>
          <w:szCs w:val="21"/>
          <w:highlight w:val="none"/>
          <w:u w:val="none"/>
          <w14:textFill>
            <w14:solidFill>
              <w14:schemeClr w14:val="tx1"/>
            </w14:solidFill>
          </w14:textFill>
        </w:rPr>
        <w:t>③</w:t>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fldChar w:fldCharType="end"/>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t>+</w:t>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instrText xml:space="preserve"> = 4 \* GB3 \* MERGEFORMAT </w:instrText>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fldChar w:fldCharType="separate"/>
      </w:r>
      <w:r>
        <w:rPr>
          <w:rFonts w:hint="default" w:ascii="Times New Roman" w:hAnsi="Times New Roman" w:eastAsia="仿宋" w:cs="Times New Roman"/>
          <w:color w:val="000000" w:themeColor="text1"/>
          <w:szCs w:val="21"/>
          <w:highlight w:val="none"/>
          <w:u w:val="none"/>
          <w14:textFill>
            <w14:solidFill>
              <w14:schemeClr w14:val="tx1"/>
            </w14:solidFill>
          </w14:textFill>
        </w:rPr>
        <w:t>④</w:t>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fldChar w:fldCharType="end"/>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t>-</w:t>
      </w:r>
      <w:r>
        <w:rPr>
          <w:rFonts w:hint="default" w:ascii="Times New Roman" w:hAnsi="Times New Roman" w:eastAsia="仿宋" w:cs="Times New Roman"/>
          <w:snapToGrid w:val="0"/>
          <w:color w:val="000000" w:themeColor="text1"/>
          <w:spacing w:val="-16"/>
          <w:kern w:val="21"/>
          <w:szCs w:val="21"/>
          <w:highlight w:val="none"/>
          <w:u w:val="none"/>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16"/>
          <w:kern w:val="21"/>
          <w:szCs w:val="21"/>
          <w:highlight w:val="none"/>
          <w:u w:val="none"/>
          <w14:textFill>
            <w14:solidFill>
              <w14:schemeClr w14:val="tx1"/>
            </w14:solidFill>
          </w14:textFill>
        </w:rPr>
        <w:instrText xml:space="preserve"> = 5 \* GB3 \* MERGEFORMAT </w:instrText>
      </w:r>
      <w:r>
        <w:rPr>
          <w:rFonts w:hint="default" w:ascii="Times New Roman" w:hAnsi="Times New Roman" w:eastAsia="仿宋" w:cs="Times New Roman"/>
          <w:snapToGrid w:val="0"/>
          <w:color w:val="000000" w:themeColor="text1"/>
          <w:spacing w:val="-16"/>
          <w:kern w:val="21"/>
          <w:szCs w:val="21"/>
          <w:highlight w:val="none"/>
          <w:u w:val="none"/>
          <w14:textFill>
            <w14:solidFill>
              <w14:schemeClr w14:val="tx1"/>
            </w14:solidFill>
          </w14:textFill>
        </w:rPr>
        <w:fldChar w:fldCharType="separate"/>
      </w:r>
      <w:r>
        <w:rPr>
          <w:rFonts w:hint="default" w:ascii="Times New Roman" w:hAnsi="Times New Roman" w:eastAsia="仿宋" w:cs="Times New Roman"/>
          <w:color w:val="000000" w:themeColor="text1"/>
          <w:szCs w:val="21"/>
          <w:highlight w:val="none"/>
          <w:u w:val="none"/>
          <w14:textFill>
            <w14:solidFill>
              <w14:schemeClr w14:val="tx1"/>
            </w14:solidFill>
          </w14:textFill>
        </w:rPr>
        <w:t>⑤</w:t>
      </w:r>
      <w:r>
        <w:rPr>
          <w:rFonts w:hint="default" w:ascii="Times New Roman" w:hAnsi="Times New Roman" w:eastAsia="仿宋" w:cs="Times New Roman"/>
          <w:snapToGrid w:val="0"/>
          <w:color w:val="000000" w:themeColor="text1"/>
          <w:spacing w:val="-16"/>
          <w:kern w:val="21"/>
          <w:szCs w:val="21"/>
          <w:highlight w:val="none"/>
          <w:u w:val="none"/>
          <w14:textFill>
            <w14:solidFill>
              <w14:schemeClr w14:val="tx1"/>
            </w14:solidFill>
          </w14:textFill>
        </w:rPr>
        <w:fldChar w:fldCharType="end"/>
      </w:r>
      <w:r>
        <w:rPr>
          <w:rFonts w:hint="default" w:ascii="Times New Roman" w:hAnsi="Times New Roman" w:eastAsia="仿宋" w:cs="Times New Roman"/>
          <w:snapToGrid w:val="0"/>
          <w:color w:val="000000" w:themeColor="text1"/>
          <w:spacing w:val="-16"/>
          <w:kern w:val="21"/>
          <w:szCs w:val="21"/>
          <w:highlight w:val="none"/>
          <w:u w:val="none"/>
          <w14:textFill>
            <w14:solidFill>
              <w14:schemeClr w14:val="tx1"/>
            </w14:solidFill>
          </w14:textFill>
        </w:rPr>
        <w:t>；</w:t>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instrText xml:space="preserve"> = 7 \* GB3 \* MERGEFORMAT </w:instrText>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fldChar w:fldCharType="separate"/>
      </w:r>
      <w:r>
        <w:rPr>
          <w:rFonts w:hint="default" w:ascii="Times New Roman" w:hAnsi="Times New Roman" w:eastAsia="仿宋" w:cs="Times New Roman"/>
          <w:color w:val="000000" w:themeColor="text1"/>
          <w:szCs w:val="21"/>
          <w:highlight w:val="none"/>
          <w:u w:val="none"/>
          <w14:textFill>
            <w14:solidFill>
              <w14:schemeClr w14:val="tx1"/>
            </w14:solidFill>
          </w14:textFill>
        </w:rPr>
        <w:t>⑦</w:t>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fldChar w:fldCharType="end"/>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t>=</w:t>
      </w:r>
      <w:r>
        <w:rPr>
          <w:rFonts w:hint="default" w:ascii="Times New Roman" w:hAnsi="Times New Roman" w:eastAsia="仿宋" w:cs="Times New Roman"/>
          <w:snapToGrid w:val="0"/>
          <w:color w:val="000000" w:themeColor="text1"/>
          <w:spacing w:val="-16"/>
          <w:kern w:val="21"/>
          <w:szCs w:val="21"/>
          <w:highlight w:val="none"/>
          <w:u w:val="none"/>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16"/>
          <w:kern w:val="21"/>
          <w:szCs w:val="21"/>
          <w:highlight w:val="none"/>
          <w:u w:val="none"/>
          <w14:textFill>
            <w14:solidFill>
              <w14:schemeClr w14:val="tx1"/>
            </w14:solidFill>
          </w14:textFill>
        </w:rPr>
        <w:instrText xml:space="preserve"> = 6 \* GB3 \* MERGEFORMAT </w:instrText>
      </w:r>
      <w:r>
        <w:rPr>
          <w:rFonts w:hint="default" w:ascii="Times New Roman" w:hAnsi="Times New Roman" w:eastAsia="仿宋" w:cs="Times New Roman"/>
          <w:snapToGrid w:val="0"/>
          <w:color w:val="000000" w:themeColor="text1"/>
          <w:spacing w:val="-16"/>
          <w:kern w:val="21"/>
          <w:szCs w:val="21"/>
          <w:highlight w:val="none"/>
          <w:u w:val="none"/>
          <w14:textFill>
            <w14:solidFill>
              <w14:schemeClr w14:val="tx1"/>
            </w14:solidFill>
          </w14:textFill>
        </w:rPr>
        <w:fldChar w:fldCharType="separate"/>
      </w:r>
      <w:r>
        <w:rPr>
          <w:rFonts w:hint="default" w:ascii="Times New Roman" w:hAnsi="Times New Roman" w:eastAsia="仿宋" w:cs="Times New Roman"/>
          <w:color w:val="000000" w:themeColor="text1"/>
          <w:szCs w:val="21"/>
          <w:highlight w:val="none"/>
          <w:u w:val="none"/>
          <w14:textFill>
            <w14:solidFill>
              <w14:schemeClr w14:val="tx1"/>
            </w14:solidFill>
          </w14:textFill>
        </w:rPr>
        <w:t>⑥</w:t>
      </w:r>
      <w:r>
        <w:rPr>
          <w:rFonts w:hint="default" w:ascii="Times New Roman" w:hAnsi="Times New Roman" w:eastAsia="仿宋" w:cs="Times New Roman"/>
          <w:snapToGrid w:val="0"/>
          <w:color w:val="000000" w:themeColor="text1"/>
          <w:spacing w:val="-16"/>
          <w:kern w:val="21"/>
          <w:szCs w:val="21"/>
          <w:highlight w:val="none"/>
          <w:u w:val="none"/>
          <w14:textFill>
            <w14:solidFill>
              <w14:schemeClr w14:val="tx1"/>
            </w14:solidFill>
          </w14:textFill>
        </w:rPr>
        <w:fldChar w:fldCharType="end"/>
      </w:r>
      <w:r>
        <w:rPr>
          <w:rFonts w:hint="default" w:ascii="Times New Roman" w:hAnsi="Times New Roman" w:eastAsia="仿宋" w:cs="Times New Roman"/>
          <w:snapToGrid w:val="0"/>
          <w:color w:val="000000" w:themeColor="text1"/>
          <w:spacing w:val="-16"/>
          <w:kern w:val="21"/>
          <w:szCs w:val="21"/>
          <w:highlight w:val="none"/>
          <w:u w:val="none"/>
          <w14:textFill>
            <w14:solidFill>
              <w14:schemeClr w14:val="tx1"/>
            </w14:solidFill>
          </w14:textFill>
        </w:rPr>
        <w:t>-</w:t>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fldChar w:fldCharType="begin"/>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instrText xml:space="preserve"> = 1 \* GB3 \* MERGEFORMAT </w:instrText>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fldChar w:fldCharType="separate"/>
      </w:r>
      <w:r>
        <w:rPr>
          <w:rFonts w:hint="default" w:ascii="Times New Roman" w:hAnsi="Times New Roman" w:eastAsia="仿宋" w:cs="Times New Roman"/>
          <w:color w:val="000000" w:themeColor="text1"/>
          <w:szCs w:val="21"/>
          <w:highlight w:val="none"/>
          <w:u w:val="none"/>
          <w14:textFill>
            <w14:solidFill>
              <w14:schemeClr w14:val="tx1"/>
            </w14:solidFill>
          </w14:textFill>
        </w:rPr>
        <w:t>①</w:t>
      </w:r>
      <w:r>
        <w:rPr>
          <w:rFonts w:hint="default" w:ascii="Times New Roman" w:hAnsi="Times New Roman" w:eastAsia="仿宋" w:cs="Times New Roman"/>
          <w:snapToGrid w:val="0"/>
          <w:color w:val="000000" w:themeColor="text1"/>
          <w:spacing w:val="-6"/>
          <w:kern w:val="21"/>
          <w:szCs w:val="21"/>
          <w:highlight w:val="none"/>
          <w:u w:val="none"/>
          <w14:textFill>
            <w14:solidFill>
              <w14:schemeClr w14:val="tx1"/>
            </w14:solidFill>
          </w14:textFill>
        </w:rPr>
        <w:fldChar w:fldCharType="end"/>
      </w:r>
    </w:p>
    <w:p w14:paraId="2224EC74">
      <w:pPr>
        <w:adjustRightInd w:val="0"/>
        <w:snapToGrid w:val="0"/>
        <w:spacing w:before="192" w:beforeLines="80"/>
        <w:rPr>
          <w:rFonts w:hint="default" w:ascii="Times New Roman" w:hAnsi="Times New Roman" w:eastAsia="仿宋" w:cs="Times New Roman"/>
          <w:color w:val="000000" w:themeColor="text1"/>
          <w:szCs w:val="21"/>
          <w:highlight w:val="none"/>
          <w:u w:val="none"/>
          <w14:textFill>
            <w14:solidFill>
              <w14:schemeClr w14:val="tx1"/>
            </w14:solidFill>
          </w14:textFill>
        </w:rPr>
      </w:pPr>
    </w:p>
    <w:p w14:paraId="565D5A7B">
      <w:pPr>
        <w:rPr>
          <w:rFonts w:hint="default" w:ascii="Times New Roman" w:hAnsi="Times New Roman" w:eastAsia="仿宋" w:cs="Times New Roman"/>
          <w:color w:val="000000" w:themeColor="text1"/>
          <w:highlight w:val="none"/>
          <w:u w:val="none"/>
          <w14:textFill>
            <w14:solidFill>
              <w14:schemeClr w14:val="tx1"/>
            </w14:solidFill>
          </w14:textFill>
        </w:rPr>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14:paraId="2C6691BA">
      <w:pPr>
        <w:pStyle w:val="10"/>
        <w:rPr>
          <w:rFonts w:hint="eastAsia" w:eastAsia="仿宋"/>
          <w:snapToGrid w:val="0"/>
          <w:color w:val="000000" w:themeColor="text1"/>
          <w:sz w:val="24"/>
          <w:highlight w:val="none"/>
          <w:u w:val="none"/>
          <w14:textFill>
            <w14:solidFill>
              <w14:schemeClr w14:val="tx1"/>
            </w14:solidFill>
          </w14:textFill>
        </w:rPr>
      </w:pPr>
      <w:r>
        <w:rPr>
          <w:rFonts w:hint="eastAsia" w:eastAsia="仿宋"/>
          <w:snapToGrid w:val="0"/>
          <w:color w:val="000000" w:themeColor="text1"/>
          <w:sz w:val="24"/>
          <w:highlight w:val="none"/>
          <w:u w:val="none"/>
          <w14:textFill>
            <w14:solidFill>
              <w14:schemeClr w14:val="tx1"/>
            </w14:solidFill>
          </w14:textFill>
        </w:rPr>
        <w:t>附件</w:t>
      </w:r>
      <w:r>
        <w:rPr>
          <w:rFonts w:hint="eastAsia" w:eastAsia="仿宋"/>
          <w:snapToGrid w:val="0"/>
          <w:color w:val="000000" w:themeColor="text1"/>
          <w:sz w:val="24"/>
          <w:highlight w:val="none"/>
          <w:u w:val="none"/>
          <w:lang w:val="en-US" w:eastAsia="zh-CN"/>
          <w14:textFill>
            <w14:solidFill>
              <w14:schemeClr w14:val="tx1"/>
            </w14:solidFill>
          </w14:textFill>
        </w:rPr>
        <w:t>1</w:t>
      </w:r>
      <w:r>
        <w:rPr>
          <w:rFonts w:hint="eastAsia" w:eastAsia="仿宋"/>
          <w:snapToGrid w:val="0"/>
          <w:color w:val="000000" w:themeColor="text1"/>
          <w:sz w:val="24"/>
          <w:highlight w:val="none"/>
          <w:u w:val="none"/>
          <w14:textFill>
            <w14:solidFill>
              <w14:schemeClr w14:val="tx1"/>
            </w14:solidFill>
          </w14:textFill>
        </w:rPr>
        <w:t>生态环境分区管控分析报告</w:t>
      </w:r>
    </w:p>
    <w:p w14:paraId="62B02CE8">
      <w:pPr>
        <w:rPr>
          <w:color w:val="000000" w:themeColor="text1"/>
          <w:highlight w:val="none"/>
          <w:u w:val="none"/>
          <w14:textFill>
            <w14:solidFill>
              <w14:schemeClr w14:val="tx1"/>
            </w14:solidFill>
          </w14:textFill>
        </w:rPr>
        <w:sectPr>
          <w:headerReference r:id="rId9" w:type="default"/>
          <w:footerReference r:id="rId10" w:type="default"/>
          <w:pgSz w:w="11906" w:h="16838"/>
          <w:pgMar w:top="1083" w:right="1440" w:bottom="1083" w:left="1440" w:header="851" w:footer="992" w:gutter="0"/>
          <w:pgBorders>
            <w:top w:val="none" w:sz="0" w:space="0"/>
            <w:left w:val="none" w:sz="0" w:space="0"/>
            <w:bottom w:val="none" w:sz="0" w:space="0"/>
            <w:right w:val="none" w:sz="0" w:space="0"/>
          </w:pgBorders>
          <w:pgNumType w:fmt="decimal"/>
          <w:cols w:space="720" w:num="1"/>
          <w:rtlGutter w:val="0"/>
          <w:docGrid w:type="lines" w:linePitch="322" w:charSpace="0"/>
        </w:sectPr>
      </w:pPr>
      <w:r>
        <w:rPr>
          <w:color w:val="000000" w:themeColor="text1"/>
          <w:highlight w:val="none"/>
          <w:u w:val="none"/>
          <w14:textFill>
            <w14:solidFill>
              <w14:schemeClr w14:val="tx1"/>
            </w14:solidFill>
          </w14:textFill>
        </w:rPr>
        <w:drawing>
          <wp:inline distT="0" distB="0" distL="114300" distR="114300">
            <wp:extent cx="5722620" cy="3516630"/>
            <wp:effectExtent l="0" t="0" r="11430"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
                    <a:stretch>
                      <a:fillRect/>
                    </a:stretch>
                  </pic:blipFill>
                  <pic:spPr>
                    <a:xfrm>
                      <a:off x="0" y="0"/>
                      <a:ext cx="5722620" cy="3516630"/>
                    </a:xfrm>
                    <a:prstGeom prst="rect">
                      <a:avLst/>
                    </a:prstGeom>
                    <a:noFill/>
                    <a:ln>
                      <a:noFill/>
                    </a:ln>
                  </pic:spPr>
                </pic:pic>
              </a:graphicData>
            </a:graphic>
          </wp:inline>
        </w:drawing>
      </w:r>
      <w:r>
        <w:rPr>
          <w:color w:val="000000" w:themeColor="text1"/>
          <w:highlight w:val="none"/>
          <w:u w:val="none"/>
          <w14:textFill>
            <w14:solidFill>
              <w14:schemeClr w14:val="tx1"/>
            </w14:solidFill>
          </w14:textFill>
        </w:rPr>
        <w:drawing>
          <wp:inline distT="0" distB="0" distL="114300" distR="114300">
            <wp:extent cx="5727700" cy="4017645"/>
            <wp:effectExtent l="0" t="0" r="6350" b="19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3"/>
                    <a:stretch>
                      <a:fillRect/>
                    </a:stretch>
                  </pic:blipFill>
                  <pic:spPr>
                    <a:xfrm>
                      <a:off x="0" y="0"/>
                      <a:ext cx="5727700" cy="4017645"/>
                    </a:xfrm>
                    <a:prstGeom prst="rect">
                      <a:avLst/>
                    </a:prstGeom>
                    <a:noFill/>
                    <a:ln>
                      <a:noFill/>
                    </a:ln>
                  </pic:spPr>
                </pic:pic>
              </a:graphicData>
            </a:graphic>
          </wp:inline>
        </w:drawing>
      </w:r>
      <w:r>
        <w:rPr>
          <w:color w:val="000000" w:themeColor="text1"/>
          <w:highlight w:val="none"/>
          <w:u w:val="none"/>
          <w14:textFill>
            <w14:solidFill>
              <w14:schemeClr w14:val="tx1"/>
            </w14:solidFill>
          </w14:textFill>
        </w:rPr>
        <w:drawing>
          <wp:inline distT="0" distB="0" distL="114300" distR="114300">
            <wp:extent cx="5725795" cy="3884295"/>
            <wp:effectExtent l="0" t="0" r="8255"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4"/>
                    <a:stretch>
                      <a:fillRect/>
                    </a:stretch>
                  </pic:blipFill>
                  <pic:spPr>
                    <a:xfrm>
                      <a:off x="0" y="0"/>
                      <a:ext cx="5725795" cy="3884295"/>
                    </a:xfrm>
                    <a:prstGeom prst="rect">
                      <a:avLst/>
                    </a:prstGeom>
                    <a:noFill/>
                    <a:ln>
                      <a:noFill/>
                    </a:ln>
                  </pic:spPr>
                </pic:pic>
              </a:graphicData>
            </a:graphic>
          </wp:inline>
        </w:drawing>
      </w:r>
      <w:r>
        <w:rPr>
          <w:color w:val="000000" w:themeColor="text1"/>
          <w:highlight w:val="none"/>
          <w:u w:val="none"/>
          <w14:textFill>
            <w14:solidFill>
              <w14:schemeClr w14:val="tx1"/>
            </w14:solidFill>
          </w14:textFill>
        </w:rPr>
        <w:drawing>
          <wp:inline distT="0" distB="0" distL="114300" distR="114300">
            <wp:extent cx="5725795" cy="3860800"/>
            <wp:effectExtent l="0" t="0" r="8255" b="635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5"/>
                    <a:stretch>
                      <a:fillRect/>
                    </a:stretch>
                  </pic:blipFill>
                  <pic:spPr>
                    <a:xfrm>
                      <a:off x="0" y="0"/>
                      <a:ext cx="5725795" cy="3860800"/>
                    </a:xfrm>
                    <a:prstGeom prst="rect">
                      <a:avLst/>
                    </a:prstGeom>
                    <a:noFill/>
                    <a:ln>
                      <a:noFill/>
                    </a:ln>
                  </pic:spPr>
                </pic:pic>
              </a:graphicData>
            </a:graphic>
          </wp:inline>
        </w:drawing>
      </w:r>
      <w:r>
        <w:rPr>
          <w:color w:val="000000" w:themeColor="text1"/>
          <w:highlight w:val="none"/>
          <w:u w:val="none"/>
          <w14:textFill>
            <w14:solidFill>
              <w14:schemeClr w14:val="tx1"/>
            </w14:solidFill>
          </w14:textFill>
        </w:rPr>
        <w:drawing>
          <wp:inline distT="0" distB="0" distL="114300" distR="114300">
            <wp:extent cx="5725795" cy="3764280"/>
            <wp:effectExtent l="0" t="0" r="8255" b="762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6"/>
                    <a:stretch>
                      <a:fillRect/>
                    </a:stretch>
                  </pic:blipFill>
                  <pic:spPr>
                    <a:xfrm>
                      <a:off x="0" y="0"/>
                      <a:ext cx="5725795" cy="3764280"/>
                    </a:xfrm>
                    <a:prstGeom prst="rect">
                      <a:avLst/>
                    </a:prstGeom>
                    <a:noFill/>
                    <a:ln>
                      <a:noFill/>
                    </a:ln>
                  </pic:spPr>
                </pic:pic>
              </a:graphicData>
            </a:graphic>
          </wp:inline>
        </w:drawing>
      </w:r>
      <w:r>
        <w:rPr>
          <w:color w:val="000000" w:themeColor="text1"/>
          <w:highlight w:val="none"/>
          <w:u w:val="none"/>
          <w14:textFill>
            <w14:solidFill>
              <w14:schemeClr w14:val="tx1"/>
            </w14:solidFill>
          </w14:textFill>
        </w:rPr>
        <w:drawing>
          <wp:inline distT="0" distB="0" distL="114300" distR="114300">
            <wp:extent cx="5730875" cy="3734435"/>
            <wp:effectExtent l="0" t="0" r="3175" b="1841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7"/>
                    <a:stretch>
                      <a:fillRect/>
                    </a:stretch>
                  </pic:blipFill>
                  <pic:spPr>
                    <a:xfrm>
                      <a:off x="0" y="0"/>
                      <a:ext cx="5730875" cy="3734435"/>
                    </a:xfrm>
                    <a:prstGeom prst="rect">
                      <a:avLst/>
                    </a:prstGeom>
                    <a:noFill/>
                    <a:ln>
                      <a:noFill/>
                    </a:ln>
                  </pic:spPr>
                </pic:pic>
              </a:graphicData>
            </a:graphic>
          </wp:inline>
        </w:drawing>
      </w:r>
      <w:r>
        <w:rPr>
          <w:color w:val="000000" w:themeColor="text1"/>
          <w:highlight w:val="none"/>
          <w:u w:val="none"/>
          <w14:textFill>
            <w14:solidFill>
              <w14:schemeClr w14:val="tx1"/>
            </w14:solidFill>
          </w14:textFill>
        </w:rPr>
        <w:drawing>
          <wp:inline distT="0" distB="0" distL="114300" distR="114300">
            <wp:extent cx="5725795" cy="3643630"/>
            <wp:effectExtent l="0" t="0" r="8255" b="1397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8"/>
                    <a:stretch>
                      <a:fillRect/>
                    </a:stretch>
                  </pic:blipFill>
                  <pic:spPr>
                    <a:xfrm>
                      <a:off x="0" y="0"/>
                      <a:ext cx="5725795" cy="3643630"/>
                    </a:xfrm>
                    <a:prstGeom prst="rect">
                      <a:avLst/>
                    </a:prstGeom>
                    <a:noFill/>
                    <a:ln>
                      <a:noFill/>
                    </a:ln>
                  </pic:spPr>
                </pic:pic>
              </a:graphicData>
            </a:graphic>
          </wp:inline>
        </w:drawing>
      </w:r>
      <w:r>
        <w:rPr>
          <w:color w:val="000000" w:themeColor="text1"/>
          <w:highlight w:val="none"/>
          <w:u w:val="none"/>
          <w14:textFill>
            <w14:solidFill>
              <w14:schemeClr w14:val="tx1"/>
            </w14:solidFill>
          </w14:textFill>
        </w:rPr>
        <w:drawing>
          <wp:inline distT="0" distB="0" distL="114300" distR="114300">
            <wp:extent cx="5727065" cy="3667760"/>
            <wp:effectExtent l="0" t="0" r="6985" b="889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9"/>
                    <a:stretch>
                      <a:fillRect/>
                    </a:stretch>
                  </pic:blipFill>
                  <pic:spPr>
                    <a:xfrm>
                      <a:off x="0" y="0"/>
                      <a:ext cx="5727065" cy="3667760"/>
                    </a:xfrm>
                    <a:prstGeom prst="rect">
                      <a:avLst/>
                    </a:prstGeom>
                    <a:noFill/>
                    <a:ln>
                      <a:noFill/>
                    </a:ln>
                  </pic:spPr>
                </pic:pic>
              </a:graphicData>
            </a:graphic>
          </wp:inline>
        </w:drawing>
      </w:r>
      <w:r>
        <w:rPr>
          <w:color w:val="000000" w:themeColor="text1"/>
          <w:highlight w:val="none"/>
          <w:u w:val="none"/>
          <w14:textFill>
            <w14:solidFill>
              <w14:schemeClr w14:val="tx1"/>
            </w14:solidFill>
          </w14:textFill>
        </w:rPr>
        <w:drawing>
          <wp:inline distT="0" distB="0" distL="114300" distR="114300">
            <wp:extent cx="5730875" cy="3869055"/>
            <wp:effectExtent l="0" t="0" r="3175" b="1714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30"/>
                    <a:stretch>
                      <a:fillRect/>
                    </a:stretch>
                  </pic:blipFill>
                  <pic:spPr>
                    <a:xfrm>
                      <a:off x="0" y="0"/>
                      <a:ext cx="5730875" cy="3869055"/>
                    </a:xfrm>
                    <a:prstGeom prst="rect">
                      <a:avLst/>
                    </a:prstGeom>
                    <a:noFill/>
                    <a:ln>
                      <a:noFill/>
                    </a:ln>
                  </pic:spPr>
                </pic:pic>
              </a:graphicData>
            </a:graphic>
          </wp:inline>
        </w:drawing>
      </w:r>
      <w:r>
        <w:rPr>
          <w:color w:val="000000" w:themeColor="text1"/>
          <w:highlight w:val="none"/>
          <w:u w:val="none"/>
          <w14:textFill>
            <w14:solidFill>
              <w14:schemeClr w14:val="tx1"/>
            </w14:solidFill>
          </w14:textFill>
        </w:rPr>
        <w:drawing>
          <wp:inline distT="0" distB="0" distL="114300" distR="114300">
            <wp:extent cx="5725795" cy="3844925"/>
            <wp:effectExtent l="0" t="0" r="8255" b="317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31"/>
                    <a:stretch>
                      <a:fillRect/>
                    </a:stretch>
                  </pic:blipFill>
                  <pic:spPr>
                    <a:xfrm>
                      <a:off x="0" y="0"/>
                      <a:ext cx="5725795" cy="3844925"/>
                    </a:xfrm>
                    <a:prstGeom prst="rect">
                      <a:avLst/>
                    </a:prstGeom>
                    <a:noFill/>
                    <a:ln>
                      <a:noFill/>
                    </a:ln>
                  </pic:spPr>
                </pic:pic>
              </a:graphicData>
            </a:graphic>
          </wp:inline>
        </w:drawing>
      </w:r>
    </w:p>
    <w:p w14:paraId="404BD8C6">
      <w:pPr>
        <w:pStyle w:val="10"/>
        <w:rPr>
          <w:rFonts w:hint="eastAsia" w:eastAsia="仿宋"/>
          <w:snapToGrid w:val="0"/>
          <w:color w:val="000000" w:themeColor="text1"/>
          <w:sz w:val="24"/>
          <w:highlight w:val="none"/>
          <w:u w:val="none"/>
          <w14:textFill>
            <w14:solidFill>
              <w14:schemeClr w14:val="tx1"/>
            </w14:solidFill>
          </w14:textFill>
        </w:rPr>
      </w:pPr>
      <w:r>
        <w:rPr>
          <w:rFonts w:hint="eastAsia" w:eastAsia="仿宋"/>
          <w:snapToGrid w:val="0"/>
          <w:color w:val="000000" w:themeColor="text1"/>
          <w:sz w:val="24"/>
          <w:highlight w:val="none"/>
          <w:u w:val="none"/>
          <w14:textFill>
            <w14:solidFill>
              <w14:schemeClr w14:val="tx1"/>
            </w14:solidFill>
          </w14:textFill>
        </w:rPr>
        <w:t>附件</w:t>
      </w:r>
      <w:r>
        <w:rPr>
          <w:rFonts w:hint="eastAsia" w:eastAsia="仿宋"/>
          <w:snapToGrid w:val="0"/>
          <w:color w:val="000000" w:themeColor="text1"/>
          <w:sz w:val="24"/>
          <w:highlight w:val="none"/>
          <w:u w:val="none"/>
          <w:lang w:val="en-US" w:eastAsia="zh-CN"/>
          <w14:textFill>
            <w14:solidFill>
              <w14:schemeClr w14:val="tx1"/>
            </w14:solidFill>
          </w14:textFill>
        </w:rPr>
        <w:t>2检测</w:t>
      </w:r>
      <w:r>
        <w:rPr>
          <w:rFonts w:hint="eastAsia" w:eastAsia="仿宋"/>
          <w:snapToGrid w:val="0"/>
          <w:color w:val="000000" w:themeColor="text1"/>
          <w:sz w:val="24"/>
          <w:highlight w:val="none"/>
          <w:u w:val="none"/>
          <w14:textFill>
            <w14:solidFill>
              <w14:schemeClr w14:val="tx1"/>
            </w14:solidFill>
          </w14:textFill>
        </w:rPr>
        <w:t>报告</w:t>
      </w:r>
    </w:p>
    <w:p w14:paraId="4D8DA0BB">
      <w:pPr>
        <w:rPr>
          <w:color w:val="000000" w:themeColor="text1"/>
          <w:highlight w:val="none"/>
          <w:u w:val="none"/>
          <w14:textFill>
            <w14:solidFill>
              <w14:schemeClr w14:val="tx1"/>
            </w14:solidFill>
          </w14:textFill>
        </w:rPr>
        <w:sectPr>
          <w:pgSz w:w="11906" w:h="16838"/>
          <w:pgMar w:top="1083" w:right="1440" w:bottom="1083" w:left="1440" w:header="851" w:footer="992" w:gutter="0"/>
          <w:pgBorders>
            <w:top w:val="none" w:sz="0" w:space="0"/>
            <w:left w:val="none" w:sz="0" w:space="0"/>
            <w:bottom w:val="none" w:sz="0" w:space="0"/>
            <w:right w:val="none" w:sz="0" w:space="0"/>
          </w:pgBorders>
          <w:pgNumType w:fmt="decimal"/>
          <w:cols w:space="720" w:num="1"/>
          <w:rtlGutter w:val="0"/>
          <w:docGrid w:type="lines" w:linePitch="322" w:charSpace="0"/>
        </w:sectPr>
      </w:pPr>
      <w:r>
        <w:rPr>
          <w:color w:val="000000" w:themeColor="text1"/>
          <w:highlight w:val="none"/>
          <w14:textFill>
            <w14:solidFill>
              <w14:schemeClr w14:val="tx1"/>
            </w14:solidFill>
          </w14:textFill>
        </w:rPr>
        <w:drawing>
          <wp:inline distT="0" distB="0" distL="114300" distR="114300">
            <wp:extent cx="5457825" cy="7591425"/>
            <wp:effectExtent l="0" t="0" r="9525" b="952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32"/>
                    <a:stretch>
                      <a:fillRect/>
                    </a:stretch>
                  </pic:blipFill>
                  <pic:spPr>
                    <a:xfrm>
                      <a:off x="0" y="0"/>
                      <a:ext cx="5457825" cy="7591425"/>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5486400" cy="7172325"/>
            <wp:effectExtent l="0" t="0" r="0" b="952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33"/>
                    <a:stretch>
                      <a:fillRect/>
                    </a:stretch>
                  </pic:blipFill>
                  <pic:spPr>
                    <a:xfrm>
                      <a:off x="0" y="0"/>
                      <a:ext cx="5486400" cy="7172325"/>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5362575" cy="7467600"/>
            <wp:effectExtent l="0" t="0" r="9525" b="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34"/>
                    <a:stretch>
                      <a:fillRect/>
                    </a:stretch>
                  </pic:blipFill>
                  <pic:spPr>
                    <a:xfrm>
                      <a:off x="0" y="0"/>
                      <a:ext cx="5362575" cy="7467600"/>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114300" distR="114300">
            <wp:extent cx="5381625" cy="7515225"/>
            <wp:effectExtent l="0" t="0" r="9525" b="952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35"/>
                    <a:stretch>
                      <a:fillRect/>
                    </a:stretch>
                  </pic:blipFill>
                  <pic:spPr>
                    <a:xfrm>
                      <a:off x="0" y="0"/>
                      <a:ext cx="5381625" cy="7515225"/>
                    </a:xfrm>
                    <a:prstGeom prst="rect">
                      <a:avLst/>
                    </a:prstGeom>
                    <a:noFill/>
                    <a:ln>
                      <a:noFill/>
                    </a:ln>
                  </pic:spPr>
                </pic:pic>
              </a:graphicData>
            </a:graphic>
          </wp:inline>
        </w:drawing>
      </w:r>
    </w:p>
    <w:p w14:paraId="256A318F">
      <w:pPr>
        <w:rPr>
          <w:rFonts w:hint="eastAsia" w:eastAsia="仿宋"/>
          <w:color w:val="000000" w:themeColor="text1"/>
          <w:highlight w:val="none"/>
          <w:u w:val="none"/>
          <w:lang w:eastAsia="zh-CN"/>
          <w14:textFill>
            <w14:solidFill>
              <w14:schemeClr w14:val="tx1"/>
            </w14:solidFill>
          </w14:textFill>
        </w:rPr>
      </w:pPr>
      <w:r>
        <w:rPr>
          <w:rFonts w:hint="eastAsia" w:eastAsia="仿宋"/>
          <w:snapToGrid w:val="0"/>
          <w:color w:val="000000" w:themeColor="text1"/>
          <w:sz w:val="24"/>
          <w:highlight w:val="none"/>
          <w:u w:val="none"/>
          <w14:textFill>
            <w14:solidFill>
              <w14:schemeClr w14:val="tx1"/>
            </w14:solidFill>
          </w14:textFill>
        </w:rPr>
        <w:t>附件</w:t>
      </w:r>
      <w:r>
        <w:rPr>
          <w:rFonts w:hint="eastAsia" w:eastAsia="仿宋"/>
          <w:snapToGrid w:val="0"/>
          <w:color w:val="000000" w:themeColor="text1"/>
          <w:sz w:val="24"/>
          <w:highlight w:val="none"/>
          <w:u w:val="none"/>
          <w:lang w:val="en-US" w:eastAsia="zh-CN"/>
          <w14:textFill>
            <w14:solidFill>
              <w14:schemeClr w14:val="tx1"/>
            </w14:solidFill>
          </w14:textFill>
        </w:rPr>
        <w:t>3营业执照</w:t>
      </w:r>
    </w:p>
    <w:p w14:paraId="68DEE307">
      <w:pPr>
        <w:rPr>
          <w:rFonts w:hint="eastAsia" w:eastAsia="宋体"/>
          <w:color w:val="000000" w:themeColor="text1"/>
          <w:highlight w:val="none"/>
          <w:u w:val="none"/>
          <w:lang w:eastAsia="zh-CN"/>
          <w14:textFill>
            <w14:solidFill>
              <w14:schemeClr w14:val="tx1"/>
            </w14:solidFill>
          </w14:textFill>
        </w:rPr>
        <w:sectPr>
          <w:pgSz w:w="11906" w:h="16838"/>
          <w:pgMar w:top="1083" w:right="1440" w:bottom="1083" w:left="1440" w:header="851" w:footer="992" w:gutter="0"/>
          <w:pgBorders>
            <w:top w:val="none" w:sz="0" w:space="0"/>
            <w:left w:val="none" w:sz="0" w:space="0"/>
            <w:bottom w:val="none" w:sz="0" w:space="0"/>
            <w:right w:val="none" w:sz="0" w:space="0"/>
          </w:pgBorders>
          <w:pgNumType w:fmt="decimal"/>
          <w:cols w:space="720" w:num="1"/>
          <w:rtlGutter w:val="0"/>
          <w:docGrid w:type="lines" w:linePitch="322" w:charSpace="0"/>
        </w:sectPr>
      </w:pPr>
      <w:r>
        <w:rPr>
          <w:rFonts w:hint="eastAsia" w:eastAsia="宋体"/>
          <w:color w:val="000000" w:themeColor="text1"/>
          <w:highlight w:val="none"/>
          <w:u w:val="none"/>
          <w:lang w:eastAsia="zh-CN"/>
          <w14:textFill>
            <w14:solidFill>
              <w14:schemeClr w14:val="tx1"/>
            </w14:solidFill>
          </w14:textFill>
        </w:rPr>
        <w:drawing>
          <wp:inline distT="0" distB="0" distL="114300" distR="114300">
            <wp:extent cx="5709285" cy="4079240"/>
            <wp:effectExtent l="0" t="0" r="5715" b="16510"/>
            <wp:docPr id="33" name="图片 33" descr="785beca67e4b6c8a5e65c62261bb9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85beca67e4b6c8a5e65c62261bb97f"/>
                    <pic:cNvPicPr>
                      <a:picLocks noChangeAspect="1"/>
                    </pic:cNvPicPr>
                  </pic:nvPicPr>
                  <pic:blipFill>
                    <a:blip r:embed="rId36"/>
                    <a:stretch>
                      <a:fillRect/>
                    </a:stretch>
                  </pic:blipFill>
                  <pic:spPr>
                    <a:xfrm>
                      <a:off x="0" y="0"/>
                      <a:ext cx="5709285" cy="4079240"/>
                    </a:xfrm>
                    <a:prstGeom prst="rect">
                      <a:avLst/>
                    </a:prstGeom>
                  </pic:spPr>
                </pic:pic>
              </a:graphicData>
            </a:graphic>
          </wp:inline>
        </w:drawing>
      </w:r>
    </w:p>
    <w:p w14:paraId="5DFAE55C">
      <w:pPr>
        <w:rPr>
          <w:rFonts w:hint="eastAsia" w:eastAsia="仿宋"/>
          <w:snapToGrid w:val="0"/>
          <w:color w:val="000000" w:themeColor="text1"/>
          <w:sz w:val="24"/>
          <w:highlight w:val="none"/>
          <w:u w:val="none"/>
          <w:lang w:val="en-US" w:eastAsia="zh-CN"/>
          <w14:textFill>
            <w14:solidFill>
              <w14:schemeClr w14:val="tx1"/>
            </w14:solidFill>
          </w14:textFill>
        </w:rPr>
      </w:pPr>
      <w:r>
        <w:rPr>
          <w:rFonts w:hint="eastAsia" w:eastAsia="仿宋"/>
          <w:snapToGrid w:val="0"/>
          <w:color w:val="000000" w:themeColor="text1"/>
          <w:sz w:val="24"/>
          <w:highlight w:val="none"/>
          <w:u w:val="none"/>
          <w14:textFill>
            <w14:solidFill>
              <w14:schemeClr w14:val="tx1"/>
            </w14:solidFill>
          </w14:textFill>
        </w:rPr>
        <w:t>附件</w:t>
      </w:r>
      <w:r>
        <w:rPr>
          <w:rFonts w:hint="eastAsia" w:eastAsia="仿宋"/>
          <w:snapToGrid w:val="0"/>
          <w:color w:val="000000" w:themeColor="text1"/>
          <w:sz w:val="24"/>
          <w:highlight w:val="none"/>
          <w:u w:val="none"/>
          <w:lang w:val="en-US" w:eastAsia="zh-CN"/>
          <w14:textFill>
            <w14:solidFill>
              <w14:schemeClr w14:val="tx1"/>
            </w14:solidFill>
          </w14:textFill>
        </w:rPr>
        <w:t>4租赁协议</w:t>
      </w:r>
    </w:p>
    <w:p w14:paraId="6402D79A">
      <w:pPr>
        <w:rPr>
          <w:rFonts w:hint="eastAsia" w:eastAsia="仿宋"/>
          <w:snapToGrid w:val="0"/>
          <w:color w:val="000000" w:themeColor="text1"/>
          <w:sz w:val="24"/>
          <w:highlight w:val="none"/>
          <w:u w:val="none"/>
          <w:lang w:val="en-US" w:eastAsia="zh-CN"/>
          <w14:textFill>
            <w14:solidFill>
              <w14:schemeClr w14:val="tx1"/>
            </w14:solidFill>
          </w14:textFill>
        </w:rPr>
      </w:pPr>
      <w:r>
        <w:rPr>
          <w:rFonts w:hint="eastAsia" w:eastAsia="仿宋"/>
          <w:snapToGrid w:val="0"/>
          <w:color w:val="000000" w:themeColor="text1"/>
          <w:sz w:val="24"/>
          <w:highlight w:val="none"/>
          <w:u w:val="none"/>
          <w:lang w:val="en-US" w:eastAsia="zh-CN"/>
          <w14:textFill>
            <w14:solidFill>
              <w14:schemeClr w14:val="tx1"/>
            </w14:solidFill>
          </w14:textFill>
        </w:rPr>
        <w:drawing>
          <wp:inline distT="0" distB="0" distL="114300" distR="114300">
            <wp:extent cx="5722620" cy="8157210"/>
            <wp:effectExtent l="0" t="0" r="7620" b="11430"/>
            <wp:docPr id="34" name="图片 34" descr="80f9d1c63019b8607af9ff6a4931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0f9d1c63019b8607af9ff6a493155f"/>
                    <pic:cNvPicPr>
                      <a:picLocks noChangeAspect="1"/>
                    </pic:cNvPicPr>
                  </pic:nvPicPr>
                  <pic:blipFill>
                    <a:blip r:embed="rId37"/>
                    <a:stretch>
                      <a:fillRect/>
                    </a:stretch>
                  </pic:blipFill>
                  <pic:spPr>
                    <a:xfrm>
                      <a:off x="0" y="0"/>
                      <a:ext cx="5722620" cy="8157210"/>
                    </a:xfrm>
                    <a:prstGeom prst="rect">
                      <a:avLst/>
                    </a:prstGeom>
                  </pic:spPr>
                </pic:pic>
              </a:graphicData>
            </a:graphic>
          </wp:inline>
        </w:drawing>
      </w:r>
    </w:p>
    <w:p w14:paraId="69419D56">
      <w:pPr>
        <w:rPr>
          <w:rFonts w:hint="eastAsia" w:eastAsia="宋体"/>
          <w:color w:val="000000" w:themeColor="text1"/>
          <w:highlight w:val="none"/>
          <w:u w:val="none"/>
          <w:lang w:eastAsia="zh-CN"/>
          <w14:textFill>
            <w14:solidFill>
              <w14:schemeClr w14:val="tx1"/>
            </w14:solidFill>
          </w14:textFill>
        </w:rPr>
      </w:pPr>
    </w:p>
    <w:p w14:paraId="6327A1D6">
      <w:pPr>
        <w:rPr>
          <w:rFonts w:hint="eastAsia" w:eastAsia="宋体"/>
          <w:color w:val="000000" w:themeColor="text1"/>
          <w:highlight w:val="none"/>
          <w:u w:val="none"/>
          <w:lang w:eastAsia="zh-CN"/>
          <w14:textFill>
            <w14:solidFill>
              <w14:schemeClr w14:val="tx1"/>
            </w14:solidFill>
          </w14:textFill>
        </w:rPr>
        <w:sectPr>
          <w:pgSz w:w="11906" w:h="16838"/>
          <w:pgMar w:top="1083" w:right="1440" w:bottom="1083" w:left="1440" w:header="851" w:footer="992" w:gutter="0"/>
          <w:pgBorders>
            <w:top w:val="none" w:sz="0" w:space="0"/>
            <w:left w:val="none" w:sz="0" w:space="0"/>
            <w:bottom w:val="none" w:sz="0" w:space="0"/>
            <w:right w:val="none" w:sz="0" w:space="0"/>
          </w:pgBorders>
          <w:pgNumType w:fmt="decimal"/>
          <w:cols w:space="720" w:num="1"/>
          <w:rtlGutter w:val="0"/>
          <w:docGrid w:type="lines" w:linePitch="322" w:charSpace="0"/>
        </w:sectPr>
      </w:pPr>
    </w:p>
    <w:p w14:paraId="79A5F04F">
      <w:pPr>
        <w:rPr>
          <w:rFonts w:hint="eastAsia" w:eastAsia="仿宋"/>
          <w:snapToGrid w:val="0"/>
          <w:color w:val="000000" w:themeColor="text1"/>
          <w:sz w:val="24"/>
          <w:highlight w:val="none"/>
          <w:u w:val="none"/>
          <w:lang w:val="en-US" w:eastAsia="zh-CN"/>
          <w14:textFill>
            <w14:solidFill>
              <w14:schemeClr w14:val="tx1"/>
            </w14:solidFill>
          </w14:textFill>
        </w:rPr>
      </w:pPr>
      <w:r>
        <w:rPr>
          <w:rFonts w:hint="eastAsia" w:eastAsia="仿宋"/>
          <w:snapToGrid w:val="0"/>
          <w:color w:val="000000" w:themeColor="text1"/>
          <w:sz w:val="24"/>
          <w:highlight w:val="none"/>
          <w:u w:val="none"/>
          <w14:textFill>
            <w14:solidFill>
              <w14:schemeClr w14:val="tx1"/>
            </w14:solidFill>
          </w14:textFill>
        </w:rPr>
        <w:t>附件</w:t>
      </w:r>
      <w:r>
        <w:rPr>
          <w:rFonts w:hint="eastAsia" w:eastAsia="仿宋"/>
          <w:snapToGrid w:val="0"/>
          <w:color w:val="000000" w:themeColor="text1"/>
          <w:sz w:val="24"/>
          <w:highlight w:val="none"/>
          <w:u w:val="none"/>
          <w:lang w:val="en-US" w:eastAsia="zh-CN"/>
          <w14:textFill>
            <w14:solidFill>
              <w14:schemeClr w14:val="tx1"/>
            </w14:solidFill>
          </w14:textFill>
        </w:rPr>
        <w:t>5土地证</w:t>
      </w:r>
    </w:p>
    <w:p w14:paraId="285973AB">
      <w:pPr>
        <w:rPr>
          <w:rFonts w:hint="eastAsia" w:eastAsia="仿宋"/>
          <w:snapToGrid w:val="0"/>
          <w:color w:val="000000" w:themeColor="text1"/>
          <w:sz w:val="24"/>
          <w:highlight w:val="none"/>
          <w:u w:val="none"/>
          <w:lang w:val="en-US" w:eastAsia="zh-CN"/>
          <w14:textFill>
            <w14:solidFill>
              <w14:schemeClr w14:val="tx1"/>
            </w14:solidFill>
          </w14:textFill>
        </w:rPr>
        <w:sectPr>
          <w:pgSz w:w="11906" w:h="16838"/>
          <w:pgMar w:top="1083" w:right="1440" w:bottom="1083" w:left="1440" w:header="851" w:footer="992" w:gutter="0"/>
          <w:pgBorders>
            <w:top w:val="none" w:sz="0" w:space="0"/>
            <w:left w:val="none" w:sz="0" w:space="0"/>
            <w:bottom w:val="none" w:sz="0" w:space="0"/>
            <w:right w:val="none" w:sz="0" w:space="0"/>
          </w:pgBorders>
          <w:pgNumType w:fmt="decimal"/>
          <w:cols w:space="720" w:num="1"/>
          <w:rtlGutter w:val="0"/>
          <w:docGrid w:type="lines" w:linePitch="322" w:charSpace="0"/>
        </w:sectPr>
      </w:pPr>
      <w:r>
        <w:rPr>
          <w:rFonts w:hint="eastAsia" w:eastAsia="仿宋"/>
          <w:snapToGrid w:val="0"/>
          <w:color w:val="000000" w:themeColor="text1"/>
          <w:sz w:val="24"/>
          <w:highlight w:val="none"/>
          <w:u w:val="none"/>
          <w:lang w:val="en-US" w:eastAsia="zh-CN"/>
          <w14:textFill>
            <w14:solidFill>
              <w14:schemeClr w14:val="tx1"/>
            </w14:solidFill>
          </w14:textFill>
        </w:rPr>
        <w:drawing>
          <wp:inline distT="0" distB="0" distL="114300" distR="114300">
            <wp:extent cx="5711190" cy="8375015"/>
            <wp:effectExtent l="0" t="0" r="3810" b="6985"/>
            <wp:docPr id="68" name="图片 68" descr="b0536235499a5c87414395d55f5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b0536235499a5c87414395d55f54887"/>
                    <pic:cNvPicPr>
                      <a:picLocks noChangeAspect="1"/>
                    </pic:cNvPicPr>
                  </pic:nvPicPr>
                  <pic:blipFill>
                    <a:blip r:embed="rId38"/>
                    <a:stretch>
                      <a:fillRect/>
                    </a:stretch>
                  </pic:blipFill>
                  <pic:spPr>
                    <a:xfrm>
                      <a:off x="0" y="0"/>
                      <a:ext cx="5711190" cy="8375015"/>
                    </a:xfrm>
                    <a:prstGeom prst="rect">
                      <a:avLst/>
                    </a:prstGeom>
                  </pic:spPr>
                </pic:pic>
              </a:graphicData>
            </a:graphic>
          </wp:inline>
        </w:drawing>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657225</wp:posOffset>
                </wp:positionH>
                <wp:positionV relativeFrom="paragraph">
                  <wp:posOffset>2908935</wp:posOffset>
                </wp:positionV>
                <wp:extent cx="914400" cy="611505"/>
                <wp:effectExtent l="12700" t="12700" r="25400" b="556895"/>
                <wp:wrapNone/>
                <wp:docPr id="19" name="矩形标注 19"/>
                <wp:cNvGraphicFramePr/>
                <a:graphic xmlns:a="http://schemas.openxmlformats.org/drawingml/2006/main">
                  <a:graphicData uri="http://schemas.microsoft.com/office/word/2010/wordprocessingShape">
                    <wps:wsp>
                      <wps:cNvSpPr/>
                      <wps:spPr>
                        <a:xfrm>
                          <a:off x="2124075" y="3653790"/>
                          <a:ext cx="914400" cy="611505"/>
                        </a:xfrm>
                        <a:prstGeom prst="wedgeRectCallout">
                          <a:avLst>
                            <a:gd name="adj1" fmla="val 32291"/>
                            <a:gd name="adj2" fmla="val 13722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44736AD">
                            <w:pPr>
                              <w:jc w:val="center"/>
                              <w:rPr>
                                <w:rFonts w:hint="default" w:eastAsia="宋体"/>
                                <w:color w:val="FF0000"/>
                                <w:lang w:val="en-US" w:eastAsia="zh-CN"/>
                              </w:rPr>
                            </w:pPr>
                            <w:r>
                              <w:rPr>
                                <w:rFonts w:hint="eastAsia"/>
                                <w:color w:val="FF0000"/>
                                <w:lang w:val="en-US"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1.75pt;margin-top:229.05pt;height:48.15pt;width:72pt;z-index:251687936;v-text-anchor:middle;mso-width-relative:page;mso-height-relative:page;" filled="f" stroked="t" coordsize="21600,21600" o:gfxdata="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MxGBtXZAAAACwEAAA8AAAAAAAAAAQAgAAAAIgAAAGRycy9kb3ducmV2&#10;LnhtbFBLAQIUABQAAAAIAIdO4kDuMX9DpgIAADAFAAAOAAAAAAAAAAEAIAAAACgBAABkcnMvZTJv&#10;RG9jLnhtbFBLBQYAAAAABgAGAFkBAABABgAAAAA=&#10;" adj="17775,40441">
                <v:fill on="f" focussize="0,0"/>
                <v:stroke weight="2pt" color="#FF0000 [2404]" joinstyle="round"/>
                <v:imagedata o:title=""/>
                <o:lock v:ext="edit" aspectratio="f"/>
                <v:textbox>
                  <w:txbxContent>
                    <w:p w14:paraId="144736AD">
                      <w:pPr>
                        <w:jc w:val="center"/>
                        <w:rPr>
                          <w:rFonts w:hint="default" w:eastAsia="宋体"/>
                          <w:color w:val="FF0000"/>
                          <w:lang w:val="en-US" w:eastAsia="zh-CN"/>
                        </w:rPr>
                      </w:pPr>
                      <w:r>
                        <w:rPr>
                          <w:rFonts w:hint="eastAsia"/>
                          <w:color w:val="FF0000"/>
                          <w:lang w:val="en-US" w:eastAsia="zh-CN"/>
                        </w:rPr>
                        <w:t>本项目位置</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1186180</wp:posOffset>
                </wp:positionH>
                <wp:positionV relativeFrom="paragraph">
                  <wp:posOffset>3842385</wp:posOffset>
                </wp:positionV>
                <wp:extent cx="1028700" cy="904875"/>
                <wp:effectExtent l="12700" t="12700" r="25400" b="15875"/>
                <wp:wrapNone/>
                <wp:docPr id="2" name="任意多边形 2"/>
                <wp:cNvGraphicFramePr/>
                <a:graphic xmlns:a="http://schemas.openxmlformats.org/drawingml/2006/main">
                  <a:graphicData uri="http://schemas.microsoft.com/office/word/2010/wordprocessingShape">
                    <wps:wsp>
                      <wps:cNvSpPr/>
                      <wps:spPr>
                        <a:xfrm>
                          <a:off x="2100580" y="4530090"/>
                          <a:ext cx="1028700" cy="904875"/>
                        </a:xfrm>
                        <a:custGeom>
                          <a:avLst/>
                          <a:gdLst>
                            <a:gd name="connisteX0" fmla="*/ 0 w 1028700"/>
                            <a:gd name="connsiteY0" fmla="*/ 381000 h 904875"/>
                            <a:gd name="connisteX1" fmla="*/ 247650 w 1028700"/>
                            <a:gd name="connsiteY1" fmla="*/ 904875 h 904875"/>
                            <a:gd name="connisteX2" fmla="*/ 1028700 w 1028700"/>
                            <a:gd name="connsiteY2" fmla="*/ 533400 h 904875"/>
                            <a:gd name="connisteX3" fmla="*/ 752475 w 1028700"/>
                            <a:gd name="connsiteY3" fmla="*/ 0 h 904875"/>
                            <a:gd name="connisteX4" fmla="*/ 0 w 1028700"/>
                            <a:gd name="connsiteY4" fmla="*/ 381000 h 90487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028700" h="904875">
                              <a:moveTo>
                                <a:pt x="0" y="381000"/>
                              </a:moveTo>
                              <a:lnTo>
                                <a:pt x="247650" y="904875"/>
                              </a:lnTo>
                              <a:lnTo>
                                <a:pt x="1028700" y="533400"/>
                              </a:lnTo>
                              <a:lnTo>
                                <a:pt x="752475" y="0"/>
                              </a:lnTo>
                              <a:lnTo>
                                <a:pt x="0" y="38100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93.4pt;margin-top:302.55pt;height:71.25pt;width:81pt;z-index:251686912;mso-width-relative:page;mso-height-relative:page;" filled="f" stroked="t" coordsize="1028700,904875" o:gfxdata="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u3uPIdkAAAALAQAADwAAAAAAAAABACAAAAAiAAAAZHJzL2Rvd25yZXYueG1sUEsBAhQA&#10;FAAAAAgAh07iQG2mdScOAwAAPggAAA4AAAAAAAAAAQAgAAAAKAEAAGRycy9lMm9Eb2MueG1sUEsF&#10;BgAAAAAGAAYAWQEAAKgGAAAAAA==&#10;" path="m0,381000l247650,904875,1028700,533400,752475,0,0,381000xe">
                <v:path o:connectlocs="0,381000;247650,904875;1028700,533400;752475,0;0,381000" o:connectangles="0,0,0,0,0"/>
                <v:fill on="f" focussize="0,0"/>
                <v:stroke weight="2pt" color="#FF0000 [2404]" joinstyle="round"/>
                <v:imagedata o:title=""/>
                <o:lock v:ext="edit" aspectratio="f"/>
              </v:shape>
            </w:pict>
          </mc:Fallback>
        </mc:AlternateContent>
      </w:r>
      <w:r>
        <w:rPr>
          <w:rFonts w:hint="eastAsia" w:eastAsia="仿宋"/>
          <w:snapToGrid w:val="0"/>
          <w:color w:val="000000" w:themeColor="text1"/>
          <w:sz w:val="24"/>
          <w:highlight w:val="none"/>
          <w:u w:val="none"/>
          <w:lang w:val="en-US" w:eastAsia="zh-CN"/>
          <w14:textFill>
            <w14:solidFill>
              <w14:schemeClr w14:val="tx1"/>
            </w14:solidFill>
          </w14:textFill>
        </w:rPr>
        <w:drawing>
          <wp:inline distT="0" distB="0" distL="114300" distR="114300">
            <wp:extent cx="5728970" cy="7969250"/>
            <wp:effectExtent l="0" t="0" r="5080" b="12700"/>
            <wp:docPr id="44" name="图片 44" descr="b0e16e8fa8cd4a6117bc3e42f930d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b0e16e8fa8cd4a6117bc3e42f930d0b"/>
                    <pic:cNvPicPr>
                      <a:picLocks noChangeAspect="1"/>
                    </pic:cNvPicPr>
                  </pic:nvPicPr>
                  <pic:blipFill>
                    <a:blip r:embed="rId39"/>
                    <a:stretch>
                      <a:fillRect/>
                    </a:stretch>
                  </pic:blipFill>
                  <pic:spPr>
                    <a:xfrm>
                      <a:off x="0" y="0"/>
                      <a:ext cx="5728970" cy="7969250"/>
                    </a:xfrm>
                    <a:prstGeom prst="rect">
                      <a:avLst/>
                    </a:prstGeom>
                  </pic:spPr>
                </pic:pic>
              </a:graphicData>
            </a:graphic>
          </wp:inline>
        </w:drawing>
      </w:r>
    </w:p>
    <w:p w14:paraId="0AA1CB78">
      <w:pPr>
        <w:rPr>
          <w:rFonts w:hint="default" w:eastAsia="仿宋"/>
          <w:snapToGrid w:val="0"/>
          <w:color w:val="000000" w:themeColor="text1"/>
          <w:sz w:val="24"/>
          <w:highlight w:val="none"/>
          <w:u w:val="none"/>
          <w:lang w:val="en-US" w:eastAsia="zh-CN"/>
          <w14:textFill>
            <w14:solidFill>
              <w14:schemeClr w14:val="tx1"/>
            </w14:solidFill>
          </w14:textFill>
        </w:rPr>
      </w:pPr>
      <w:r>
        <w:rPr>
          <w:rFonts w:hint="eastAsia" w:eastAsia="仿宋"/>
          <w:snapToGrid w:val="0"/>
          <w:color w:val="000000" w:themeColor="text1"/>
          <w:sz w:val="24"/>
          <w:highlight w:val="none"/>
          <w:u w:val="none"/>
          <w14:textFill>
            <w14:solidFill>
              <w14:schemeClr w14:val="tx1"/>
            </w14:solidFill>
          </w14:textFill>
        </w:rPr>
        <w:t>附件</w:t>
      </w:r>
      <w:r>
        <w:rPr>
          <w:rFonts w:hint="eastAsia" w:eastAsia="仿宋"/>
          <w:snapToGrid w:val="0"/>
          <w:color w:val="000000" w:themeColor="text1"/>
          <w:sz w:val="24"/>
          <w:highlight w:val="none"/>
          <w:u w:val="none"/>
          <w:lang w:val="en-US" w:eastAsia="zh-CN"/>
          <w14:textFill>
            <w14:solidFill>
              <w14:schemeClr w14:val="tx1"/>
            </w14:solidFill>
          </w14:textFill>
        </w:rPr>
        <w:t>6 备案承诺书</w:t>
      </w:r>
    </w:p>
    <w:p w14:paraId="643E5007">
      <w:pPr>
        <w:rPr>
          <w:rFonts w:hint="eastAsia" w:eastAsia="仿宋"/>
          <w:snapToGrid w:val="0"/>
          <w:color w:val="000000" w:themeColor="text1"/>
          <w:sz w:val="24"/>
          <w:highlight w:val="none"/>
          <w:u w:val="none"/>
          <w:lang w:val="en-US" w:eastAsia="zh-CN"/>
          <w14:textFill>
            <w14:solidFill>
              <w14:schemeClr w14:val="tx1"/>
            </w14:solidFill>
          </w14:textFill>
        </w:rPr>
        <w:sectPr>
          <w:pgSz w:w="11906" w:h="16838"/>
          <w:pgMar w:top="1083" w:right="1440" w:bottom="1083" w:left="1440" w:header="851" w:footer="992" w:gutter="0"/>
          <w:pgBorders>
            <w:top w:val="none" w:sz="0" w:space="0"/>
            <w:left w:val="none" w:sz="0" w:space="0"/>
            <w:bottom w:val="none" w:sz="0" w:space="0"/>
            <w:right w:val="none" w:sz="0" w:space="0"/>
          </w:pgBorders>
          <w:pgNumType w:fmt="decimal"/>
          <w:cols w:space="720" w:num="1"/>
          <w:rtlGutter w:val="0"/>
          <w:docGrid w:type="lines" w:linePitch="322" w:charSpace="0"/>
        </w:sectPr>
      </w:pPr>
      <w:r>
        <w:rPr>
          <w:color w:val="000000" w:themeColor="text1"/>
          <w:highlight w:val="none"/>
          <w14:textFill>
            <w14:solidFill>
              <w14:schemeClr w14:val="tx1"/>
            </w14:solidFill>
          </w14:textFill>
        </w:rPr>
        <w:drawing>
          <wp:inline distT="0" distB="0" distL="114300" distR="114300">
            <wp:extent cx="5438775" cy="7419975"/>
            <wp:effectExtent l="0" t="0" r="9525" b="952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40"/>
                    <a:stretch>
                      <a:fillRect/>
                    </a:stretch>
                  </pic:blipFill>
                  <pic:spPr>
                    <a:xfrm>
                      <a:off x="0" y="0"/>
                      <a:ext cx="5438775" cy="7419975"/>
                    </a:xfrm>
                    <a:prstGeom prst="rect">
                      <a:avLst/>
                    </a:prstGeom>
                    <a:noFill/>
                    <a:ln>
                      <a:noFill/>
                    </a:ln>
                  </pic:spPr>
                </pic:pic>
              </a:graphicData>
            </a:graphic>
          </wp:inline>
        </w:drawing>
      </w:r>
    </w:p>
    <w:p w14:paraId="76CF9EDA">
      <w:pPr>
        <w:pStyle w:val="10"/>
        <w:rPr>
          <w:rFonts w:hint="eastAsia" w:eastAsia="仿宋"/>
          <w:snapToGrid w:val="0"/>
          <w:color w:val="000000" w:themeColor="text1"/>
          <w:sz w:val="24"/>
          <w:highlight w:val="none"/>
          <w:u w:val="none"/>
          <w:lang w:val="en-US" w:eastAsia="zh-CN"/>
          <w14:textFill>
            <w14:solidFill>
              <w14:schemeClr w14:val="tx1"/>
            </w14:solidFill>
          </w14:textFill>
        </w:rPr>
      </w:pPr>
      <w:r>
        <w:rPr>
          <w:rFonts w:hint="eastAsia" w:eastAsia="仿宋"/>
          <w:snapToGrid w:val="0"/>
          <w:color w:val="000000" w:themeColor="text1"/>
          <w:sz w:val="24"/>
          <w:highlight w:val="none"/>
          <w:u w:val="none"/>
          <w14:textFill>
            <w14:solidFill>
              <w14:schemeClr w14:val="tx1"/>
            </w14:solidFill>
          </w14:textFill>
        </w:rPr>
        <w:t>附</w:t>
      </w:r>
      <w:r>
        <w:rPr>
          <w:rFonts w:hint="eastAsia" w:eastAsia="仿宋"/>
          <w:snapToGrid w:val="0"/>
          <w:color w:val="000000" w:themeColor="text1"/>
          <w:sz w:val="24"/>
          <w:highlight w:val="none"/>
          <w:u w:val="none"/>
          <w:lang w:val="en-US" w:eastAsia="zh-CN"/>
          <w14:textFill>
            <w14:solidFill>
              <w14:schemeClr w14:val="tx1"/>
            </w14:solidFill>
          </w14:textFill>
        </w:rPr>
        <w:t>图1地理位置图</w:t>
      </w:r>
    </w:p>
    <w:p w14:paraId="3F974DDE">
      <w:pPr>
        <w:pStyle w:val="10"/>
        <w:rPr>
          <w:rFonts w:hint="eastAsia" w:eastAsia="仿宋"/>
          <w:snapToGrid w:val="0"/>
          <w:color w:val="000000" w:themeColor="text1"/>
          <w:sz w:val="24"/>
          <w:highlight w:val="none"/>
          <w:u w:val="none"/>
          <w14:textFill>
            <w14:solidFill>
              <w14:schemeClr w14:val="tx1"/>
            </w14:solidFill>
          </w14:textFill>
        </w:rPr>
        <w:sectPr>
          <w:pgSz w:w="11906" w:h="16838"/>
          <w:pgMar w:top="1083" w:right="1440" w:bottom="1083" w:left="1440" w:header="851" w:footer="992" w:gutter="0"/>
          <w:pgBorders>
            <w:top w:val="none" w:sz="0" w:space="0"/>
            <w:left w:val="none" w:sz="0" w:space="0"/>
            <w:bottom w:val="none" w:sz="0" w:space="0"/>
            <w:right w:val="none" w:sz="0" w:space="0"/>
          </w:pgBorders>
          <w:pgNumType w:fmt="decimal"/>
          <w:cols w:space="720" w:num="1"/>
          <w:rtlGutter w:val="0"/>
          <w:docGrid w:type="lines" w:linePitch="322" w:charSpace="0"/>
        </w:sectPr>
      </w:pPr>
      <w:r>
        <w:rPr>
          <w:color w:val="000000" w:themeColor="text1"/>
          <w:sz w:val="18"/>
          <w:highlight w:val="none"/>
          <w:u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2105660</wp:posOffset>
                </wp:positionH>
                <wp:positionV relativeFrom="paragraph">
                  <wp:posOffset>2679700</wp:posOffset>
                </wp:positionV>
                <wp:extent cx="914400" cy="611505"/>
                <wp:effectExtent l="12700" t="795655" r="25400" b="21590"/>
                <wp:wrapNone/>
                <wp:docPr id="3" name="矩形标注 3"/>
                <wp:cNvGraphicFramePr/>
                <a:graphic xmlns:a="http://schemas.openxmlformats.org/drawingml/2006/main">
                  <a:graphicData uri="http://schemas.microsoft.com/office/word/2010/wordprocessingShape">
                    <wps:wsp>
                      <wps:cNvSpPr/>
                      <wps:spPr>
                        <a:xfrm>
                          <a:off x="0" y="0"/>
                          <a:ext cx="914400" cy="611505"/>
                        </a:xfrm>
                        <a:prstGeom prst="wedgeRectCallout">
                          <a:avLst>
                            <a:gd name="adj1" fmla="val -49861"/>
                            <a:gd name="adj2" fmla="val -17803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738AFFA">
                            <w:pPr>
                              <w:jc w:val="center"/>
                              <w:rPr>
                                <w:rFonts w:hint="default" w:eastAsia="宋体"/>
                                <w:color w:val="FF0000"/>
                                <w:lang w:val="en-US" w:eastAsia="zh-CN"/>
                              </w:rPr>
                            </w:pPr>
                            <w:r>
                              <w:rPr>
                                <w:rFonts w:hint="eastAsia"/>
                                <w:color w:val="FF0000"/>
                                <w:lang w:val="en-US"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5.8pt;margin-top:211pt;height:48.15pt;width:72pt;z-index:251670528;v-text-anchor:middle;mso-width-relative:page;mso-height-relative:page;" filled="f" stroked="t" coordsize="21600,21600" o:gfxdata="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JNYGt3AAAAAsBAAAPAAAAAAAAAAEAIAAAACIAAABkcnMvZG93bnJldi54bWxQSwEC&#10;FAAUAAAACACHTuJAeIJdYJsCAAAkBQAADgAAAAAAAAABACAAAAArAQAAZHJzL2Uyb0RvYy54bWxQ&#10;SwUGAAAAAAYABgBZAQAAOAYAAAAA&#10;" adj="30,-27656">
                <v:fill on="f" focussize="0,0"/>
                <v:stroke weight="2pt" color="#FF0000 [2404]" joinstyle="round"/>
                <v:imagedata o:title=""/>
                <o:lock v:ext="edit" aspectratio="f"/>
                <v:textbox>
                  <w:txbxContent>
                    <w:p w14:paraId="6738AFFA">
                      <w:pPr>
                        <w:jc w:val="center"/>
                        <w:rPr>
                          <w:rFonts w:hint="default" w:eastAsia="宋体"/>
                          <w:color w:val="FF0000"/>
                          <w:lang w:val="en-US" w:eastAsia="zh-CN"/>
                        </w:rPr>
                      </w:pPr>
                      <w:r>
                        <w:rPr>
                          <w:rFonts w:hint="eastAsia"/>
                          <w:color w:val="FF0000"/>
                          <w:lang w:val="en-US" w:eastAsia="zh-CN"/>
                        </w:rPr>
                        <w:t>本项目位置</w:t>
                      </w:r>
                    </w:p>
                  </w:txbxContent>
                </v:textbox>
              </v:shape>
            </w:pict>
          </mc:Fallback>
        </mc:AlternateContent>
      </w:r>
      <w:r>
        <w:rPr>
          <w:rFonts w:hint="default" w:ascii="Times New Roman" w:hAnsi="Times New Roman" w:eastAsia="仿宋" w:cs="Times New Roman"/>
          <w:color w:val="000000" w:themeColor="text1"/>
          <w:highlight w:val="none"/>
          <w14:textFill>
            <w14:solidFill>
              <w14:schemeClr w14:val="tx1"/>
            </w14:solidFill>
          </w14:textFill>
        </w:rPr>
        <w:drawing>
          <wp:anchor distT="0" distB="0" distL="114300" distR="114300" simplePos="0" relativeHeight="251682816" behindDoc="0" locked="0" layoutInCell="1" allowOverlap="1">
            <wp:simplePos x="0" y="0"/>
            <wp:positionH relativeFrom="column">
              <wp:posOffset>4953000</wp:posOffset>
            </wp:positionH>
            <wp:positionV relativeFrom="paragraph">
              <wp:posOffset>12700</wp:posOffset>
            </wp:positionV>
            <wp:extent cx="861060" cy="950595"/>
            <wp:effectExtent l="0" t="0" r="15240" b="1905"/>
            <wp:wrapNone/>
            <wp:docPr id="69" name="图片 3" descr="说明: 哈尔滨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descr="说明: 哈尔滨风"/>
                    <pic:cNvPicPr>
                      <a:picLocks noChangeAspect="1"/>
                    </pic:cNvPicPr>
                  </pic:nvPicPr>
                  <pic:blipFill>
                    <a:blip r:embed="rId41"/>
                    <a:stretch>
                      <a:fillRect/>
                    </a:stretch>
                  </pic:blipFill>
                  <pic:spPr>
                    <a:xfrm>
                      <a:off x="0" y="0"/>
                      <a:ext cx="861060" cy="950595"/>
                    </a:xfrm>
                    <a:prstGeom prst="rect">
                      <a:avLst/>
                    </a:prstGeom>
                    <a:noFill/>
                    <a:ln>
                      <a:noFill/>
                    </a:ln>
                  </pic:spPr>
                </pic:pic>
              </a:graphicData>
            </a:graphic>
          </wp:anchor>
        </w:drawing>
      </w:r>
      <w:r>
        <w:rPr>
          <w:color w:val="000000" w:themeColor="text1"/>
          <w:highlight w:val="none"/>
          <w14:textFill>
            <w14:solidFill>
              <w14:schemeClr w14:val="tx1"/>
            </w14:solidFill>
          </w14:textFill>
        </w:rPr>
        <w:drawing>
          <wp:inline distT="0" distB="0" distL="114300" distR="114300">
            <wp:extent cx="5722620" cy="3768090"/>
            <wp:effectExtent l="0" t="0" r="11430" b="381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42"/>
                    <a:stretch>
                      <a:fillRect/>
                    </a:stretch>
                  </pic:blipFill>
                  <pic:spPr>
                    <a:xfrm>
                      <a:off x="0" y="0"/>
                      <a:ext cx="5722620" cy="3768090"/>
                    </a:xfrm>
                    <a:prstGeom prst="rect">
                      <a:avLst/>
                    </a:prstGeom>
                    <a:noFill/>
                    <a:ln>
                      <a:noFill/>
                    </a:ln>
                  </pic:spPr>
                </pic:pic>
              </a:graphicData>
            </a:graphic>
          </wp:inline>
        </w:drawing>
      </w:r>
    </w:p>
    <w:p w14:paraId="00030331">
      <w:pPr>
        <w:pStyle w:val="10"/>
        <w:rPr>
          <w:rFonts w:hint="eastAsia" w:eastAsia="仿宋"/>
          <w:snapToGrid w:val="0"/>
          <w:color w:val="000000" w:themeColor="text1"/>
          <w:sz w:val="24"/>
          <w:highlight w:val="none"/>
          <w:u w:val="none"/>
          <w:lang w:val="en-US" w:eastAsia="zh-CN"/>
          <w14:textFill>
            <w14:solidFill>
              <w14:schemeClr w14:val="tx1"/>
            </w14:solidFill>
          </w14:textFill>
        </w:rPr>
      </w:pPr>
      <w:r>
        <w:rPr>
          <w:rFonts w:hint="eastAsia" w:eastAsia="仿宋"/>
          <w:snapToGrid w:val="0"/>
          <w:color w:val="000000" w:themeColor="text1"/>
          <w:sz w:val="24"/>
          <w:highlight w:val="none"/>
          <w:u w:val="none"/>
          <w14:textFill>
            <w14:solidFill>
              <w14:schemeClr w14:val="tx1"/>
            </w14:solidFill>
          </w14:textFill>
        </w:rPr>
        <w:t>附</w:t>
      </w:r>
      <w:r>
        <w:rPr>
          <w:rFonts w:hint="eastAsia" w:eastAsia="仿宋"/>
          <w:snapToGrid w:val="0"/>
          <w:color w:val="000000" w:themeColor="text1"/>
          <w:sz w:val="24"/>
          <w:highlight w:val="none"/>
          <w:u w:val="none"/>
          <w:lang w:val="en-US" w:eastAsia="zh-CN"/>
          <w14:textFill>
            <w14:solidFill>
              <w14:schemeClr w14:val="tx1"/>
            </w14:solidFill>
          </w14:textFill>
        </w:rPr>
        <w:t>图</w:t>
      </w:r>
      <w:r>
        <w:rPr>
          <w:rFonts w:hint="default" w:ascii="Times New Roman" w:hAnsi="Times New Roman" w:eastAsia="仿宋" w:cs="Times New Roman"/>
          <w:color w:val="000000" w:themeColor="text1"/>
          <w:highlight w:val="none"/>
          <w14:textFill>
            <w14:solidFill>
              <w14:schemeClr w14:val="tx1"/>
            </w14:solidFill>
          </w14:textFill>
        </w:rPr>
        <w:drawing>
          <wp:anchor distT="0" distB="0" distL="114300" distR="114300" simplePos="0" relativeHeight="251683840" behindDoc="0" locked="0" layoutInCell="1" allowOverlap="1">
            <wp:simplePos x="0" y="0"/>
            <wp:positionH relativeFrom="column">
              <wp:posOffset>4721225</wp:posOffset>
            </wp:positionH>
            <wp:positionV relativeFrom="paragraph">
              <wp:posOffset>222250</wp:posOffset>
            </wp:positionV>
            <wp:extent cx="861060" cy="950595"/>
            <wp:effectExtent l="207645" t="165735" r="207645" b="179070"/>
            <wp:wrapNone/>
            <wp:docPr id="71" name="图片 3" descr="说明: 哈尔滨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descr="说明: 哈尔滨风"/>
                    <pic:cNvPicPr>
                      <a:picLocks noChangeAspect="1"/>
                    </pic:cNvPicPr>
                  </pic:nvPicPr>
                  <pic:blipFill>
                    <a:blip r:embed="rId41"/>
                    <a:stretch>
                      <a:fillRect/>
                    </a:stretch>
                  </pic:blipFill>
                  <pic:spPr>
                    <a:xfrm rot="19080000">
                      <a:off x="0" y="0"/>
                      <a:ext cx="861060" cy="950595"/>
                    </a:xfrm>
                    <a:prstGeom prst="rect">
                      <a:avLst/>
                    </a:prstGeom>
                    <a:noFill/>
                    <a:ln>
                      <a:noFill/>
                    </a:ln>
                  </pic:spPr>
                </pic:pic>
              </a:graphicData>
            </a:graphic>
          </wp:anchor>
        </w:drawing>
      </w:r>
      <w:r>
        <w:rPr>
          <w:rFonts w:hint="eastAsia" w:eastAsia="仿宋"/>
          <w:snapToGrid w:val="0"/>
          <w:color w:val="000000" w:themeColor="text1"/>
          <w:sz w:val="24"/>
          <w:highlight w:val="none"/>
          <w:u w:val="none"/>
          <w:lang w:val="en-US" w:eastAsia="zh-CN"/>
          <w14:textFill>
            <w14:solidFill>
              <w14:schemeClr w14:val="tx1"/>
            </w14:solidFill>
          </w14:textFill>
        </w:rPr>
        <w:t>2平面布置图</w:t>
      </w:r>
    </w:p>
    <w:p w14:paraId="506B1BE0">
      <w:pPr>
        <w:pStyle w:val="10"/>
        <w:rPr>
          <w:rFonts w:hint="eastAsia" w:eastAsia="仿宋"/>
          <w:snapToGrid w:val="0"/>
          <w:color w:val="000000" w:themeColor="text1"/>
          <w:sz w:val="24"/>
          <w:highlight w:val="none"/>
          <w:u w:val="none"/>
          <w:lang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5112385</wp:posOffset>
                </wp:positionH>
                <wp:positionV relativeFrom="paragraph">
                  <wp:posOffset>3887470</wp:posOffset>
                </wp:positionV>
                <wp:extent cx="435610" cy="207010"/>
                <wp:effectExtent l="12700" t="12700" r="27940" b="27940"/>
                <wp:wrapNone/>
                <wp:docPr id="39" name="矩形 39"/>
                <wp:cNvGraphicFramePr/>
                <a:graphic xmlns:a="http://schemas.openxmlformats.org/drawingml/2006/main">
                  <a:graphicData uri="http://schemas.microsoft.com/office/word/2010/wordprocessingShape">
                    <wps:wsp>
                      <wps:cNvSpPr/>
                      <wps:spPr>
                        <a:xfrm>
                          <a:off x="6066155" y="4862195"/>
                          <a:ext cx="435610" cy="207010"/>
                        </a:xfrm>
                        <a:prstGeom prst="rect">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2.55pt;margin-top:306.1pt;height:16.3pt;width:34.3pt;z-index:251668480;v-text-anchor:middle;mso-width-relative:page;mso-height-relative:page;" fillcolor="#FF0000" filled="t" stroked="t" coordsize="21600,21600" o:gfxdata="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W5hpTNoAAAALAQAADwAAAAAAAAABACAAAAAiAAAAZHJzL2Rv&#10;d25yZXYueG1sUEsBAhQAFAAAAAgAh07iQG5vScJxAgAA6gQAAA4AAAAAAAAAAQAgAAAAKQEAAGRy&#10;cy9lMm9Eb2MueG1sUEsFBgAAAAAGAAYAWQEAAAwGAAAAAA==&#10;">
                <v:fill on="t" focussize="0,0"/>
                <v:stroke weight="2pt" color="#000000 [3213]" joinstyle="round"/>
                <v:imagedata o:title=""/>
                <o:lock v:ext="edit" aspectratio="f"/>
              </v:rect>
            </w:pict>
          </mc:Fallback>
        </mc:AlternateContent>
      </w:r>
      <w:r>
        <w:rPr>
          <w:color w:val="000000" w:themeColor="text1"/>
          <w:sz w:val="24"/>
          <w:highlight w:val="none"/>
          <w:u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3706495</wp:posOffset>
                </wp:positionH>
                <wp:positionV relativeFrom="paragraph">
                  <wp:posOffset>727075</wp:posOffset>
                </wp:positionV>
                <wp:extent cx="914400" cy="364490"/>
                <wp:effectExtent l="12700" t="12700" r="711200" b="156210"/>
                <wp:wrapNone/>
                <wp:docPr id="41" name="矩形标注 41"/>
                <wp:cNvGraphicFramePr/>
                <a:graphic xmlns:a="http://schemas.openxmlformats.org/drawingml/2006/main">
                  <a:graphicData uri="http://schemas.microsoft.com/office/word/2010/wordprocessingShape">
                    <wps:wsp>
                      <wps:cNvSpPr/>
                      <wps:spPr>
                        <a:xfrm>
                          <a:off x="5233035" y="1460500"/>
                          <a:ext cx="914400" cy="364490"/>
                        </a:xfrm>
                        <a:prstGeom prst="wedgeRectCallout">
                          <a:avLst>
                            <a:gd name="adj1" fmla="val 126388"/>
                            <a:gd name="adj2" fmla="val 89024"/>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B7D6E09">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1.85pt;margin-top:57.25pt;height:28.7pt;width:72pt;z-index:251663360;v-text-anchor:middle;mso-width-relative:page;mso-height-relative:page;" filled="f" stroked="t" coordsize="21600,21600" o:gfxdata="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dG4cE2QAAAAsBAAAPAAAAAAAAAAEAIAAAACIAAABkcnMvZG93bnJldi54&#10;bWxQSwECFAAUAAAACACHTuJAz2q+a6QCAAAwBQAADgAAAAAAAAABACAAAAAoAQAAZHJzL2Uyb0Rv&#10;Yy54bWxQSwUGAAAAAAYABgBZAQAAPgYAAAAA&#10;" adj="38100,30029">
                <v:fill on="f" focussize="0,0"/>
                <v:stroke weight="2pt" color="#000000 [3213]" joinstyle="round"/>
                <v:imagedata o:title=""/>
                <o:lock v:ext="edit" aspectratio="f"/>
                <v:textbox>
                  <w:txbxContent>
                    <w:p w14:paraId="3B7D6E09">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DA001</w:t>
                      </w:r>
                    </w:p>
                  </w:txbxContent>
                </v:textbox>
              </v:shape>
            </w:pict>
          </mc:Fallback>
        </mc:AlternateContent>
      </w:r>
      <w:r>
        <w:rPr>
          <w:color w:val="000000" w:themeColor="text1"/>
          <w:sz w:val="24"/>
          <w:highlight w:val="none"/>
          <w:u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5344795</wp:posOffset>
                </wp:positionH>
                <wp:positionV relativeFrom="paragraph">
                  <wp:posOffset>1151255</wp:posOffset>
                </wp:positionV>
                <wp:extent cx="190500" cy="180975"/>
                <wp:effectExtent l="12700" t="12700" r="25400" b="15875"/>
                <wp:wrapNone/>
                <wp:docPr id="40" name="椭圆 40"/>
                <wp:cNvGraphicFramePr/>
                <a:graphic xmlns:a="http://schemas.openxmlformats.org/drawingml/2006/main">
                  <a:graphicData uri="http://schemas.microsoft.com/office/word/2010/wordprocessingShape">
                    <wps:wsp>
                      <wps:cNvSpPr/>
                      <wps:spPr>
                        <a:xfrm>
                          <a:off x="5928360" y="1974850"/>
                          <a:ext cx="190500" cy="180975"/>
                        </a:xfrm>
                        <a:prstGeom prst="ellipse">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20.85pt;margin-top:90.65pt;height:14.25pt;width:15pt;z-index:251662336;v-text-anchor:middle;mso-width-relative:page;mso-height-relative:page;" fillcolor="#FF0000" filled="t" stroked="t" coordsize="21600,21600" o:gfxdata="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qhdiZ2QAAAAsBAAAPAAAAAAAAAAEAIAAAACIAAABkcnMvZG93&#10;bnJldi54bWxQSwECFAAUAAAACACHTuJAvdo4PnECAADtBAAADgAAAAAAAAABACAAAAAoAQAAZHJz&#10;L2Uyb0RvYy54bWxQSwUGAAAAAAYABgBZAQAACwYAAAAA&#10;">
                <v:fill on="t" focussize="0,0"/>
                <v:stroke weight="2pt" color="#000000 [3213]" joinstyle="round"/>
                <v:imagedata o:title=""/>
                <o:lock v:ext="edit" aspectratio="f"/>
              </v:shape>
            </w:pict>
          </mc:Fallback>
        </mc:AlternateContent>
      </w:r>
      <w:r>
        <w:rPr>
          <w:rFonts w:hint="eastAsia" w:eastAsia="仿宋"/>
          <w:snapToGrid w:val="0"/>
          <w:color w:val="000000" w:themeColor="text1"/>
          <w:sz w:val="24"/>
          <w:highlight w:val="none"/>
          <w:u w:val="none"/>
          <w:lang w:eastAsia="zh-CN"/>
          <w14:textFill>
            <w14:solidFill>
              <w14:schemeClr w14:val="tx1"/>
            </w14:solidFill>
          </w14:textFill>
        </w:rPr>
        <w:drawing>
          <wp:inline distT="0" distB="0" distL="114300" distR="114300">
            <wp:extent cx="5632450" cy="4170045"/>
            <wp:effectExtent l="0" t="0" r="6350" b="1905"/>
            <wp:docPr id="23" name="图片 23" descr="4653a6b31f41512b2d1c56c54bf1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653a6b31f41512b2d1c56c54bf1c1b"/>
                    <pic:cNvPicPr>
                      <a:picLocks noChangeAspect="1"/>
                    </pic:cNvPicPr>
                  </pic:nvPicPr>
                  <pic:blipFill>
                    <a:blip r:embed="rId43"/>
                    <a:stretch>
                      <a:fillRect/>
                    </a:stretch>
                  </pic:blipFill>
                  <pic:spPr>
                    <a:xfrm>
                      <a:off x="0" y="0"/>
                      <a:ext cx="5632450" cy="4170045"/>
                    </a:xfrm>
                    <a:prstGeom prst="rect">
                      <a:avLst/>
                    </a:prstGeom>
                  </pic:spPr>
                </pic:pic>
              </a:graphicData>
            </a:graphic>
          </wp:inline>
        </w:drawing>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4890135</wp:posOffset>
                </wp:positionH>
                <wp:positionV relativeFrom="paragraph">
                  <wp:posOffset>87630</wp:posOffset>
                </wp:positionV>
                <wp:extent cx="666750" cy="342265"/>
                <wp:effectExtent l="0" t="0" r="0" b="0"/>
                <wp:wrapNone/>
                <wp:docPr id="57" name="矩形 57"/>
                <wp:cNvGraphicFramePr/>
                <a:graphic xmlns:a="http://schemas.openxmlformats.org/drawingml/2006/main">
                  <a:graphicData uri="http://schemas.microsoft.com/office/word/2010/wordprocessingShape">
                    <wps:wsp>
                      <wps:cNvSpPr/>
                      <wps:spPr>
                        <a:xfrm>
                          <a:off x="5804535" y="1089660"/>
                          <a:ext cx="666750" cy="3422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5EA21FB">
                            <w:pPr>
                              <w:jc w:val="center"/>
                              <w:rPr>
                                <w:rFonts w:hint="eastAsia" w:eastAsia="宋体"/>
                                <w:color w:val="000000" w:themeColor="text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05pt;margin-top:6.9pt;height:26.95pt;width:52.5pt;z-index:251677696;v-text-anchor:middle;mso-width-relative:page;mso-height-relative:page;" filled="f" stroked="f" coordsize="21600,21600" o:gfxdata="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1RiPmNcAAAAJAQAADwAAAAAAAAABACAAAAAiAAAAZHJzL2Rvd25yZXYueG1sUEsBAhQAFAAAAAgA&#10;h07iQCLkzqpfAgAAowQAAA4AAAAAAAAAAQAgAAAAJgEAAGRycy9lMm9Eb2MueG1sUEsFBgAAAAAG&#10;AAYAWQEAAPcFAAAAAA==&#10;">
                <v:fill on="f" focussize="0,0"/>
                <v:stroke on="f" weight="2pt"/>
                <v:imagedata o:title=""/>
                <o:lock v:ext="edit" aspectratio="f"/>
                <v:textbox>
                  <w:txbxContent>
                    <w:p w14:paraId="35EA21FB">
                      <w:pPr>
                        <w:jc w:val="center"/>
                        <w:rPr>
                          <w:rFonts w:hint="eastAsia" w:eastAsia="宋体"/>
                          <w:color w:val="000000" w:themeColor="text1"/>
                          <w:lang w:val="en-US" w:eastAsia="zh-CN"/>
                          <w14:textFill>
                            <w14:solidFill>
                              <w14:schemeClr w14:val="tx1"/>
                            </w14:solidFill>
                          </w14:textFill>
                        </w:rPr>
                      </w:pPr>
                    </w:p>
                  </w:txbxContent>
                </v:textbox>
              </v:rect>
            </w:pict>
          </mc:Fallback>
        </mc:AlternateContent>
      </w:r>
    </w:p>
    <w:p w14:paraId="1BC44AB5">
      <w:pPr>
        <w:rPr>
          <w:rFonts w:hint="eastAsia"/>
          <w:color w:val="000000" w:themeColor="text1"/>
          <w:highlight w:val="none"/>
          <w:u w:val="none"/>
          <w:lang w:eastAsia="zh-CN"/>
          <w14:textFill>
            <w14:solidFill>
              <w14:schemeClr w14:val="tx1"/>
            </w14:solidFill>
          </w14:textFill>
        </w:rPr>
      </w:pPr>
    </w:p>
    <w:p w14:paraId="785BCA53">
      <w:pPr>
        <w:rPr>
          <w:rFonts w:hint="default"/>
          <w:color w:val="000000" w:themeColor="text1"/>
          <w:highlight w:val="none"/>
          <w:u w:val="none"/>
          <w:lang w:val="en-US" w:eastAsia="zh-CN"/>
          <w14:textFill>
            <w14:solidFill>
              <w14:schemeClr w14:val="tx1"/>
            </w14:solidFill>
          </w14:textFill>
        </w:rPr>
        <w:sectPr>
          <w:pgSz w:w="11906" w:h="16838"/>
          <w:pgMar w:top="1083" w:right="1440" w:bottom="1083" w:left="1440" w:header="851" w:footer="992" w:gutter="0"/>
          <w:pgBorders>
            <w:top w:val="none" w:sz="0" w:space="0"/>
            <w:left w:val="none" w:sz="0" w:space="0"/>
            <w:bottom w:val="none" w:sz="0" w:space="0"/>
            <w:right w:val="none" w:sz="0" w:space="0"/>
          </w:pgBorders>
          <w:pgNumType w:fmt="decimal"/>
          <w:cols w:space="720" w:num="1"/>
          <w:rtlGutter w:val="0"/>
          <w:docGrid w:type="lines" w:linePitch="322" w:charSpace="0"/>
        </w:sectPr>
      </w:pPr>
      <w:r>
        <w:rPr>
          <w:color w:val="000000" w:themeColor="text1"/>
          <w:sz w:val="24"/>
          <w:highlight w:val="none"/>
          <w:u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4250690</wp:posOffset>
                </wp:positionH>
                <wp:positionV relativeFrom="paragraph">
                  <wp:posOffset>234950</wp:posOffset>
                </wp:positionV>
                <wp:extent cx="1286510" cy="364490"/>
                <wp:effectExtent l="12700" t="593090" r="15240" b="13970"/>
                <wp:wrapNone/>
                <wp:docPr id="42" name="矩形标注 42"/>
                <wp:cNvGraphicFramePr/>
                <a:graphic xmlns:a="http://schemas.openxmlformats.org/drawingml/2006/main">
                  <a:graphicData uri="http://schemas.microsoft.com/office/word/2010/wordprocessingShape">
                    <wps:wsp>
                      <wps:cNvSpPr/>
                      <wps:spPr>
                        <a:xfrm>
                          <a:off x="0" y="0"/>
                          <a:ext cx="1286510" cy="364490"/>
                        </a:xfrm>
                        <a:prstGeom prst="wedgeRectCallout">
                          <a:avLst>
                            <a:gd name="adj1" fmla="val 38203"/>
                            <a:gd name="adj2" fmla="val -209233"/>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60D366B">
                            <w:pPr>
                              <w:jc w:val="center"/>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危险废物暂存间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4.7pt;margin-top:18.5pt;height:28.7pt;width:101.3pt;z-index:251669504;v-text-anchor:middle;mso-width-relative:page;mso-height-relative:page;" filled="f" stroked="t" coordsize="21600,21600" o:gfxdata="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98kYO2QAAAAkBAAAPAAAAAAAAAAEAIAAAACIAAABkcnMvZG93bnJldi54bWxQSwEC&#10;FAAUAAAACACHTuJAh9JQhJ4CAAAmBQAADgAAAAAAAAABACAAAAAoAQAAZHJzL2Uyb0RvYy54bWxQ&#10;SwUGAAAAAAYABgBZAQAAOAYAAAAA&#10;" adj="19052,-34394">
                <v:fill on="f" focussize="0,0"/>
                <v:stroke weight="2pt" color="#000000 [3213]" joinstyle="round"/>
                <v:imagedata o:title=""/>
                <o:lock v:ext="edit" aspectratio="f"/>
                <v:textbox>
                  <w:txbxContent>
                    <w:p w14:paraId="360D366B">
                      <w:pPr>
                        <w:jc w:val="center"/>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危险废物暂存间</w:t>
                      </w:r>
                    </w:p>
                  </w:txbxContent>
                </v:textbox>
              </v:shape>
            </w:pict>
          </mc:Fallback>
        </mc:AlternateContent>
      </w:r>
    </w:p>
    <w:p w14:paraId="37369830">
      <w:pPr>
        <w:pStyle w:val="10"/>
        <w:rPr>
          <w:color w:val="000000" w:themeColor="text1"/>
          <w:highlight w:val="none"/>
          <w14:textFill>
            <w14:solidFill>
              <w14:schemeClr w14:val="tx1"/>
            </w14:solidFill>
          </w14:textFill>
        </w:rPr>
      </w:pPr>
      <w:r>
        <w:rPr>
          <w:rFonts w:hint="default" w:ascii="Times New Roman" w:hAnsi="Times New Roman" w:eastAsia="仿宋" w:cs="Times New Roman"/>
          <w:snapToGrid w:val="0"/>
          <w:color w:val="000000" w:themeColor="text1"/>
          <w:sz w:val="24"/>
          <w:highlight w:val="none"/>
          <w:u w:val="none"/>
          <w14:textFill>
            <w14:solidFill>
              <w14:schemeClr w14:val="tx1"/>
            </w14:solidFill>
          </w14:textFill>
        </w:rPr>
        <w:t>附图</w:t>
      </w:r>
      <w:r>
        <w:rPr>
          <w:rFonts w:hint="eastAsia" w:ascii="Times New Roman" w:hAnsi="Times New Roman" w:eastAsia="仿宋" w:cs="Times New Roman"/>
          <w:snapToGrid w:val="0"/>
          <w:color w:val="000000" w:themeColor="text1"/>
          <w:sz w:val="24"/>
          <w:highlight w:val="none"/>
          <w:u w:val="none"/>
          <w:lang w:val="en-US" w:eastAsia="zh-CN"/>
          <w14:textFill>
            <w14:solidFill>
              <w14:schemeClr w14:val="tx1"/>
            </w14:solidFill>
          </w14:textFill>
        </w:rPr>
        <w:t>3环境保护目标</w:t>
      </w:r>
      <w:r>
        <w:rPr>
          <w:rFonts w:hint="default" w:ascii="Times New Roman" w:hAnsi="Times New Roman" w:eastAsia="仿宋" w:cs="Times New Roman"/>
          <w:snapToGrid w:val="0"/>
          <w:color w:val="000000" w:themeColor="text1"/>
          <w:sz w:val="24"/>
          <w:highlight w:val="none"/>
          <w:u w:val="none"/>
          <w14:textFill>
            <w14:solidFill>
              <w14:schemeClr w14:val="tx1"/>
            </w14:solidFill>
          </w14:textFill>
        </w:rPr>
        <w:t>图</w:t>
      </w:r>
    </w:p>
    <w:p w14:paraId="33B0E3BA">
      <w:pPr>
        <w:rPr>
          <w:color w:val="000000" w:themeColor="text1"/>
          <w:highlight w:val="none"/>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3987165</wp:posOffset>
                </wp:positionH>
                <wp:positionV relativeFrom="paragraph">
                  <wp:posOffset>3634105</wp:posOffset>
                </wp:positionV>
                <wp:extent cx="494030" cy="130175"/>
                <wp:effectExtent l="12700" t="12700" r="26670" b="28575"/>
                <wp:wrapNone/>
                <wp:docPr id="31" name="矩形 31"/>
                <wp:cNvGraphicFramePr/>
                <a:graphic xmlns:a="http://schemas.openxmlformats.org/drawingml/2006/main">
                  <a:graphicData uri="http://schemas.microsoft.com/office/word/2010/wordprocessingShape">
                    <wps:wsp>
                      <wps:cNvSpPr/>
                      <wps:spPr>
                        <a:xfrm>
                          <a:off x="0" y="0"/>
                          <a:ext cx="494030" cy="13017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3.95pt;margin-top:286.15pt;height:10.25pt;width:38.9pt;z-index:251667456;v-text-anchor:middle;mso-width-relative:page;mso-height-relative:page;" filled="f" stroked="t" coordsize="21600,21600" o:gfxdata="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OPR5tsAAAALAQAADwAAAAAAAAABACAAAAAiAAAAZHJzL2Rvd25yZXYueG1sUEsBAhQAFAAA&#10;AAgAh07iQA/msrheAgAAtQQAAA4AAAAAAAAAAQAgAAAAKgEAAGRycy9lMm9Eb2MueG1sUEsFBgAA&#10;AAAGAAYAWQEAAPoFAAAAAA==&#10;">
                <v:fill on="f" focussize="0,0"/>
                <v:stroke weight="2pt" color="#FF0000 [2404]" joinstyle="round"/>
                <v:imagedata o:title=""/>
                <o:lock v:ext="edit" aspectratio="f"/>
              </v:rect>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3993515</wp:posOffset>
                </wp:positionH>
                <wp:positionV relativeFrom="paragraph">
                  <wp:posOffset>3390265</wp:posOffset>
                </wp:positionV>
                <wp:extent cx="494030" cy="130175"/>
                <wp:effectExtent l="12700" t="12700" r="26670" b="28575"/>
                <wp:wrapNone/>
                <wp:docPr id="30" name="矩形 30"/>
                <wp:cNvGraphicFramePr/>
                <a:graphic xmlns:a="http://schemas.openxmlformats.org/drawingml/2006/main">
                  <a:graphicData uri="http://schemas.microsoft.com/office/word/2010/wordprocessingShape">
                    <wps:wsp>
                      <wps:cNvSpPr/>
                      <wps:spPr>
                        <a:xfrm>
                          <a:off x="0" y="0"/>
                          <a:ext cx="494030" cy="130175"/>
                        </a:xfrm>
                        <a:prstGeom prst="rect">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45pt;margin-top:266.95pt;height:10.25pt;width:38.9pt;z-index:251666432;v-text-anchor:middle;mso-width-relative:page;mso-height-relative:page;" filled="f" stroked="t" coordsize="21600,21600" o:gfxdata="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7&#10;wIFB2QAAAAsBAAAPAAAAAAAAAAEAIAAAACIAAABkcnMvZG93bnJldi54bWxQSwECFAAUAAAACACH&#10;TuJAJGTm2FwCAAC1BAAADgAAAAAAAAABACAAAAAoAQAAZHJzL2Uyb0RvYy54bWxQSwUGAAAAAAYA&#10;BgBZAQAA9gUAAAAA&#10;">
                <v:fill on="f" focussize="0,0"/>
                <v:stroke weight="2pt" color="#FFFF00 [2404]" joinstyle="round"/>
                <v:imagedata o:title=""/>
                <o:lock v:ext="edit" aspectratio="f"/>
              </v:rect>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3972560</wp:posOffset>
                </wp:positionH>
                <wp:positionV relativeFrom="paragraph">
                  <wp:posOffset>3179445</wp:posOffset>
                </wp:positionV>
                <wp:extent cx="494030" cy="130175"/>
                <wp:effectExtent l="12700" t="12700" r="26670" b="28575"/>
                <wp:wrapNone/>
                <wp:docPr id="29" name="矩形 29"/>
                <wp:cNvGraphicFramePr/>
                <a:graphic xmlns:a="http://schemas.openxmlformats.org/drawingml/2006/main">
                  <a:graphicData uri="http://schemas.microsoft.com/office/word/2010/wordprocessingShape">
                    <wps:wsp>
                      <wps:cNvSpPr/>
                      <wps:spPr>
                        <a:xfrm>
                          <a:off x="4946015" y="4061460"/>
                          <a:ext cx="494030" cy="130175"/>
                        </a:xfrm>
                        <a:prstGeom prst="rect">
                          <a:avLst/>
                        </a:prstGeom>
                        <a:no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2.8pt;margin-top:250.35pt;height:10.25pt;width:38.9pt;z-index:251665408;v-text-anchor:middle;mso-width-relative:page;mso-height-relative:page;" filled="f" stroked="t" coordsize="21600,21600" o:gfxdata="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1pcCbbAAAACwEAAA8AAAAAAAAAAQAgAAAAIgAAAGRycy9kb3ducmV2Lnht&#10;bFBLAQIUABQAAAAIAIdO4kDswSY2aAIAAMEEAAAOAAAAAAAAAAEAIAAAACoBAABkcnMvZTJvRG9j&#10;LnhtbFBLBQYAAAAABgAGAFkBAAAEBgAAAAA=&#10;">
                <v:fill on="f" focussize="0,0"/>
                <v:stroke weight="2pt" color="#00B050 [2404]" joinstyle="round"/>
                <v:imagedata o:title=""/>
                <o:lock v:ext="edit" aspectratio="f"/>
              </v:rect>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3853180</wp:posOffset>
                </wp:positionH>
                <wp:positionV relativeFrom="paragraph">
                  <wp:posOffset>2877185</wp:posOffset>
                </wp:positionV>
                <wp:extent cx="1878965" cy="962025"/>
                <wp:effectExtent l="12700" t="12700" r="13335" b="15875"/>
                <wp:wrapNone/>
                <wp:docPr id="20" name="矩形 20"/>
                <wp:cNvGraphicFramePr/>
                <a:graphic xmlns:a="http://schemas.openxmlformats.org/drawingml/2006/main">
                  <a:graphicData uri="http://schemas.microsoft.com/office/word/2010/wordprocessingShape">
                    <wps:wsp>
                      <wps:cNvSpPr/>
                      <wps:spPr>
                        <a:xfrm>
                          <a:off x="0" y="0"/>
                          <a:ext cx="1878965" cy="962025"/>
                        </a:xfrm>
                        <a:prstGeom prst="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BD1989A">
                            <w:pPr>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default" w:ascii="Times New Roman" w:hAnsi="Times New Roman" w:eastAsia="仿宋" w:cs="Times New Roman"/>
                                <w:color w:val="000000" w:themeColor="text1"/>
                                <w:lang w:val="en-US" w:eastAsia="zh-CN"/>
                                <w14:textFill>
                                  <w14:solidFill>
                                    <w14:schemeClr w14:val="tx1"/>
                                  </w14:solidFill>
                                </w14:textFill>
                              </w:rPr>
                              <w:t>图例</w:t>
                            </w:r>
                          </w:p>
                          <w:p w14:paraId="19B0DBE8">
                            <w:pPr>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eastAsia" w:ascii="Times New Roman" w:hAnsi="Times New Roman" w:eastAsia="仿宋" w:cs="Times New Roman"/>
                                <w:color w:val="000000" w:themeColor="text1"/>
                                <w:lang w:val="en-US" w:eastAsia="zh-CN"/>
                                <w14:textFill>
                                  <w14:solidFill>
                                    <w14:schemeClr w14:val="tx1"/>
                                  </w14:solidFill>
                                </w14:textFill>
                              </w:rPr>
                              <w:t xml:space="preserve">       </w:t>
                            </w:r>
                            <w:r>
                              <w:rPr>
                                <w:rFonts w:hint="default" w:ascii="Times New Roman" w:hAnsi="Times New Roman" w:eastAsia="仿宋" w:cs="Times New Roman"/>
                                <w:color w:val="000000" w:themeColor="text1"/>
                                <w:lang w:val="en-US" w:eastAsia="zh-CN"/>
                                <w14:textFill>
                                  <w14:solidFill>
                                    <w14:schemeClr w14:val="tx1"/>
                                  </w14:solidFill>
                                </w14:textFill>
                              </w:rPr>
                              <w:t>大气保护范围</w:t>
                            </w:r>
                          </w:p>
                          <w:p w14:paraId="35B1B799">
                            <w:pPr>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eastAsia" w:ascii="Times New Roman" w:hAnsi="Times New Roman" w:eastAsia="仿宋" w:cs="Times New Roman"/>
                                <w:color w:val="000000" w:themeColor="text1"/>
                                <w:lang w:val="en-US" w:eastAsia="zh-CN"/>
                                <w14:textFill>
                                  <w14:solidFill>
                                    <w14:schemeClr w14:val="tx1"/>
                                  </w14:solidFill>
                                </w14:textFill>
                              </w:rPr>
                              <w:t xml:space="preserve">       </w:t>
                            </w:r>
                            <w:r>
                              <w:rPr>
                                <w:rFonts w:hint="default" w:ascii="Times New Roman" w:hAnsi="Times New Roman" w:eastAsia="仿宋" w:cs="Times New Roman"/>
                                <w:color w:val="000000" w:themeColor="text1"/>
                                <w:lang w:val="en-US" w:eastAsia="zh-CN"/>
                                <w14:textFill>
                                  <w14:solidFill>
                                    <w14:schemeClr w14:val="tx1"/>
                                  </w14:solidFill>
                                </w14:textFill>
                              </w:rPr>
                              <w:t>噪声保护范围</w:t>
                            </w:r>
                          </w:p>
                          <w:p w14:paraId="480D1DCE">
                            <w:pPr>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eastAsia" w:ascii="Times New Roman" w:hAnsi="Times New Roman" w:eastAsia="仿宋" w:cs="Times New Roman"/>
                                <w:color w:val="000000" w:themeColor="text1"/>
                                <w:lang w:val="en-US" w:eastAsia="zh-CN"/>
                                <w14:textFill>
                                  <w14:solidFill>
                                    <w14:schemeClr w14:val="tx1"/>
                                  </w14:solidFill>
                                </w14:textFill>
                              </w:rPr>
                              <w:t xml:space="preserve">   厂界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3.4pt;margin-top:226.55pt;height:75.75pt;width:147.95pt;z-index:251664384;v-text-anchor:middle;mso-width-relative:page;mso-height-relative:page;" fillcolor="#FFFFFF [3212]" filled="t" stroked="t" coordsize="21600,21600" o:gfxdata="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glJiHZAAAACwEAAA8AAAAAAAAAAQAgAAAAIgAAAGRycy9kb3ducmV2Lnht&#10;bFBLAQIUABQAAAAIAIdO4kBwPESOagIAAOoEAAAOAAAAAAAAAAEAIAAAACgBAABkcnMvZTJvRG9j&#10;LnhtbFBLBQYAAAAABgAGAFkBAAAEBgAAAAA=&#10;">
                <v:fill on="t" focussize="0,0"/>
                <v:stroke weight="2pt" color="#000000 [3213]" joinstyle="round"/>
                <v:imagedata o:title=""/>
                <o:lock v:ext="edit" aspectratio="f"/>
                <v:textbox>
                  <w:txbxContent>
                    <w:p w14:paraId="1BD1989A">
                      <w:pPr>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default" w:ascii="Times New Roman" w:hAnsi="Times New Roman" w:eastAsia="仿宋" w:cs="Times New Roman"/>
                          <w:color w:val="000000" w:themeColor="text1"/>
                          <w:lang w:val="en-US" w:eastAsia="zh-CN"/>
                          <w14:textFill>
                            <w14:solidFill>
                              <w14:schemeClr w14:val="tx1"/>
                            </w14:solidFill>
                          </w14:textFill>
                        </w:rPr>
                        <w:t>图例</w:t>
                      </w:r>
                    </w:p>
                    <w:p w14:paraId="19B0DBE8">
                      <w:pPr>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eastAsia" w:ascii="Times New Roman" w:hAnsi="Times New Roman" w:eastAsia="仿宋" w:cs="Times New Roman"/>
                          <w:color w:val="000000" w:themeColor="text1"/>
                          <w:lang w:val="en-US" w:eastAsia="zh-CN"/>
                          <w14:textFill>
                            <w14:solidFill>
                              <w14:schemeClr w14:val="tx1"/>
                            </w14:solidFill>
                          </w14:textFill>
                        </w:rPr>
                        <w:t xml:space="preserve">       </w:t>
                      </w:r>
                      <w:r>
                        <w:rPr>
                          <w:rFonts w:hint="default" w:ascii="Times New Roman" w:hAnsi="Times New Roman" w:eastAsia="仿宋" w:cs="Times New Roman"/>
                          <w:color w:val="000000" w:themeColor="text1"/>
                          <w:lang w:val="en-US" w:eastAsia="zh-CN"/>
                          <w14:textFill>
                            <w14:solidFill>
                              <w14:schemeClr w14:val="tx1"/>
                            </w14:solidFill>
                          </w14:textFill>
                        </w:rPr>
                        <w:t>大气保护范围</w:t>
                      </w:r>
                    </w:p>
                    <w:p w14:paraId="35B1B799">
                      <w:pPr>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eastAsia" w:ascii="Times New Roman" w:hAnsi="Times New Roman" w:eastAsia="仿宋" w:cs="Times New Roman"/>
                          <w:color w:val="000000" w:themeColor="text1"/>
                          <w:lang w:val="en-US" w:eastAsia="zh-CN"/>
                          <w14:textFill>
                            <w14:solidFill>
                              <w14:schemeClr w14:val="tx1"/>
                            </w14:solidFill>
                          </w14:textFill>
                        </w:rPr>
                        <w:t xml:space="preserve">       </w:t>
                      </w:r>
                      <w:r>
                        <w:rPr>
                          <w:rFonts w:hint="default" w:ascii="Times New Roman" w:hAnsi="Times New Roman" w:eastAsia="仿宋" w:cs="Times New Roman"/>
                          <w:color w:val="000000" w:themeColor="text1"/>
                          <w:lang w:val="en-US" w:eastAsia="zh-CN"/>
                          <w14:textFill>
                            <w14:solidFill>
                              <w14:schemeClr w14:val="tx1"/>
                            </w14:solidFill>
                          </w14:textFill>
                        </w:rPr>
                        <w:t>噪声保护范围</w:t>
                      </w:r>
                    </w:p>
                    <w:p w14:paraId="480D1DCE">
                      <w:pPr>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eastAsia" w:ascii="Times New Roman" w:hAnsi="Times New Roman" w:eastAsia="仿宋" w:cs="Times New Roman"/>
                          <w:color w:val="000000" w:themeColor="text1"/>
                          <w:lang w:val="en-US" w:eastAsia="zh-CN"/>
                          <w14:textFill>
                            <w14:solidFill>
                              <w14:schemeClr w14:val="tx1"/>
                            </w14:solidFill>
                          </w14:textFill>
                        </w:rPr>
                        <w:t xml:space="preserve">   厂界</w:t>
                      </w:r>
                    </w:p>
                  </w:txbxContent>
                </v:textbox>
              </v:rect>
            </w:pict>
          </mc:Fallback>
        </mc:AlternateContent>
      </w:r>
      <w:r>
        <w:rPr>
          <w:rFonts w:hint="default" w:ascii="Times New Roman" w:hAnsi="Times New Roman" w:eastAsia="仿宋" w:cs="Times New Roman"/>
          <w:color w:val="000000" w:themeColor="text1"/>
          <w:highlight w:val="none"/>
          <w14:textFill>
            <w14:solidFill>
              <w14:schemeClr w14:val="tx1"/>
            </w14:solidFill>
          </w14:textFill>
        </w:rPr>
        <w:drawing>
          <wp:anchor distT="0" distB="0" distL="114300" distR="114300" simplePos="0" relativeHeight="251684864" behindDoc="0" locked="0" layoutInCell="1" allowOverlap="1">
            <wp:simplePos x="0" y="0"/>
            <wp:positionH relativeFrom="column">
              <wp:posOffset>4858385</wp:posOffset>
            </wp:positionH>
            <wp:positionV relativeFrom="paragraph">
              <wp:posOffset>19685</wp:posOffset>
            </wp:positionV>
            <wp:extent cx="861060" cy="950595"/>
            <wp:effectExtent l="0" t="0" r="15240" b="1905"/>
            <wp:wrapNone/>
            <wp:docPr id="73" name="图片 3" descr="说明: 哈尔滨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descr="说明: 哈尔滨风"/>
                    <pic:cNvPicPr>
                      <a:picLocks noChangeAspect="1"/>
                    </pic:cNvPicPr>
                  </pic:nvPicPr>
                  <pic:blipFill>
                    <a:blip r:embed="rId41"/>
                    <a:stretch>
                      <a:fillRect/>
                    </a:stretch>
                  </pic:blipFill>
                  <pic:spPr>
                    <a:xfrm>
                      <a:off x="0" y="0"/>
                      <a:ext cx="861060" cy="950595"/>
                    </a:xfrm>
                    <a:prstGeom prst="rect">
                      <a:avLst/>
                    </a:prstGeom>
                    <a:noFill/>
                    <a:ln>
                      <a:noFill/>
                    </a:ln>
                  </pic:spPr>
                </pic:pic>
              </a:graphicData>
            </a:graphic>
          </wp:anchor>
        </w:drawing>
      </w:r>
      <w:r>
        <w:rPr>
          <w:color w:val="000000" w:themeColor="text1"/>
          <w:highlight w:val="none"/>
          <w14:textFill>
            <w14:solidFill>
              <w14:schemeClr w14:val="tx1"/>
            </w14:solidFill>
          </w14:textFill>
        </w:rPr>
        <w:drawing>
          <wp:inline distT="0" distB="0" distL="114300" distR="114300">
            <wp:extent cx="5725795" cy="3814445"/>
            <wp:effectExtent l="0" t="0" r="8255" b="1460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44"/>
                    <a:stretch>
                      <a:fillRect/>
                    </a:stretch>
                  </pic:blipFill>
                  <pic:spPr>
                    <a:xfrm>
                      <a:off x="0" y="0"/>
                      <a:ext cx="5725795" cy="3814445"/>
                    </a:xfrm>
                    <a:prstGeom prst="rect">
                      <a:avLst/>
                    </a:prstGeom>
                    <a:noFill/>
                    <a:ln>
                      <a:noFill/>
                    </a:ln>
                  </pic:spPr>
                </pic:pic>
              </a:graphicData>
            </a:graphic>
          </wp:inline>
        </w:drawing>
      </w:r>
    </w:p>
    <w:p w14:paraId="1B2515CC">
      <w:pPr>
        <w:rPr>
          <w:rFonts w:hint="default"/>
          <w:color w:val="000000" w:themeColor="text1"/>
          <w:highlight w:val="none"/>
          <w:lang w:val="en-US" w:eastAsia="zh-CN"/>
          <w14:textFill>
            <w14:solidFill>
              <w14:schemeClr w14:val="tx1"/>
            </w14:solidFill>
          </w14:textFill>
        </w:rPr>
        <w:sectPr>
          <w:pgSz w:w="11906" w:h="16838"/>
          <w:pgMar w:top="1083" w:right="1440" w:bottom="1083" w:left="1440" w:header="851" w:footer="992" w:gutter="0"/>
          <w:pgBorders>
            <w:top w:val="none" w:sz="0" w:space="0"/>
            <w:left w:val="none" w:sz="0" w:space="0"/>
            <w:bottom w:val="none" w:sz="0" w:space="0"/>
            <w:right w:val="none" w:sz="0" w:space="0"/>
          </w:pgBorders>
          <w:pgNumType w:fmt="decimal"/>
          <w:cols w:space="720" w:num="1"/>
          <w:rtlGutter w:val="0"/>
          <w:docGrid w:type="lines" w:linePitch="322" w:charSpace="0"/>
        </w:sectPr>
      </w:pPr>
    </w:p>
    <w:p w14:paraId="4D19FF9C">
      <w:pPr>
        <w:pStyle w:val="10"/>
        <w:rPr>
          <w:rFonts w:hint="default"/>
          <w:color w:val="000000" w:themeColor="text1"/>
          <w:highlight w:val="none"/>
          <w:lang w:val="en-US"/>
          <w14:textFill>
            <w14:solidFill>
              <w14:schemeClr w14:val="tx1"/>
            </w14:solidFill>
          </w14:textFill>
        </w:rPr>
      </w:pPr>
      <w:r>
        <w:rPr>
          <w:rFonts w:hint="default" w:ascii="Times New Roman" w:hAnsi="Times New Roman" w:eastAsia="仿宋" w:cs="Times New Roman"/>
          <w:snapToGrid w:val="0"/>
          <w:color w:val="000000" w:themeColor="text1"/>
          <w:sz w:val="24"/>
          <w:highlight w:val="none"/>
          <w:u w:val="none"/>
          <w14:textFill>
            <w14:solidFill>
              <w14:schemeClr w14:val="tx1"/>
            </w14:solidFill>
          </w14:textFill>
        </w:rPr>
        <w:t>附图</w:t>
      </w:r>
      <w:r>
        <w:rPr>
          <w:rFonts w:hint="eastAsia" w:ascii="Times New Roman" w:hAnsi="Times New Roman" w:eastAsia="仿宋" w:cs="Times New Roman"/>
          <w:snapToGrid w:val="0"/>
          <w:color w:val="000000" w:themeColor="text1"/>
          <w:sz w:val="24"/>
          <w:highlight w:val="none"/>
          <w:u w:val="none"/>
          <w:lang w:val="en-US" w:eastAsia="zh-CN"/>
          <w14:textFill>
            <w14:solidFill>
              <w14:schemeClr w14:val="tx1"/>
            </w14:solidFill>
          </w14:textFill>
        </w:rPr>
        <w:t>4分区防渗图</w:t>
      </w:r>
    </w:p>
    <w:p w14:paraId="78D952D2">
      <w:pPr>
        <w:rPr>
          <w:rFonts w:hint="eastAsia" w:eastAsia="仿宋"/>
          <w:snapToGrid w:val="0"/>
          <w:color w:val="000000" w:themeColor="text1"/>
          <w:sz w:val="24"/>
          <w:highlight w:val="none"/>
          <w:u w:val="none"/>
          <w:lang w:eastAsia="zh-CN"/>
          <w14:textFill>
            <w14:solidFill>
              <w14:schemeClr w14:val="tx1"/>
            </w14:solidFill>
          </w14:textFill>
        </w:rPr>
        <w:sectPr>
          <w:pgSz w:w="11906" w:h="16838"/>
          <w:pgMar w:top="1083" w:right="1440" w:bottom="1083" w:left="1440" w:header="851" w:footer="992" w:gutter="0"/>
          <w:pgBorders>
            <w:top w:val="none" w:sz="0" w:space="0"/>
            <w:left w:val="none" w:sz="0" w:space="0"/>
            <w:bottom w:val="none" w:sz="0" w:space="0"/>
            <w:right w:val="none" w:sz="0" w:space="0"/>
          </w:pgBorders>
          <w:pgNumType w:fmt="decimal"/>
          <w:cols w:space="720" w:num="1"/>
          <w:rtlGutter w:val="0"/>
          <w:docGrid w:type="lines" w:linePitch="322" w:charSpace="0"/>
        </w:sect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4001770</wp:posOffset>
                </wp:positionH>
                <wp:positionV relativeFrom="paragraph">
                  <wp:posOffset>5184775</wp:posOffset>
                </wp:positionV>
                <wp:extent cx="347345" cy="149225"/>
                <wp:effectExtent l="12700" t="12700" r="20955" b="28575"/>
                <wp:wrapNone/>
                <wp:docPr id="62" name="矩形 62"/>
                <wp:cNvGraphicFramePr/>
                <a:graphic xmlns:a="http://schemas.openxmlformats.org/drawingml/2006/main">
                  <a:graphicData uri="http://schemas.microsoft.com/office/word/2010/wordprocessingShape">
                    <wps:wsp>
                      <wps:cNvSpPr/>
                      <wps:spPr>
                        <a:xfrm>
                          <a:off x="0" y="0"/>
                          <a:ext cx="347345" cy="149225"/>
                        </a:xfrm>
                        <a:prstGeom prst="rect">
                          <a:avLst/>
                        </a:prstGeom>
                        <a:noFill/>
                        <a:ln>
                          <a:solidFill>
                            <a:schemeClr val="accent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1pt;margin-top:408.25pt;height:11.75pt;width:27.35pt;z-index:251681792;v-text-anchor:middle;mso-width-relative:page;mso-height-relative:page;" filled="f" stroked="t" coordsize="21600,21600" o:gfxdata="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jNIQu1wAAAAsBAAAPAAAAAAAAAAEAIAAAACIAAABkcnMvZG93bnJldi54bWxQSwECFAAUAAAA&#10;CACHTuJAQug+SWECAAC1BAAADgAAAAAAAAABACAAAAAmAQAAZHJzL2Uyb0RvYy54bWxQSwUGAAAA&#10;AAYABgBZAQAA+QUAAAAA&#10;">
                <v:fill on="f" focussize="0,0"/>
                <v:stroke weight="2pt" color="#4F81BD [3204]" joinstyle="round"/>
                <v:imagedata o:title=""/>
                <o:lock v:ext="edit" aspectratio="f"/>
              </v:rect>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3992880</wp:posOffset>
                </wp:positionH>
                <wp:positionV relativeFrom="paragraph">
                  <wp:posOffset>4966335</wp:posOffset>
                </wp:positionV>
                <wp:extent cx="347345" cy="149225"/>
                <wp:effectExtent l="12700" t="12700" r="20955" b="28575"/>
                <wp:wrapNone/>
                <wp:docPr id="61" name="矩形 61"/>
                <wp:cNvGraphicFramePr/>
                <a:graphic xmlns:a="http://schemas.openxmlformats.org/drawingml/2006/main">
                  <a:graphicData uri="http://schemas.microsoft.com/office/word/2010/wordprocessingShape">
                    <wps:wsp>
                      <wps:cNvSpPr/>
                      <wps:spPr>
                        <a:xfrm>
                          <a:off x="0" y="0"/>
                          <a:ext cx="347345" cy="149225"/>
                        </a:xfrm>
                        <a:prstGeom prst="rect">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4pt;margin-top:391.05pt;height:11.75pt;width:27.35pt;z-index:251680768;v-text-anchor:middle;mso-width-relative:page;mso-height-relative:page;" fillcolor="#FF0000" filled="t" stroked="t" coordsize="21600,21600" o:gfxdata="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FIwiL2gAAAAsBAAAPAAAAAAAAAAEAIAAAACIAAABkcnMvZG93bnJldi54bWxQSwEC&#10;FAAUAAAACACHTuJAGh8hbGQCAADeBAAADgAAAAAAAAABACAAAAApAQAAZHJzL2Uyb0RvYy54bWxQ&#10;SwUGAAAAAAYABgBZAQAA/wUAAAAA&#10;">
                <v:fill on="t" focussize="0,0"/>
                <v:stroke weight="2pt" color="#000000 [3213]" joinstyle="round"/>
                <v:imagedata o:title=""/>
                <o:lock v:ext="edit" aspectratio="f"/>
              </v:rect>
            </w:pict>
          </mc:Fallback>
        </mc:AlternateContent>
      </w:r>
      <w:bookmarkStart w:id="13" w:name="_GoBack"/>
      <w:bookmarkEnd w:id="13"/>
      <w:r>
        <w:rPr>
          <w:color w:val="000000" w:themeColor="text1"/>
          <w:sz w:val="24"/>
          <w:highlight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3825875</wp:posOffset>
                </wp:positionH>
                <wp:positionV relativeFrom="paragraph">
                  <wp:posOffset>4651375</wp:posOffset>
                </wp:positionV>
                <wp:extent cx="1965960" cy="745490"/>
                <wp:effectExtent l="12700" t="12700" r="21590" b="22860"/>
                <wp:wrapNone/>
                <wp:docPr id="60" name="矩形 60"/>
                <wp:cNvGraphicFramePr/>
                <a:graphic xmlns:a="http://schemas.openxmlformats.org/drawingml/2006/main">
                  <a:graphicData uri="http://schemas.microsoft.com/office/word/2010/wordprocessingShape">
                    <wps:wsp>
                      <wps:cNvSpPr/>
                      <wps:spPr>
                        <a:xfrm>
                          <a:off x="4797425" y="7773035"/>
                          <a:ext cx="1965960" cy="745490"/>
                        </a:xfrm>
                        <a:prstGeom prst="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E5DB872">
                            <w:pPr>
                              <w:spacing w:line="240" w:lineRule="auto"/>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default" w:ascii="Times New Roman" w:hAnsi="Times New Roman" w:eastAsia="仿宋" w:cs="Times New Roman"/>
                                <w:color w:val="000000" w:themeColor="text1"/>
                                <w:lang w:val="en-US" w:eastAsia="zh-CN"/>
                                <w14:textFill>
                                  <w14:solidFill>
                                    <w14:schemeClr w14:val="tx1"/>
                                  </w14:solidFill>
                                </w14:textFill>
                              </w:rPr>
                              <w:t>图例</w:t>
                            </w:r>
                          </w:p>
                          <w:p w14:paraId="4E96CB4C">
                            <w:pPr>
                              <w:spacing w:line="240" w:lineRule="auto"/>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default" w:ascii="Times New Roman" w:hAnsi="Times New Roman" w:eastAsia="仿宋" w:cs="Times New Roman"/>
                                <w:color w:val="000000" w:themeColor="text1"/>
                                <w:lang w:val="en-US" w:eastAsia="zh-CN"/>
                                <w14:textFill>
                                  <w14:solidFill>
                                    <w14:schemeClr w14:val="tx1"/>
                                  </w14:solidFill>
                                </w14:textFill>
                              </w:rPr>
                              <w:t>重点防渗区</w:t>
                            </w:r>
                          </w:p>
                          <w:p w14:paraId="127C24E0">
                            <w:pPr>
                              <w:spacing w:line="240" w:lineRule="auto"/>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default" w:ascii="Times New Roman" w:hAnsi="Times New Roman" w:eastAsia="仿宋" w:cs="Times New Roman"/>
                                <w:color w:val="000000" w:themeColor="text1"/>
                                <w:lang w:val="en-US" w:eastAsia="zh-CN"/>
                                <w14:textFill>
                                  <w14:solidFill>
                                    <w14:schemeClr w14:val="tx1"/>
                                  </w14:solidFill>
                                </w14:textFill>
                              </w:rPr>
                              <w:t>一般防渗区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1.25pt;margin-top:366.25pt;height:58.7pt;width:154.8pt;z-index:251679744;v-text-anchor:middle;mso-width-relative:page;mso-height-relative:page;" fillcolor="#FFFFFF [3212]" filled="t" stroked="t" coordsize="21600,21600" o:gfxdata="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UM+uzZAAAACwEAAA8AAAAAAAAAAQAgAAAAIgAA&#10;AGRycy9kb3ducmV2LnhtbFBLAQIUABQAAAAIAIdO4kA21w0GeQIAAPYEAAAOAAAAAAAAAAEAIAAA&#10;ACgBAABkcnMvZTJvRG9jLnhtbFBLBQYAAAAABgAGAFkBAAATBgAAAAA=&#10;">
                <v:fill on="t" focussize="0,0"/>
                <v:stroke weight="2pt" color="#000000 [3213]" joinstyle="round"/>
                <v:imagedata o:title=""/>
                <o:lock v:ext="edit" aspectratio="f"/>
                <v:textbox>
                  <w:txbxContent>
                    <w:p w14:paraId="4E5DB872">
                      <w:pPr>
                        <w:spacing w:line="240" w:lineRule="auto"/>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default" w:ascii="Times New Roman" w:hAnsi="Times New Roman" w:eastAsia="仿宋" w:cs="Times New Roman"/>
                          <w:color w:val="000000" w:themeColor="text1"/>
                          <w:lang w:val="en-US" w:eastAsia="zh-CN"/>
                          <w14:textFill>
                            <w14:solidFill>
                              <w14:schemeClr w14:val="tx1"/>
                            </w14:solidFill>
                          </w14:textFill>
                        </w:rPr>
                        <w:t>图例</w:t>
                      </w:r>
                    </w:p>
                    <w:p w14:paraId="4E96CB4C">
                      <w:pPr>
                        <w:spacing w:line="240" w:lineRule="auto"/>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default" w:ascii="Times New Roman" w:hAnsi="Times New Roman" w:eastAsia="仿宋" w:cs="Times New Roman"/>
                          <w:color w:val="000000" w:themeColor="text1"/>
                          <w:lang w:val="en-US" w:eastAsia="zh-CN"/>
                          <w14:textFill>
                            <w14:solidFill>
                              <w14:schemeClr w14:val="tx1"/>
                            </w14:solidFill>
                          </w14:textFill>
                        </w:rPr>
                        <w:t>重点防渗区</w:t>
                      </w:r>
                    </w:p>
                    <w:p w14:paraId="127C24E0">
                      <w:pPr>
                        <w:spacing w:line="240" w:lineRule="auto"/>
                        <w:jc w:val="center"/>
                        <w:rPr>
                          <w:rFonts w:hint="default" w:ascii="Times New Roman" w:hAnsi="Times New Roman" w:eastAsia="仿宋" w:cs="Times New Roman"/>
                          <w:color w:val="000000" w:themeColor="text1"/>
                          <w:lang w:val="en-US" w:eastAsia="zh-CN"/>
                          <w14:textFill>
                            <w14:solidFill>
                              <w14:schemeClr w14:val="tx1"/>
                            </w14:solidFill>
                          </w14:textFill>
                        </w:rPr>
                      </w:pPr>
                      <w:r>
                        <w:rPr>
                          <w:rFonts w:hint="default" w:ascii="Times New Roman" w:hAnsi="Times New Roman" w:eastAsia="仿宋" w:cs="Times New Roman"/>
                          <w:color w:val="000000" w:themeColor="text1"/>
                          <w:lang w:val="en-US" w:eastAsia="zh-CN"/>
                          <w14:textFill>
                            <w14:solidFill>
                              <w14:schemeClr w14:val="tx1"/>
                            </w14:solidFill>
                          </w14:textFill>
                        </w:rPr>
                        <w:t>一般防渗区</w:t>
                      </w:r>
                    </w:p>
                  </w:txbxContent>
                </v:textbox>
              </v:rect>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5170805</wp:posOffset>
                </wp:positionH>
                <wp:positionV relativeFrom="paragraph">
                  <wp:posOffset>3888105</wp:posOffset>
                </wp:positionV>
                <wp:extent cx="485775" cy="304800"/>
                <wp:effectExtent l="12700" t="12700" r="15875" b="25400"/>
                <wp:wrapNone/>
                <wp:docPr id="59" name="矩形 59"/>
                <wp:cNvGraphicFramePr/>
                <a:graphic xmlns:a="http://schemas.openxmlformats.org/drawingml/2006/main">
                  <a:graphicData uri="http://schemas.microsoft.com/office/word/2010/wordprocessingShape">
                    <wps:wsp>
                      <wps:cNvSpPr/>
                      <wps:spPr>
                        <a:xfrm>
                          <a:off x="0" y="0"/>
                          <a:ext cx="485775" cy="304800"/>
                        </a:xfrm>
                        <a:prstGeom prst="rect">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7.15pt;margin-top:306.15pt;height:24pt;width:38.25pt;z-index:251678720;v-text-anchor:middle;mso-width-relative:page;mso-height-relative:page;" fillcolor="#FF0000" filled="t" stroked="t" coordsize="21600,21600" o:gfxdata="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UKhnrZAAAACwEAAA8AAAAAAAAAAQAgAAAAIgAAAGRycy9kb3ducmV2LnhtbFBL&#10;AQIUABQAAAAIAIdO4kDuUItwZwIAAN4EAAAOAAAAAAAAAAEAIAAAACgBAABkcnMvZTJvRG9jLnht&#10;bFBLBQYAAAAABgAGAFkBAAABBgAAAAA=&#10;">
                <v:fill on="t" focussize="0,0"/>
                <v:stroke weight="2pt" color="#000000 [3213]" joinstyle="round"/>
                <v:imagedata o:title=""/>
                <o:lock v:ext="edit" aspectratio="f"/>
              </v:rect>
            </w:pict>
          </mc:Fallback>
        </mc:AlternateContent>
      </w:r>
      <w:r>
        <w:rPr>
          <w:rFonts w:hint="default" w:ascii="Times New Roman" w:hAnsi="Times New Roman" w:eastAsia="仿宋" w:cs="Times New Roman"/>
          <w:color w:val="000000" w:themeColor="text1"/>
          <w:highlight w:val="none"/>
          <w14:textFill>
            <w14:solidFill>
              <w14:schemeClr w14:val="tx1"/>
            </w14:solidFill>
          </w14:textFill>
        </w:rPr>
        <w:drawing>
          <wp:anchor distT="0" distB="0" distL="114300" distR="114300" simplePos="0" relativeHeight="251685888" behindDoc="0" locked="0" layoutInCell="1" allowOverlap="1">
            <wp:simplePos x="0" y="0"/>
            <wp:positionH relativeFrom="column">
              <wp:posOffset>4721225</wp:posOffset>
            </wp:positionH>
            <wp:positionV relativeFrom="paragraph">
              <wp:posOffset>-130175</wp:posOffset>
            </wp:positionV>
            <wp:extent cx="861060" cy="950595"/>
            <wp:effectExtent l="207645" t="165735" r="207645" b="179070"/>
            <wp:wrapNone/>
            <wp:docPr id="74" name="图片 3" descr="说明: 哈尔滨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descr="说明: 哈尔滨风"/>
                    <pic:cNvPicPr>
                      <a:picLocks noChangeAspect="1"/>
                    </pic:cNvPicPr>
                  </pic:nvPicPr>
                  <pic:blipFill>
                    <a:blip r:embed="rId41"/>
                    <a:stretch>
                      <a:fillRect/>
                    </a:stretch>
                  </pic:blipFill>
                  <pic:spPr>
                    <a:xfrm rot="19080000">
                      <a:off x="0" y="0"/>
                      <a:ext cx="861060" cy="950595"/>
                    </a:xfrm>
                    <a:prstGeom prst="rect">
                      <a:avLst/>
                    </a:prstGeom>
                    <a:noFill/>
                    <a:ln>
                      <a:noFill/>
                    </a:ln>
                  </pic:spPr>
                </pic:pic>
              </a:graphicData>
            </a:graphic>
          </wp:anchor>
        </w:drawing>
      </w:r>
      <w:r>
        <w:rPr>
          <w:rFonts w:hint="eastAsia" w:eastAsia="仿宋"/>
          <w:snapToGrid w:val="0"/>
          <w:color w:val="000000" w:themeColor="text1"/>
          <w:sz w:val="24"/>
          <w:highlight w:val="none"/>
          <w:u w:val="none"/>
          <w:lang w:eastAsia="zh-CN"/>
          <w14:textFill>
            <w14:solidFill>
              <w14:schemeClr w14:val="tx1"/>
            </w14:solidFill>
          </w14:textFill>
        </w:rPr>
        <w:drawing>
          <wp:inline distT="0" distB="0" distL="114300" distR="114300">
            <wp:extent cx="5727700" cy="4240530"/>
            <wp:effectExtent l="0" t="0" r="6350" b="7620"/>
            <wp:docPr id="58" name="图片 58" descr="4653a6b31f41512b2d1c56c54bf1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4653a6b31f41512b2d1c56c54bf1c1b"/>
                    <pic:cNvPicPr>
                      <a:picLocks noChangeAspect="1"/>
                    </pic:cNvPicPr>
                  </pic:nvPicPr>
                  <pic:blipFill>
                    <a:blip r:embed="rId43"/>
                    <a:stretch>
                      <a:fillRect/>
                    </a:stretch>
                  </pic:blipFill>
                  <pic:spPr>
                    <a:xfrm>
                      <a:off x="0" y="0"/>
                      <a:ext cx="5727700" cy="4240530"/>
                    </a:xfrm>
                    <a:prstGeom prst="rect">
                      <a:avLst/>
                    </a:prstGeom>
                  </pic:spPr>
                </pic:pic>
              </a:graphicData>
            </a:graphic>
          </wp:inline>
        </w:drawing>
      </w:r>
    </w:p>
    <w:p w14:paraId="07123224">
      <w:pPr>
        <w:pStyle w:val="10"/>
        <w:rPr>
          <w:rFonts w:hint="default"/>
          <w:color w:val="000000" w:themeColor="text1"/>
          <w:highlight w:val="none"/>
          <w:lang w:val="en-US"/>
          <w14:textFill>
            <w14:solidFill>
              <w14:schemeClr w14:val="tx1"/>
            </w14:solidFill>
          </w14:textFill>
        </w:rPr>
      </w:pPr>
      <w:r>
        <w:rPr>
          <w:rFonts w:hint="default" w:ascii="Times New Roman" w:hAnsi="Times New Roman" w:eastAsia="仿宋" w:cs="Times New Roman"/>
          <w:snapToGrid w:val="0"/>
          <w:color w:val="000000" w:themeColor="text1"/>
          <w:sz w:val="24"/>
          <w:highlight w:val="none"/>
          <w:u w:val="none"/>
          <w14:textFill>
            <w14:solidFill>
              <w14:schemeClr w14:val="tx1"/>
            </w14:solidFill>
          </w14:textFill>
        </w:rPr>
        <w:t>附图</w:t>
      </w:r>
      <w:r>
        <w:rPr>
          <w:rFonts w:hint="eastAsia" w:eastAsia="仿宋" w:cs="Times New Roman"/>
          <w:snapToGrid w:val="0"/>
          <w:color w:val="000000" w:themeColor="text1"/>
          <w:sz w:val="24"/>
          <w:highlight w:val="none"/>
          <w:u w:val="none"/>
          <w:lang w:val="en-US" w:eastAsia="zh-CN"/>
          <w14:textFill>
            <w14:solidFill>
              <w14:schemeClr w14:val="tx1"/>
            </w14:solidFill>
          </w14:textFill>
        </w:rPr>
        <w:t>5厂界照片</w:t>
      </w:r>
    </w:p>
    <w:p w14:paraId="0980BACE">
      <w:pPr>
        <w:rPr>
          <w:rFonts w:hint="default" w:eastAsia="仿宋"/>
          <w:snapToGrid w:val="0"/>
          <w:color w:val="000000" w:themeColor="text1"/>
          <w:sz w:val="24"/>
          <w:highlight w:val="none"/>
          <w:u w:val="none"/>
          <w:lang w:val="en-US" w:eastAsia="zh-CN"/>
          <w14:textFill>
            <w14:solidFill>
              <w14:schemeClr w14:val="tx1"/>
            </w14:solidFill>
          </w14:textFill>
        </w:rPr>
      </w:pPr>
      <w:r>
        <w:rPr>
          <w:rFonts w:hint="default" w:eastAsia="仿宋"/>
          <w:snapToGrid w:val="0"/>
          <w:color w:val="000000" w:themeColor="text1"/>
          <w:sz w:val="24"/>
          <w:highlight w:val="none"/>
          <w:u w:val="none"/>
          <w:lang w:val="en-US" w:eastAsia="zh-CN"/>
          <w14:textFill>
            <w14:solidFill>
              <w14:schemeClr w14:val="tx1"/>
            </w14:solidFill>
          </w14:textFill>
        </w:rPr>
        <w:drawing>
          <wp:inline distT="0" distB="0" distL="114300" distR="114300">
            <wp:extent cx="2825750" cy="2118995"/>
            <wp:effectExtent l="0" t="0" r="12700" b="14605"/>
            <wp:docPr id="5" name="图片 5" descr="8e431e0b010ca93c59bacd3cae17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e431e0b010ca93c59bacd3cae178e6"/>
                    <pic:cNvPicPr>
                      <a:picLocks noChangeAspect="1"/>
                    </pic:cNvPicPr>
                  </pic:nvPicPr>
                  <pic:blipFill>
                    <a:blip r:embed="rId45"/>
                    <a:stretch>
                      <a:fillRect/>
                    </a:stretch>
                  </pic:blipFill>
                  <pic:spPr>
                    <a:xfrm>
                      <a:off x="0" y="0"/>
                      <a:ext cx="2825750" cy="2118995"/>
                    </a:xfrm>
                    <a:prstGeom prst="rect">
                      <a:avLst/>
                    </a:prstGeom>
                  </pic:spPr>
                </pic:pic>
              </a:graphicData>
            </a:graphic>
          </wp:inline>
        </w:drawing>
      </w:r>
      <w:r>
        <w:rPr>
          <w:rFonts w:hint="default" w:eastAsia="仿宋"/>
          <w:snapToGrid w:val="0"/>
          <w:color w:val="000000" w:themeColor="text1"/>
          <w:sz w:val="24"/>
          <w:highlight w:val="none"/>
          <w:u w:val="none"/>
          <w:lang w:val="en-US" w:eastAsia="zh-CN"/>
          <w14:textFill>
            <w14:solidFill>
              <w14:schemeClr w14:val="tx1"/>
            </w14:solidFill>
          </w14:textFill>
        </w:rPr>
        <w:drawing>
          <wp:inline distT="0" distB="0" distL="114300" distR="114300">
            <wp:extent cx="2831465" cy="2123440"/>
            <wp:effectExtent l="0" t="0" r="6985" b="10160"/>
            <wp:docPr id="18" name="图片 18" descr="52eaf0d29785ad370a4fb7cdb515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2eaf0d29785ad370a4fb7cdb515d96"/>
                    <pic:cNvPicPr>
                      <a:picLocks noChangeAspect="1"/>
                    </pic:cNvPicPr>
                  </pic:nvPicPr>
                  <pic:blipFill>
                    <a:blip r:embed="rId46"/>
                    <a:stretch>
                      <a:fillRect/>
                    </a:stretch>
                  </pic:blipFill>
                  <pic:spPr>
                    <a:xfrm>
                      <a:off x="0" y="0"/>
                      <a:ext cx="2831465" cy="2123440"/>
                    </a:xfrm>
                    <a:prstGeom prst="rect">
                      <a:avLst/>
                    </a:prstGeom>
                  </pic:spPr>
                </pic:pic>
              </a:graphicData>
            </a:graphic>
          </wp:inline>
        </w:drawing>
      </w:r>
    </w:p>
    <w:p w14:paraId="189850CE">
      <w:pPr>
        <w:jc w:val="center"/>
        <w:rPr>
          <w:rFonts w:hint="eastAsia" w:eastAsia="仿宋"/>
          <w:snapToGrid w:val="0"/>
          <w:color w:val="000000" w:themeColor="text1"/>
          <w:sz w:val="24"/>
          <w:highlight w:val="none"/>
          <w:u w:val="none"/>
          <w:lang w:val="en-US" w:eastAsia="zh-CN"/>
          <w14:textFill>
            <w14:solidFill>
              <w14:schemeClr w14:val="tx1"/>
            </w14:solidFill>
          </w14:textFill>
        </w:rPr>
      </w:pPr>
      <w:r>
        <w:rPr>
          <w:rFonts w:hint="eastAsia" w:eastAsia="仿宋"/>
          <w:snapToGrid w:val="0"/>
          <w:color w:val="000000" w:themeColor="text1"/>
          <w:sz w:val="24"/>
          <w:highlight w:val="none"/>
          <w:u w:val="none"/>
          <w:lang w:val="en-US" w:eastAsia="zh-CN"/>
          <w14:textFill>
            <w14:solidFill>
              <w14:schemeClr w14:val="tx1"/>
            </w14:solidFill>
          </w14:textFill>
        </w:rPr>
        <w:t>厂界南侧                                  厂界西侧</w:t>
      </w:r>
    </w:p>
    <w:p w14:paraId="69DDB077">
      <w:pPr>
        <w:jc w:val="center"/>
        <w:rPr>
          <w:rFonts w:hint="default" w:eastAsia="仿宋"/>
          <w:snapToGrid w:val="0"/>
          <w:color w:val="000000" w:themeColor="text1"/>
          <w:sz w:val="24"/>
          <w:highlight w:val="none"/>
          <w:u w:val="none"/>
          <w:lang w:val="en-US" w:eastAsia="zh-CN"/>
          <w14:textFill>
            <w14:solidFill>
              <w14:schemeClr w14:val="tx1"/>
            </w14:solidFill>
          </w14:textFill>
        </w:rPr>
      </w:pPr>
      <w:r>
        <w:rPr>
          <w:rFonts w:hint="default" w:eastAsia="仿宋"/>
          <w:snapToGrid w:val="0"/>
          <w:color w:val="000000" w:themeColor="text1"/>
          <w:sz w:val="24"/>
          <w:highlight w:val="none"/>
          <w:u w:val="none"/>
          <w:lang w:val="en-US" w:eastAsia="zh-CN"/>
          <w14:textFill>
            <w14:solidFill>
              <w14:schemeClr w14:val="tx1"/>
            </w14:solidFill>
          </w14:textFill>
        </w:rPr>
        <w:drawing>
          <wp:inline distT="0" distB="0" distL="114300" distR="114300">
            <wp:extent cx="2842895" cy="2131695"/>
            <wp:effectExtent l="0" t="0" r="14605" b="1905"/>
            <wp:docPr id="26" name="图片 26" descr="a0b3cc4a9c31186ab9f6a2ecad5f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0b3cc4a9c31186ab9f6a2ecad5fe79"/>
                    <pic:cNvPicPr>
                      <a:picLocks noChangeAspect="1"/>
                    </pic:cNvPicPr>
                  </pic:nvPicPr>
                  <pic:blipFill>
                    <a:blip r:embed="rId47"/>
                    <a:stretch>
                      <a:fillRect/>
                    </a:stretch>
                  </pic:blipFill>
                  <pic:spPr>
                    <a:xfrm>
                      <a:off x="0" y="0"/>
                      <a:ext cx="2842895" cy="2131695"/>
                    </a:xfrm>
                    <a:prstGeom prst="rect">
                      <a:avLst/>
                    </a:prstGeom>
                  </pic:spPr>
                </pic:pic>
              </a:graphicData>
            </a:graphic>
          </wp:inline>
        </w:drawing>
      </w:r>
      <w:r>
        <w:rPr>
          <w:rFonts w:hint="default" w:eastAsia="仿宋"/>
          <w:snapToGrid w:val="0"/>
          <w:color w:val="000000" w:themeColor="text1"/>
          <w:sz w:val="24"/>
          <w:highlight w:val="none"/>
          <w:u w:val="none"/>
          <w:lang w:val="en-US" w:eastAsia="zh-CN"/>
          <w14:textFill>
            <w14:solidFill>
              <w14:schemeClr w14:val="tx1"/>
            </w14:solidFill>
          </w14:textFill>
        </w:rPr>
        <w:drawing>
          <wp:inline distT="0" distB="0" distL="114300" distR="114300">
            <wp:extent cx="2809240" cy="2106295"/>
            <wp:effectExtent l="0" t="0" r="10160" b="8255"/>
            <wp:docPr id="27" name="图片 27" descr="5dfba94fcbebca05bc0581fa1f48b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dfba94fcbebca05bc0581fa1f48bf6"/>
                    <pic:cNvPicPr>
                      <a:picLocks noChangeAspect="1"/>
                    </pic:cNvPicPr>
                  </pic:nvPicPr>
                  <pic:blipFill>
                    <a:blip r:embed="rId48"/>
                    <a:stretch>
                      <a:fillRect/>
                    </a:stretch>
                  </pic:blipFill>
                  <pic:spPr>
                    <a:xfrm>
                      <a:off x="0" y="0"/>
                      <a:ext cx="2809240" cy="2106295"/>
                    </a:xfrm>
                    <a:prstGeom prst="rect">
                      <a:avLst/>
                    </a:prstGeom>
                  </pic:spPr>
                </pic:pic>
              </a:graphicData>
            </a:graphic>
          </wp:inline>
        </w:drawing>
      </w:r>
    </w:p>
    <w:p w14:paraId="5C016665">
      <w:pPr>
        <w:jc w:val="center"/>
        <w:rPr>
          <w:rFonts w:hint="default" w:eastAsia="仿宋"/>
          <w:snapToGrid w:val="0"/>
          <w:color w:val="000000" w:themeColor="text1"/>
          <w:sz w:val="24"/>
          <w:highlight w:val="none"/>
          <w:u w:val="none"/>
          <w:lang w:val="en-US" w:eastAsia="zh-CN"/>
          <w14:textFill>
            <w14:solidFill>
              <w14:schemeClr w14:val="tx1"/>
            </w14:solidFill>
          </w14:textFill>
        </w:rPr>
      </w:pPr>
      <w:r>
        <w:rPr>
          <w:rFonts w:hint="eastAsia" w:eastAsia="仿宋"/>
          <w:snapToGrid w:val="0"/>
          <w:color w:val="000000" w:themeColor="text1"/>
          <w:sz w:val="24"/>
          <w:highlight w:val="none"/>
          <w:u w:val="none"/>
          <w:lang w:val="en-US" w:eastAsia="zh-CN"/>
          <w14:textFill>
            <w14:solidFill>
              <w14:schemeClr w14:val="tx1"/>
            </w14:solidFill>
          </w14:textFill>
        </w:rPr>
        <w:t>厂界北侧                                  厂界东侧</w:t>
      </w:r>
    </w:p>
    <w:sectPr>
      <w:pgSz w:w="11906" w:h="16838"/>
      <w:pgMar w:top="1083" w:right="1440" w:bottom="1083" w:left="1440" w:header="851" w:footer="992" w:gutter="0"/>
      <w:pgBorders>
        <w:top w:val="none" w:sz="0" w:space="0"/>
        <w:left w:val="none" w:sz="0" w:space="0"/>
        <w:bottom w:val="none" w:sz="0" w:space="0"/>
        <w:right w:val="none" w:sz="0" w:space="0"/>
      </w:pgBorders>
      <w:pgNumType w:fmt="decimal"/>
      <w:cols w:space="720" w:num="1"/>
      <w:rtlGutter w:val="0"/>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D82F9">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B59B4">
    <w:pPr>
      <w:pStyle w:val="17"/>
      <w:framePr w:wrap="around" w:vAnchor="text" w:hAnchor="margin" w:xAlign="center" w:y="1"/>
      <w:rPr>
        <w:rStyle w:val="27"/>
      </w:rPr>
    </w:pPr>
    <w:r>
      <w:fldChar w:fldCharType="begin"/>
    </w:r>
    <w:r>
      <w:rPr>
        <w:rStyle w:val="27"/>
      </w:rPr>
      <w:instrText xml:space="preserve">PAGE  </w:instrText>
    </w:r>
    <w:r>
      <w:fldChar w:fldCharType="end"/>
    </w:r>
  </w:p>
  <w:p w14:paraId="25D89DA1">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6DD18">
    <w:pPr>
      <w:pStyle w:val="17"/>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51F34">
    <w:pPr>
      <w:pStyle w:val="17"/>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CC6640">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52CC6640">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BA5A8">
    <w:pPr>
      <w:pStyle w:val="17"/>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DBBA9">
                          <w:pPr>
                            <w:pStyle w:val="17"/>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072DBBA9">
                    <w:pPr>
                      <w:pStyle w:val="17"/>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DA9D1">
    <w:pPr>
      <w:pStyle w:val="17"/>
      <w:ind w:right="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2903A6">
                          <w:pPr>
                            <w:pStyle w:val="17"/>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4F2903A6">
                    <w:pPr>
                      <w:pStyle w:val="17"/>
                    </w:pPr>
                    <w:r>
                      <w:fldChar w:fldCharType="begin"/>
                    </w:r>
                    <w:r>
                      <w:instrText xml:space="preserve"> PAGE  \* MERGEFORMAT </w:instrText>
                    </w:r>
                    <w:r>
                      <w:fldChar w:fldCharType="separate"/>
                    </w:r>
                    <w:r>
                      <w:t>47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49D6F">
    <w:pPr>
      <w:pStyle w:val="1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6C1FE">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5C70E7"/>
    <w:multiLevelType w:val="singleLevel"/>
    <w:tmpl w:val="F15C70E7"/>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1">
    <w:nsid w:val="00000006"/>
    <w:multiLevelType w:val="multilevel"/>
    <w:tmpl w:val="00000006"/>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lvlText w:val="%2."/>
      <w:lvlJc w:val="left"/>
      <w:pPr>
        <w:ind w:left="0" w:firstLine="0"/>
      </w:pPr>
      <w:rPr>
        <w:rFonts w:hint="eastAsia"/>
        <w:b w:val="0"/>
        <w:i w:val="0"/>
        <w:sz w:val="32"/>
        <w:szCs w:val="32"/>
      </w:rPr>
    </w:lvl>
    <w:lvl w:ilvl="2" w:tentative="0">
      <w:start w:val="1"/>
      <w:numFmt w:val="decimal"/>
      <w:pStyle w:val="43"/>
      <w:suff w:val="nothing"/>
      <w:lvlText w:val="%1%2.%3　"/>
      <w:lvlJc w:val="left"/>
      <w:pPr>
        <w:ind w:left="426" w:firstLine="0"/>
      </w:pPr>
      <w:rPr>
        <w:rFonts w:hint="eastAsia" w:ascii="黑体" w:hAnsi="Times New Roman" w:eastAsia="黑体"/>
        <w:b w:val="0"/>
        <w:i w:val="0"/>
        <w:sz w:val="28"/>
        <w:szCs w:val="28"/>
      </w:rPr>
    </w:lvl>
    <w:lvl w:ilvl="3" w:tentative="0">
      <w:start w:val="1"/>
      <w:numFmt w:val="decimal"/>
      <w:suff w:val="nothing"/>
      <w:lvlText w:val="%1%2.%3.%4　"/>
      <w:lvlJc w:val="left"/>
      <w:pPr>
        <w:ind w:left="0" w:firstLine="0"/>
      </w:pPr>
      <w:rPr>
        <w:rFonts w:hint="eastAsia" w:ascii="黑体" w:hAnsi="Times New Roman" w:eastAsia="黑体"/>
        <w:b w:val="0"/>
        <w:i w:val="0"/>
        <w:sz w:val="24"/>
        <w:szCs w:val="24"/>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0F1EDDAD"/>
    <w:multiLevelType w:val="singleLevel"/>
    <w:tmpl w:val="0F1EDDAD"/>
    <w:lvl w:ilvl="0" w:tentative="0">
      <w:start w:val="1"/>
      <w:numFmt w:val="chineseCounting"/>
      <w:suff w:val="nothing"/>
      <w:lvlText w:val="%1、"/>
      <w:lvlJc w:val="left"/>
      <w:pPr>
        <w:ind w:left="210"/>
      </w:pPr>
      <w:rPr>
        <w:rFonts w:hint="eastAsia"/>
      </w:rPr>
    </w:lvl>
  </w:abstractNum>
  <w:abstractNum w:abstractNumId="3">
    <w:nsid w:val="45B1F8D2"/>
    <w:multiLevelType w:val="singleLevel"/>
    <w:tmpl w:val="45B1F8D2"/>
    <w:lvl w:ilvl="0" w:tentative="0">
      <w:start w:val="1"/>
      <w:numFmt w:val="chineseCounting"/>
      <w:suff w:val="nothing"/>
      <w:lvlText w:val="%1、"/>
      <w:lvlJc w:val="left"/>
      <w:rPr>
        <w:rFonts w:hint="eastAsia"/>
      </w:rPr>
    </w:lvl>
  </w:abstractNum>
  <w:abstractNum w:abstractNumId="4">
    <w:nsid w:val="5154E465"/>
    <w:multiLevelType w:val="singleLevel"/>
    <w:tmpl w:val="5154E465"/>
    <w:lvl w:ilvl="0" w:tentative="0">
      <w:start w:val="1"/>
      <w:numFmt w:val="decimal"/>
      <w:suff w:val="nothing"/>
      <w:lvlText w:val="%1、"/>
      <w:lvlJc w:val="left"/>
    </w:lvl>
  </w:abstractNum>
  <w:abstractNum w:abstractNumId="5">
    <w:nsid w:val="5E5C42FA"/>
    <w:multiLevelType w:val="multilevel"/>
    <w:tmpl w:val="5E5C42FA"/>
    <w:lvl w:ilvl="0" w:tentative="0">
      <w:start w:val="1"/>
      <w:numFmt w:val="decimal"/>
      <w:lvlText w:val="第%1章  "/>
      <w:lvlJc w:val="center"/>
      <w:pPr>
        <w:ind w:left="0" w:firstLine="0"/>
      </w:pPr>
      <w:rPr>
        <w:rFonts w:hint="eastAsia" w:eastAsia="宋体"/>
        <w:b/>
        <w:i w:val="0"/>
        <w:sz w:val="36"/>
      </w:rPr>
    </w:lvl>
    <w:lvl w:ilvl="1" w:tentative="0">
      <w:start w:val="1"/>
      <w:numFmt w:val="decimal"/>
      <w:pStyle w:val="3"/>
      <w:isLgl/>
      <w:lvlText w:val="%1.%2"/>
      <w:lvlJc w:val="left"/>
      <w:pPr>
        <w:tabs>
          <w:tab w:val="left" w:pos="397"/>
        </w:tabs>
        <w:ind w:left="0" w:firstLine="0"/>
      </w:pPr>
      <w:rPr>
        <w:rFonts w:hint="default" w:ascii="Times New Roman" w:hAnsi="Times New Roman" w:eastAsia="宋体"/>
        <w:b/>
        <w:i w:val="0"/>
        <w:sz w:val="30"/>
      </w:rPr>
    </w:lvl>
    <w:lvl w:ilvl="2" w:tentative="0">
      <w:start w:val="1"/>
      <w:numFmt w:val="decimal"/>
      <w:isLgl/>
      <w:lvlText w:val="%1.%2.%3"/>
      <w:lvlJc w:val="left"/>
      <w:pPr>
        <w:tabs>
          <w:tab w:val="left" w:pos="340"/>
        </w:tabs>
        <w:ind w:left="0" w:firstLine="0"/>
      </w:pPr>
      <w:rPr>
        <w:rFonts w:hint="default" w:ascii="Times New Roman" w:hAnsi="Times New Roman" w:eastAsia="宋体"/>
        <w:b/>
        <w:i w:val="0"/>
        <w:sz w:val="28"/>
      </w:rPr>
    </w:lvl>
    <w:lvl w:ilvl="3" w:tentative="0">
      <w:start w:val="1"/>
      <w:numFmt w:val="decimal"/>
      <w:isLgl/>
      <w:suff w:val="space"/>
      <w:lvlText w:val="%1.%2.%3.%4"/>
      <w:lvlJc w:val="left"/>
      <w:pPr>
        <w:ind w:left="0" w:firstLine="0"/>
      </w:pPr>
      <w:rPr>
        <w:rFonts w:hint="default" w:ascii="Times New Roman" w:hAnsi="Times New Roman" w:eastAsia="宋体"/>
        <w:b w:val="0"/>
        <w:i w:val="0"/>
        <w:sz w:val="28"/>
      </w:rPr>
    </w:lvl>
    <w:lvl w:ilvl="4" w:tentative="0">
      <w:start w:val="1"/>
      <w:numFmt w:val="decimal"/>
      <w:isLgl/>
      <w:lvlText w:val="%1.%2.%3.%4.%5"/>
      <w:lvlJc w:val="left"/>
      <w:pPr>
        <w:ind w:left="0" w:firstLine="0"/>
      </w:pPr>
      <w:rPr>
        <w:rFonts w:hint="default" w:ascii="Times New Roman" w:hAnsi="Times New Roman" w:eastAsia="宋体"/>
        <w:b w:val="0"/>
        <w:i w:val="0"/>
        <w:sz w:val="28"/>
      </w:rPr>
    </w:lvl>
    <w:lvl w:ilvl="5" w:tentative="0">
      <w:start w:val="1"/>
      <w:numFmt w:val="decimal"/>
      <w:isLgl/>
      <w:lvlText w:val="%1.%2.%3.%4.%5.%6"/>
      <w:lvlJc w:val="left"/>
      <w:pPr>
        <w:ind w:left="0" w:firstLine="0"/>
      </w:pPr>
      <w:rPr>
        <w:rFonts w:hint="default" w:ascii="Times New Roman" w:hAnsi="Times New Roman" w:eastAsia="宋体"/>
        <w:b w:val="0"/>
        <w:i w:val="0"/>
        <w:sz w:val="28"/>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61"/>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zNjRjY2EwOTMwZTNhZDdjNzExOTY4Yzg1MGNmYWQ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0CE6"/>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2E47F1"/>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3448"/>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2431"/>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21E89"/>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C6241"/>
    <w:rsid w:val="007E4BD2"/>
    <w:rsid w:val="00801393"/>
    <w:rsid w:val="00802F88"/>
    <w:rsid w:val="0081293E"/>
    <w:rsid w:val="00815465"/>
    <w:rsid w:val="00817E9A"/>
    <w:rsid w:val="008306BD"/>
    <w:rsid w:val="00831A80"/>
    <w:rsid w:val="00833743"/>
    <w:rsid w:val="008340A4"/>
    <w:rsid w:val="0087135F"/>
    <w:rsid w:val="00872D94"/>
    <w:rsid w:val="00880364"/>
    <w:rsid w:val="008828D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E4BD3"/>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6634B"/>
    <w:rsid w:val="00C704E9"/>
    <w:rsid w:val="00C763C9"/>
    <w:rsid w:val="00C80057"/>
    <w:rsid w:val="00C82232"/>
    <w:rsid w:val="00C82913"/>
    <w:rsid w:val="00C972B1"/>
    <w:rsid w:val="00CA2CCE"/>
    <w:rsid w:val="00CA43FD"/>
    <w:rsid w:val="00CA7EF8"/>
    <w:rsid w:val="00CC489B"/>
    <w:rsid w:val="00CD2BCD"/>
    <w:rsid w:val="00CD3A4C"/>
    <w:rsid w:val="00CD7D55"/>
    <w:rsid w:val="00CE10E9"/>
    <w:rsid w:val="00CE2910"/>
    <w:rsid w:val="00CE5393"/>
    <w:rsid w:val="00CF36BE"/>
    <w:rsid w:val="00CF6000"/>
    <w:rsid w:val="00D003F3"/>
    <w:rsid w:val="00D0364F"/>
    <w:rsid w:val="00D06834"/>
    <w:rsid w:val="00D1114E"/>
    <w:rsid w:val="00D11C85"/>
    <w:rsid w:val="00D308ED"/>
    <w:rsid w:val="00D34DB0"/>
    <w:rsid w:val="00D36D86"/>
    <w:rsid w:val="00D428AA"/>
    <w:rsid w:val="00D50A34"/>
    <w:rsid w:val="00D53EFA"/>
    <w:rsid w:val="00D55966"/>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751BA"/>
    <w:rsid w:val="00E9242D"/>
    <w:rsid w:val="00EB5255"/>
    <w:rsid w:val="00EB5C47"/>
    <w:rsid w:val="00ED0639"/>
    <w:rsid w:val="00EF4755"/>
    <w:rsid w:val="00EF7135"/>
    <w:rsid w:val="00F027DB"/>
    <w:rsid w:val="00F14A7A"/>
    <w:rsid w:val="00F22985"/>
    <w:rsid w:val="00F244A0"/>
    <w:rsid w:val="00F26B9E"/>
    <w:rsid w:val="00F3383E"/>
    <w:rsid w:val="00F465A7"/>
    <w:rsid w:val="00F50B7C"/>
    <w:rsid w:val="00F550E6"/>
    <w:rsid w:val="00F67BFB"/>
    <w:rsid w:val="00F74345"/>
    <w:rsid w:val="00F80A0A"/>
    <w:rsid w:val="00F82B19"/>
    <w:rsid w:val="00F9212D"/>
    <w:rsid w:val="00F965DA"/>
    <w:rsid w:val="00FA406A"/>
    <w:rsid w:val="00FB503A"/>
    <w:rsid w:val="00FB516C"/>
    <w:rsid w:val="00FD0236"/>
    <w:rsid w:val="00FD18F4"/>
    <w:rsid w:val="00FD54DB"/>
    <w:rsid w:val="00FD619F"/>
    <w:rsid w:val="01290F7E"/>
    <w:rsid w:val="015D1E09"/>
    <w:rsid w:val="019E175F"/>
    <w:rsid w:val="01C21BD8"/>
    <w:rsid w:val="01CA216C"/>
    <w:rsid w:val="02300A11"/>
    <w:rsid w:val="025B1895"/>
    <w:rsid w:val="02697903"/>
    <w:rsid w:val="02B6365A"/>
    <w:rsid w:val="02F96569"/>
    <w:rsid w:val="038E6B36"/>
    <w:rsid w:val="03CC2B28"/>
    <w:rsid w:val="03EA58E6"/>
    <w:rsid w:val="03EA7B21"/>
    <w:rsid w:val="052D55A2"/>
    <w:rsid w:val="056A1C9B"/>
    <w:rsid w:val="05F833AB"/>
    <w:rsid w:val="05F83EAE"/>
    <w:rsid w:val="063E7D85"/>
    <w:rsid w:val="065F7658"/>
    <w:rsid w:val="06FD7370"/>
    <w:rsid w:val="07293586"/>
    <w:rsid w:val="07295285"/>
    <w:rsid w:val="07636392"/>
    <w:rsid w:val="07770C56"/>
    <w:rsid w:val="08E45565"/>
    <w:rsid w:val="092217DD"/>
    <w:rsid w:val="093A7294"/>
    <w:rsid w:val="0943620D"/>
    <w:rsid w:val="098D652B"/>
    <w:rsid w:val="0A263993"/>
    <w:rsid w:val="0A2D3AC2"/>
    <w:rsid w:val="0AA755DF"/>
    <w:rsid w:val="0AC97464"/>
    <w:rsid w:val="0ACA52EB"/>
    <w:rsid w:val="0B1038EC"/>
    <w:rsid w:val="0B120D44"/>
    <w:rsid w:val="0BD27BF6"/>
    <w:rsid w:val="0C3B3C7D"/>
    <w:rsid w:val="0CAB2EAE"/>
    <w:rsid w:val="0D621C7D"/>
    <w:rsid w:val="0D676DEC"/>
    <w:rsid w:val="0D7B5B95"/>
    <w:rsid w:val="0E456E02"/>
    <w:rsid w:val="0E73034D"/>
    <w:rsid w:val="0F13775A"/>
    <w:rsid w:val="0F587DCB"/>
    <w:rsid w:val="0F5F45FE"/>
    <w:rsid w:val="0F9A112B"/>
    <w:rsid w:val="10467B9C"/>
    <w:rsid w:val="105F1319"/>
    <w:rsid w:val="106D2F64"/>
    <w:rsid w:val="10B63710"/>
    <w:rsid w:val="10B72C1B"/>
    <w:rsid w:val="10F10820"/>
    <w:rsid w:val="111C2F7A"/>
    <w:rsid w:val="115C2EBC"/>
    <w:rsid w:val="11665CA1"/>
    <w:rsid w:val="11E72010"/>
    <w:rsid w:val="12BD50B4"/>
    <w:rsid w:val="12C14A42"/>
    <w:rsid w:val="13951726"/>
    <w:rsid w:val="13CB1888"/>
    <w:rsid w:val="142554A7"/>
    <w:rsid w:val="14396509"/>
    <w:rsid w:val="14BC5944"/>
    <w:rsid w:val="14C7367A"/>
    <w:rsid w:val="14DD2C3C"/>
    <w:rsid w:val="14ED1FA1"/>
    <w:rsid w:val="1505553D"/>
    <w:rsid w:val="15B12FCF"/>
    <w:rsid w:val="15B46BAC"/>
    <w:rsid w:val="15D942D4"/>
    <w:rsid w:val="16087E1D"/>
    <w:rsid w:val="16BD0CD7"/>
    <w:rsid w:val="16E83A00"/>
    <w:rsid w:val="17701D14"/>
    <w:rsid w:val="17735226"/>
    <w:rsid w:val="182134C1"/>
    <w:rsid w:val="18351C95"/>
    <w:rsid w:val="189F624C"/>
    <w:rsid w:val="19CEC158"/>
    <w:rsid w:val="1A1C66C0"/>
    <w:rsid w:val="1A42393B"/>
    <w:rsid w:val="1AAD45DE"/>
    <w:rsid w:val="1ABE1DB6"/>
    <w:rsid w:val="1B046F80"/>
    <w:rsid w:val="1B1A60FC"/>
    <w:rsid w:val="1B3267B5"/>
    <w:rsid w:val="1B40161D"/>
    <w:rsid w:val="1B441859"/>
    <w:rsid w:val="1B6606B1"/>
    <w:rsid w:val="1BA45AE6"/>
    <w:rsid w:val="1BB67591"/>
    <w:rsid w:val="1BD14E8A"/>
    <w:rsid w:val="1BD4075E"/>
    <w:rsid w:val="1C5E7925"/>
    <w:rsid w:val="1CE26A57"/>
    <w:rsid w:val="1CFD070F"/>
    <w:rsid w:val="1D1204EE"/>
    <w:rsid w:val="1D5F6196"/>
    <w:rsid w:val="1D6132A5"/>
    <w:rsid w:val="1D8E56D5"/>
    <w:rsid w:val="1E217F5E"/>
    <w:rsid w:val="1E7A43DA"/>
    <w:rsid w:val="1E9276D8"/>
    <w:rsid w:val="1F653DDC"/>
    <w:rsid w:val="1F7C703B"/>
    <w:rsid w:val="1FE7539E"/>
    <w:rsid w:val="20454564"/>
    <w:rsid w:val="204F5A43"/>
    <w:rsid w:val="20671BE0"/>
    <w:rsid w:val="20963CB8"/>
    <w:rsid w:val="20A81A1B"/>
    <w:rsid w:val="20B07FB6"/>
    <w:rsid w:val="20B646FB"/>
    <w:rsid w:val="213B74B1"/>
    <w:rsid w:val="215A2310"/>
    <w:rsid w:val="218F22E9"/>
    <w:rsid w:val="21BC29C9"/>
    <w:rsid w:val="21DE318A"/>
    <w:rsid w:val="21EF5B80"/>
    <w:rsid w:val="221D5237"/>
    <w:rsid w:val="22576990"/>
    <w:rsid w:val="22F47480"/>
    <w:rsid w:val="23141A33"/>
    <w:rsid w:val="232C0139"/>
    <w:rsid w:val="23DE1C48"/>
    <w:rsid w:val="240210CD"/>
    <w:rsid w:val="24BF09F7"/>
    <w:rsid w:val="252D53FE"/>
    <w:rsid w:val="25EC2D81"/>
    <w:rsid w:val="26273226"/>
    <w:rsid w:val="268D71A1"/>
    <w:rsid w:val="27673767"/>
    <w:rsid w:val="277057A2"/>
    <w:rsid w:val="27FC174F"/>
    <w:rsid w:val="281A4A03"/>
    <w:rsid w:val="286B6D1D"/>
    <w:rsid w:val="286E5955"/>
    <w:rsid w:val="2896616C"/>
    <w:rsid w:val="28AF15F0"/>
    <w:rsid w:val="28C21749"/>
    <w:rsid w:val="291B130B"/>
    <w:rsid w:val="29206EB8"/>
    <w:rsid w:val="29595666"/>
    <w:rsid w:val="29874881"/>
    <w:rsid w:val="29995E99"/>
    <w:rsid w:val="29E325E0"/>
    <w:rsid w:val="2A452503"/>
    <w:rsid w:val="2A783C63"/>
    <w:rsid w:val="2BA936A8"/>
    <w:rsid w:val="2BC113B8"/>
    <w:rsid w:val="2C0E1FB8"/>
    <w:rsid w:val="2C315A5A"/>
    <w:rsid w:val="2C4B1C25"/>
    <w:rsid w:val="2C707339"/>
    <w:rsid w:val="2CF021D7"/>
    <w:rsid w:val="2D8B401F"/>
    <w:rsid w:val="2D9E56F5"/>
    <w:rsid w:val="2DA70A18"/>
    <w:rsid w:val="2E092B42"/>
    <w:rsid w:val="2E2D0880"/>
    <w:rsid w:val="2E667F96"/>
    <w:rsid w:val="2E692241"/>
    <w:rsid w:val="2E775E3B"/>
    <w:rsid w:val="2E8226AB"/>
    <w:rsid w:val="2EBF3988"/>
    <w:rsid w:val="2F30027A"/>
    <w:rsid w:val="2FD065E6"/>
    <w:rsid w:val="2FD53B1A"/>
    <w:rsid w:val="2FD96870"/>
    <w:rsid w:val="300E7B64"/>
    <w:rsid w:val="30580BC9"/>
    <w:rsid w:val="30717F3B"/>
    <w:rsid w:val="30D34ADE"/>
    <w:rsid w:val="31021A88"/>
    <w:rsid w:val="311E2ED7"/>
    <w:rsid w:val="312A7CA4"/>
    <w:rsid w:val="315619EE"/>
    <w:rsid w:val="315C449C"/>
    <w:rsid w:val="31B82709"/>
    <w:rsid w:val="31D05482"/>
    <w:rsid w:val="32400B34"/>
    <w:rsid w:val="324F5BF1"/>
    <w:rsid w:val="32796BC7"/>
    <w:rsid w:val="328079B6"/>
    <w:rsid w:val="329E6876"/>
    <w:rsid w:val="333015F2"/>
    <w:rsid w:val="334407F8"/>
    <w:rsid w:val="334B6320"/>
    <w:rsid w:val="33AD2BD0"/>
    <w:rsid w:val="33D934D4"/>
    <w:rsid w:val="33F91ED9"/>
    <w:rsid w:val="33FE2F6A"/>
    <w:rsid w:val="340E07E5"/>
    <w:rsid w:val="34181F9A"/>
    <w:rsid w:val="34235BF7"/>
    <w:rsid w:val="345E3D26"/>
    <w:rsid w:val="349A4AA4"/>
    <w:rsid w:val="34E52C37"/>
    <w:rsid w:val="34E909A5"/>
    <w:rsid w:val="355F439E"/>
    <w:rsid w:val="358C5FA8"/>
    <w:rsid w:val="35C15DF1"/>
    <w:rsid w:val="36020802"/>
    <w:rsid w:val="36074A7F"/>
    <w:rsid w:val="36923549"/>
    <w:rsid w:val="36B75FBF"/>
    <w:rsid w:val="36BD0C45"/>
    <w:rsid w:val="372A07DD"/>
    <w:rsid w:val="373A3708"/>
    <w:rsid w:val="374A2ADA"/>
    <w:rsid w:val="37E00298"/>
    <w:rsid w:val="38B302F9"/>
    <w:rsid w:val="38F12CD3"/>
    <w:rsid w:val="38F45072"/>
    <w:rsid w:val="38F94775"/>
    <w:rsid w:val="392971ED"/>
    <w:rsid w:val="39325651"/>
    <w:rsid w:val="39C12782"/>
    <w:rsid w:val="39F23A32"/>
    <w:rsid w:val="3A872856"/>
    <w:rsid w:val="3AF709F9"/>
    <w:rsid w:val="3B0D0726"/>
    <w:rsid w:val="3B3763D1"/>
    <w:rsid w:val="3BDB4052"/>
    <w:rsid w:val="3C2F6E1E"/>
    <w:rsid w:val="3C4F64BA"/>
    <w:rsid w:val="3C4F6F1A"/>
    <w:rsid w:val="3CA4627E"/>
    <w:rsid w:val="3CA92F61"/>
    <w:rsid w:val="3CDA245A"/>
    <w:rsid w:val="3D1E06B7"/>
    <w:rsid w:val="3E5325C6"/>
    <w:rsid w:val="3EDA0523"/>
    <w:rsid w:val="3F1E1705"/>
    <w:rsid w:val="3F6B161E"/>
    <w:rsid w:val="3FAF1333"/>
    <w:rsid w:val="3FED5635"/>
    <w:rsid w:val="407A6407"/>
    <w:rsid w:val="40F40707"/>
    <w:rsid w:val="40F50D97"/>
    <w:rsid w:val="4200449D"/>
    <w:rsid w:val="423A3BCC"/>
    <w:rsid w:val="424E57D2"/>
    <w:rsid w:val="42B26C49"/>
    <w:rsid w:val="42E7494D"/>
    <w:rsid w:val="433A6FE6"/>
    <w:rsid w:val="4342237B"/>
    <w:rsid w:val="43480868"/>
    <w:rsid w:val="4350713C"/>
    <w:rsid w:val="436653E0"/>
    <w:rsid w:val="43C4431A"/>
    <w:rsid w:val="43CD6976"/>
    <w:rsid w:val="43FF367D"/>
    <w:rsid w:val="44602E7F"/>
    <w:rsid w:val="446775F4"/>
    <w:rsid w:val="44B951CC"/>
    <w:rsid w:val="44CD14E0"/>
    <w:rsid w:val="44D6062D"/>
    <w:rsid w:val="44F20B0B"/>
    <w:rsid w:val="452E5F4C"/>
    <w:rsid w:val="453B341C"/>
    <w:rsid w:val="45612018"/>
    <w:rsid w:val="458946E9"/>
    <w:rsid w:val="45A47C0E"/>
    <w:rsid w:val="462E614B"/>
    <w:rsid w:val="46577FD6"/>
    <w:rsid w:val="465D5E91"/>
    <w:rsid w:val="46976833"/>
    <w:rsid w:val="46D955A7"/>
    <w:rsid w:val="47133957"/>
    <w:rsid w:val="47A07E0C"/>
    <w:rsid w:val="4870272E"/>
    <w:rsid w:val="48C24A3A"/>
    <w:rsid w:val="4931445C"/>
    <w:rsid w:val="49B85393"/>
    <w:rsid w:val="49BB5BEF"/>
    <w:rsid w:val="49DC7715"/>
    <w:rsid w:val="4A023139"/>
    <w:rsid w:val="4A7B576F"/>
    <w:rsid w:val="4A977553"/>
    <w:rsid w:val="4AF561A9"/>
    <w:rsid w:val="4B774C13"/>
    <w:rsid w:val="4BB21261"/>
    <w:rsid w:val="4C4A0649"/>
    <w:rsid w:val="4C7E5ECA"/>
    <w:rsid w:val="4C876AA5"/>
    <w:rsid w:val="4C8B53F7"/>
    <w:rsid w:val="4CD650EE"/>
    <w:rsid w:val="4D0E00FB"/>
    <w:rsid w:val="4D176606"/>
    <w:rsid w:val="4D4B6694"/>
    <w:rsid w:val="4D79531F"/>
    <w:rsid w:val="4D844825"/>
    <w:rsid w:val="4DEC4FB0"/>
    <w:rsid w:val="4E075D8A"/>
    <w:rsid w:val="4E80437D"/>
    <w:rsid w:val="4E8C6E93"/>
    <w:rsid w:val="4EC00FAD"/>
    <w:rsid w:val="4F473A81"/>
    <w:rsid w:val="4F9843DC"/>
    <w:rsid w:val="4FA95D81"/>
    <w:rsid w:val="4FC62A8C"/>
    <w:rsid w:val="4FE20F0D"/>
    <w:rsid w:val="4FE51552"/>
    <w:rsid w:val="4FEE1770"/>
    <w:rsid w:val="501F49FD"/>
    <w:rsid w:val="50504C4B"/>
    <w:rsid w:val="509C6E7C"/>
    <w:rsid w:val="509E38D2"/>
    <w:rsid w:val="512B60FD"/>
    <w:rsid w:val="5162104E"/>
    <w:rsid w:val="518E6718"/>
    <w:rsid w:val="51AB479B"/>
    <w:rsid w:val="52197C53"/>
    <w:rsid w:val="525E561B"/>
    <w:rsid w:val="5294763D"/>
    <w:rsid w:val="52FB705C"/>
    <w:rsid w:val="53A039CC"/>
    <w:rsid w:val="53A1505A"/>
    <w:rsid w:val="54063E08"/>
    <w:rsid w:val="543437E8"/>
    <w:rsid w:val="5456643F"/>
    <w:rsid w:val="54F73313"/>
    <w:rsid w:val="54F80955"/>
    <w:rsid w:val="555170A7"/>
    <w:rsid w:val="5587536D"/>
    <w:rsid w:val="559B174B"/>
    <w:rsid w:val="55C820C3"/>
    <w:rsid w:val="55CE0CF4"/>
    <w:rsid w:val="56B22A9C"/>
    <w:rsid w:val="579A73E8"/>
    <w:rsid w:val="57B72A76"/>
    <w:rsid w:val="57C3426C"/>
    <w:rsid w:val="57CE1F93"/>
    <w:rsid w:val="585B22AC"/>
    <w:rsid w:val="588743D1"/>
    <w:rsid w:val="5887701A"/>
    <w:rsid w:val="58C46142"/>
    <w:rsid w:val="597152D9"/>
    <w:rsid w:val="59A90BFD"/>
    <w:rsid w:val="59C0439F"/>
    <w:rsid w:val="5ABE2233"/>
    <w:rsid w:val="5AC0623D"/>
    <w:rsid w:val="5BA67D81"/>
    <w:rsid w:val="5BDF5D95"/>
    <w:rsid w:val="5BFE7528"/>
    <w:rsid w:val="5C0056E3"/>
    <w:rsid w:val="5C3E7FB9"/>
    <w:rsid w:val="5C5E2852"/>
    <w:rsid w:val="5CCA0D08"/>
    <w:rsid w:val="5CED796C"/>
    <w:rsid w:val="5D4F3E49"/>
    <w:rsid w:val="5D8E02C3"/>
    <w:rsid w:val="5DCB2826"/>
    <w:rsid w:val="5E0963CE"/>
    <w:rsid w:val="5E2467F1"/>
    <w:rsid w:val="5E7D5134"/>
    <w:rsid w:val="5F1A2B43"/>
    <w:rsid w:val="5F9702DC"/>
    <w:rsid w:val="5FAA398E"/>
    <w:rsid w:val="5FB837BB"/>
    <w:rsid w:val="5FFF2072"/>
    <w:rsid w:val="60CC405A"/>
    <w:rsid w:val="612E684E"/>
    <w:rsid w:val="618122FF"/>
    <w:rsid w:val="61E215D8"/>
    <w:rsid w:val="621B3775"/>
    <w:rsid w:val="62364782"/>
    <w:rsid w:val="627A5CCE"/>
    <w:rsid w:val="62A25A3E"/>
    <w:rsid w:val="6394356A"/>
    <w:rsid w:val="63A15577"/>
    <w:rsid w:val="63C61B2C"/>
    <w:rsid w:val="63D40BE9"/>
    <w:rsid w:val="64102431"/>
    <w:rsid w:val="64591683"/>
    <w:rsid w:val="64622E98"/>
    <w:rsid w:val="646E15D4"/>
    <w:rsid w:val="64857682"/>
    <w:rsid w:val="64A5243A"/>
    <w:rsid w:val="64F531DE"/>
    <w:rsid w:val="65373578"/>
    <w:rsid w:val="656B710F"/>
    <w:rsid w:val="65BC2D8F"/>
    <w:rsid w:val="65C23EE5"/>
    <w:rsid w:val="67071628"/>
    <w:rsid w:val="671F124A"/>
    <w:rsid w:val="677A33C6"/>
    <w:rsid w:val="681F6961"/>
    <w:rsid w:val="68610A2F"/>
    <w:rsid w:val="68805514"/>
    <w:rsid w:val="68CF2AD3"/>
    <w:rsid w:val="690031C6"/>
    <w:rsid w:val="69316E2F"/>
    <w:rsid w:val="694E2071"/>
    <w:rsid w:val="69766163"/>
    <w:rsid w:val="697A3B33"/>
    <w:rsid w:val="69D44760"/>
    <w:rsid w:val="69DA6EA2"/>
    <w:rsid w:val="6A520EC7"/>
    <w:rsid w:val="6ADF127C"/>
    <w:rsid w:val="6AF87E20"/>
    <w:rsid w:val="6B322639"/>
    <w:rsid w:val="6B623CC4"/>
    <w:rsid w:val="6B6B127E"/>
    <w:rsid w:val="6C3F77E1"/>
    <w:rsid w:val="6C4C04D0"/>
    <w:rsid w:val="6C636C38"/>
    <w:rsid w:val="6CB32147"/>
    <w:rsid w:val="6CF46B9E"/>
    <w:rsid w:val="6DB34098"/>
    <w:rsid w:val="6DB36BB9"/>
    <w:rsid w:val="6DB545B6"/>
    <w:rsid w:val="6DE02FB4"/>
    <w:rsid w:val="6E514CED"/>
    <w:rsid w:val="6E9679FF"/>
    <w:rsid w:val="6EB563D5"/>
    <w:rsid w:val="6ED92677"/>
    <w:rsid w:val="6EDB070C"/>
    <w:rsid w:val="6F225983"/>
    <w:rsid w:val="6FC42A36"/>
    <w:rsid w:val="6FC82C87"/>
    <w:rsid w:val="6FDA1311"/>
    <w:rsid w:val="6FFC5590"/>
    <w:rsid w:val="706D1DD0"/>
    <w:rsid w:val="70856B87"/>
    <w:rsid w:val="70AE3508"/>
    <w:rsid w:val="70D527EE"/>
    <w:rsid w:val="715B5300"/>
    <w:rsid w:val="71D27F8A"/>
    <w:rsid w:val="724C1AB8"/>
    <w:rsid w:val="72553024"/>
    <w:rsid w:val="72EB45EE"/>
    <w:rsid w:val="73043A47"/>
    <w:rsid w:val="73122968"/>
    <w:rsid w:val="731F5D5E"/>
    <w:rsid w:val="734F5AEC"/>
    <w:rsid w:val="73711050"/>
    <w:rsid w:val="73C51AD5"/>
    <w:rsid w:val="73CB5A03"/>
    <w:rsid w:val="741E793C"/>
    <w:rsid w:val="745E3944"/>
    <w:rsid w:val="750F7698"/>
    <w:rsid w:val="75897A1E"/>
    <w:rsid w:val="758B747D"/>
    <w:rsid w:val="76314A47"/>
    <w:rsid w:val="7635099D"/>
    <w:rsid w:val="7644531F"/>
    <w:rsid w:val="764903EC"/>
    <w:rsid w:val="769945D9"/>
    <w:rsid w:val="775D3592"/>
    <w:rsid w:val="77762421"/>
    <w:rsid w:val="77B56B1F"/>
    <w:rsid w:val="77E0617C"/>
    <w:rsid w:val="77E42856"/>
    <w:rsid w:val="78016B67"/>
    <w:rsid w:val="780F09F4"/>
    <w:rsid w:val="782C352A"/>
    <w:rsid w:val="788B5B3C"/>
    <w:rsid w:val="789C06FF"/>
    <w:rsid w:val="78A14F7E"/>
    <w:rsid w:val="78A90480"/>
    <w:rsid w:val="79254583"/>
    <w:rsid w:val="7A364017"/>
    <w:rsid w:val="7A8265E1"/>
    <w:rsid w:val="7AEB51CD"/>
    <w:rsid w:val="7B686D42"/>
    <w:rsid w:val="7B841746"/>
    <w:rsid w:val="7B9A1258"/>
    <w:rsid w:val="7C6C5AC7"/>
    <w:rsid w:val="7CB31ABE"/>
    <w:rsid w:val="7CC6544B"/>
    <w:rsid w:val="7CDB073F"/>
    <w:rsid w:val="7D0239FF"/>
    <w:rsid w:val="7D3354C1"/>
    <w:rsid w:val="7D5E40CD"/>
    <w:rsid w:val="7D773576"/>
    <w:rsid w:val="7DAA4F26"/>
    <w:rsid w:val="7DCD56F2"/>
    <w:rsid w:val="7DE20782"/>
    <w:rsid w:val="7E7DC084"/>
    <w:rsid w:val="7EBFB8C5"/>
    <w:rsid w:val="7EE78FB9"/>
    <w:rsid w:val="7EEA7E01"/>
    <w:rsid w:val="7F001CE7"/>
    <w:rsid w:val="7F7B5046"/>
    <w:rsid w:val="7FA93CF4"/>
    <w:rsid w:val="7FE47E50"/>
    <w:rsid w:val="7FE70788"/>
    <w:rsid w:val="7FFF813C"/>
    <w:rsid w:val="A6EF654F"/>
    <w:rsid w:val="BD3F72EB"/>
    <w:rsid w:val="BEE64050"/>
    <w:rsid w:val="DCCF61DE"/>
    <w:rsid w:val="DFBF9C6B"/>
    <w:rsid w:val="EFFE6F4D"/>
    <w:rsid w:val="F6F967C4"/>
    <w:rsid w:val="FBBBE9D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9"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99"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numPr>
        <w:ilvl w:val="1"/>
        <w:numId w:val="1"/>
      </w:numPr>
      <w:tabs>
        <w:tab w:val="left" w:pos="567"/>
        <w:tab w:val="clear" w:pos="397"/>
      </w:tabs>
      <w:spacing w:line="560" w:lineRule="exact"/>
      <w:jc w:val="left"/>
      <w:outlineLvl w:val="1"/>
    </w:pPr>
    <w:rPr>
      <w:rFonts w:ascii="Cambria" w:hAnsi="Cambria"/>
      <w:b/>
      <w:bCs/>
      <w:sz w:val="30"/>
      <w:szCs w:val="32"/>
    </w:rPr>
  </w:style>
  <w:style w:type="paragraph" w:styleId="4">
    <w:name w:val="heading 3"/>
    <w:basedOn w:val="1"/>
    <w:next w:val="1"/>
    <w:qFormat/>
    <w:locked/>
    <w:uiPriority w:val="9"/>
    <w:pPr>
      <w:keepNext/>
      <w:keepLines/>
      <w:spacing w:before="260" w:after="260" w:line="416" w:lineRule="auto"/>
      <w:outlineLvl w:val="2"/>
    </w:pPr>
    <w:rPr>
      <w:b/>
      <w:bCs/>
      <w:sz w:val="32"/>
      <w:szCs w:val="32"/>
    </w:rPr>
  </w:style>
  <w:style w:type="paragraph" w:styleId="5">
    <w:name w:val="heading 4"/>
    <w:basedOn w:val="4"/>
    <w:next w:val="1"/>
    <w:unhideWhenUsed/>
    <w:qFormat/>
    <w:locked/>
    <w:uiPriority w:val="0"/>
    <w:pPr>
      <w:keepNext/>
      <w:keepLines/>
      <w:spacing w:line="360" w:lineRule="auto"/>
      <w:ind w:firstLine="0" w:firstLineChars="0"/>
      <w:outlineLvl w:val="3"/>
    </w:pPr>
    <w:rPr>
      <w:rFonts w:ascii="Times New Roman" w:hAnsi="Times New Roman" w:cs="宋体"/>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6">
    <w:name w:val="table of authorities"/>
    <w:basedOn w:val="1"/>
    <w:next w:val="1"/>
    <w:qFormat/>
    <w:locked/>
    <w:uiPriority w:val="0"/>
    <w:pPr>
      <w:ind w:left="420" w:leftChars="200"/>
    </w:pPr>
  </w:style>
  <w:style w:type="paragraph" w:styleId="7">
    <w:name w:val="Normal Indent"/>
    <w:basedOn w:val="1"/>
    <w:qFormat/>
    <w:locked/>
    <w:uiPriority w:val="0"/>
    <w:pPr>
      <w:ind w:firstLine="420" w:firstLineChars="200"/>
    </w:pPr>
    <w:rPr>
      <w:rFonts w:ascii="宋体" w:hAnsi="宋体"/>
    </w:rPr>
  </w:style>
  <w:style w:type="paragraph" w:styleId="8">
    <w:name w:val="caption"/>
    <w:basedOn w:val="1"/>
    <w:next w:val="9"/>
    <w:qFormat/>
    <w:locked/>
    <w:uiPriority w:val="0"/>
    <w:pPr>
      <w:spacing w:line="360" w:lineRule="auto"/>
      <w:ind w:firstLine="200" w:firstLineChars="200"/>
    </w:pPr>
    <w:rPr>
      <w:rFonts w:ascii="Arial" w:hAnsi="Arial" w:eastAsia="黑体" w:cs="Arial"/>
      <w:sz w:val="20"/>
      <w:szCs w:val="20"/>
    </w:rPr>
  </w:style>
  <w:style w:type="paragraph" w:styleId="9">
    <w:name w:val="Body Text First Indent"/>
    <w:basedOn w:val="10"/>
    <w:next w:val="1"/>
    <w:qFormat/>
    <w:locked/>
    <w:uiPriority w:val="0"/>
    <w:pPr>
      <w:spacing w:after="0" w:line="360" w:lineRule="auto"/>
      <w:ind w:firstLine="1440" w:firstLineChars="200"/>
    </w:pPr>
    <w:rPr>
      <w:sz w:val="24"/>
    </w:rPr>
  </w:style>
  <w:style w:type="paragraph" w:styleId="10">
    <w:name w:val="Body Text"/>
    <w:basedOn w:val="1"/>
    <w:next w:val="11"/>
    <w:link w:val="30"/>
    <w:qFormat/>
    <w:uiPriority w:val="0"/>
    <w:pPr>
      <w:widowControl/>
      <w:snapToGrid w:val="0"/>
      <w:spacing w:before="60" w:after="160" w:line="259" w:lineRule="auto"/>
      <w:ind w:right="113"/>
    </w:pPr>
    <w:rPr>
      <w:kern w:val="0"/>
      <w:sz w:val="18"/>
      <w:szCs w:val="20"/>
    </w:rPr>
  </w:style>
  <w:style w:type="paragraph" w:styleId="11">
    <w:name w:val="List Bullet 5"/>
    <w:basedOn w:val="1"/>
    <w:qFormat/>
    <w:locked/>
    <w:uiPriority w:val="0"/>
    <w:pPr>
      <w:numPr>
        <w:ilvl w:val="0"/>
        <w:numId w:val="2"/>
      </w:numPr>
    </w:pPr>
  </w:style>
  <w:style w:type="paragraph" w:styleId="12">
    <w:name w:val="annotation text"/>
    <w:basedOn w:val="1"/>
    <w:link w:val="31"/>
    <w:semiHidden/>
    <w:qFormat/>
    <w:uiPriority w:val="0"/>
    <w:pPr>
      <w:jc w:val="left"/>
    </w:pPr>
    <w:rPr>
      <w:kern w:val="0"/>
      <w:sz w:val="24"/>
      <w:szCs w:val="20"/>
    </w:rPr>
  </w:style>
  <w:style w:type="paragraph" w:styleId="13">
    <w:name w:val="Body Text Indent"/>
    <w:basedOn w:val="1"/>
    <w:link w:val="32"/>
    <w:qFormat/>
    <w:uiPriority w:val="0"/>
    <w:pPr>
      <w:spacing w:after="120"/>
      <w:ind w:left="420" w:leftChars="200"/>
    </w:pPr>
    <w:rPr>
      <w:kern w:val="0"/>
      <w:sz w:val="24"/>
      <w:szCs w:val="20"/>
    </w:rPr>
  </w:style>
  <w:style w:type="paragraph" w:styleId="14">
    <w:name w:val="Date"/>
    <w:basedOn w:val="1"/>
    <w:next w:val="1"/>
    <w:link w:val="33"/>
    <w:qFormat/>
    <w:uiPriority w:val="0"/>
    <w:pPr>
      <w:ind w:left="100" w:leftChars="2500"/>
    </w:pPr>
    <w:rPr>
      <w:kern w:val="0"/>
      <w:sz w:val="24"/>
      <w:szCs w:val="20"/>
    </w:rPr>
  </w:style>
  <w:style w:type="paragraph" w:styleId="15">
    <w:name w:val="Body Text Indent 2"/>
    <w:basedOn w:val="1"/>
    <w:qFormat/>
    <w:locked/>
    <w:uiPriority w:val="0"/>
    <w:pPr>
      <w:spacing w:after="120" w:line="480" w:lineRule="auto"/>
      <w:ind w:left="420" w:leftChars="200"/>
    </w:pPr>
  </w:style>
  <w:style w:type="paragraph" w:styleId="16">
    <w:name w:val="Balloon Text"/>
    <w:basedOn w:val="1"/>
    <w:link w:val="34"/>
    <w:semiHidden/>
    <w:qFormat/>
    <w:uiPriority w:val="0"/>
    <w:rPr>
      <w:kern w:val="0"/>
      <w:sz w:val="18"/>
      <w:szCs w:val="20"/>
    </w:rPr>
  </w:style>
  <w:style w:type="paragraph" w:styleId="17">
    <w:name w:val="footer"/>
    <w:basedOn w:val="1"/>
    <w:link w:val="35"/>
    <w:qFormat/>
    <w:uiPriority w:val="99"/>
    <w:pPr>
      <w:tabs>
        <w:tab w:val="center" w:pos="4153"/>
        <w:tab w:val="right" w:pos="8306"/>
      </w:tabs>
      <w:snapToGrid w:val="0"/>
      <w:jc w:val="left"/>
    </w:pPr>
    <w:rPr>
      <w:kern w:val="0"/>
      <w:sz w:val="18"/>
      <w:szCs w:val="20"/>
    </w:rPr>
  </w:style>
  <w:style w:type="paragraph" w:styleId="18">
    <w:name w:val="header"/>
    <w:basedOn w:val="1"/>
    <w:link w:val="36"/>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index heading"/>
    <w:basedOn w:val="1"/>
    <w:next w:val="20"/>
    <w:qFormat/>
    <w:locked/>
    <w:uiPriority w:val="99"/>
    <w:rPr>
      <w:szCs w:val="20"/>
    </w:rPr>
  </w:style>
  <w:style w:type="paragraph" w:styleId="20">
    <w:name w:val="index 1"/>
    <w:basedOn w:val="1"/>
    <w:next w:val="1"/>
    <w:unhideWhenUsed/>
    <w:qFormat/>
    <w:locked/>
    <w:uiPriority w:val="0"/>
  </w:style>
  <w:style w:type="paragraph" w:styleId="21">
    <w:name w:val="Normal (Web)"/>
    <w:basedOn w:val="1"/>
    <w:link w:val="37"/>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12"/>
    <w:next w:val="12"/>
    <w:link w:val="38"/>
    <w:semiHidden/>
    <w:qFormat/>
    <w:uiPriority w:val="0"/>
    <w:rPr>
      <w:b/>
      <w:kern w:val="2"/>
    </w:rPr>
  </w:style>
  <w:style w:type="paragraph" w:styleId="23">
    <w:name w:val="Body Text First Indent 2"/>
    <w:basedOn w:val="13"/>
    <w:next w:val="1"/>
    <w:qFormat/>
    <w:locked/>
    <w:uiPriority w:val="0"/>
    <w:pPr>
      <w:spacing w:line="240" w:lineRule="auto"/>
      <w:ind w:firstLine="420"/>
    </w:pPr>
    <w:rPr>
      <w:sz w:val="21"/>
    </w:rPr>
  </w:style>
  <w:style w:type="table" w:styleId="25">
    <w:name w:val="Table Grid"/>
    <w:basedOn w:val="2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qFormat/>
    <w:locked/>
    <w:uiPriority w:val="0"/>
  </w:style>
  <w:style w:type="character" w:styleId="28">
    <w:name w:val="Hyperlink"/>
    <w:basedOn w:val="26"/>
    <w:qFormat/>
    <w:locked/>
    <w:uiPriority w:val="0"/>
    <w:rPr>
      <w:color w:val="0000FF"/>
      <w:u w:val="single"/>
    </w:rPr>
  </w:style>
  <w:style w:type="character" w:styleId="29">
    <w:name w:val="annotation reference"/>
    <w:semiHidden/>
    <w:qFormat/>
    <w:uiPriority w:val="0"/>
    <w:rPr>
      <w:sz w:val="21"/>
    </w:rPr>
  </w:style>
  <w:style w:type="character" w:customStyle="1" w:styleId="30">
    <w:name w:val="正文文本 字符"/>
    <w:link w:val="10"/>
    <w:qFormat/>
    <w:locked/>
    <w:uiPriority w:val="0"/>
    <w:rPr>
      <w:sz w:val="18"/>
    </w:rPr>
  </w:style>
  <w:style w:type="character" w:customStyle="1" w:styleId="31">
    <w:name w:val="批注文字 字符"/>
    <w:link w:val="12"/>
    <w:qFormat/>
    <w:locked/>
    <w:uiPriority w:val="0"/>
    <w:rPr>
      <w:rFonts w:ascii="Times New Roman" w:hAnsi="Times New Roman" w:eastAsia="宋体"/>
      <w:sz w:val="24"/>
    </w:rPr>
  </w:style>
  <w:style w:type="character" w:customStyle="1" w:styleId="32">
    <w:name w:val="正文文本缩进 字符"/>
    <w:link w:val="13"/>
    <w:semiHidden/>
    <w:qFormat/>
    <w:locked/>
    <w:uiPriority w:val="0"/>
    <w:rPr>
      <w:rFonts w:ascii="Times New Roman" w:hAnsi="Times New Roman" w:eastAsia="宋体"/>
      <w:sz w:val="24"/>
    </w:rPr>
  </w:style>
  <w:style w:type="character" w:customStyle="1" w:styleId="33">
    <w:name w:val="日期 字符1"/>
    <w:link w:val="14"/>
    <w:qFormat/>
    <w:locked/>
    <w:uiPriority w:val="0"/>
    <w:rPr>
      <w:rFonts w:ascii="Times New Roman" w:hAnsi="Times New Roman" w:eastAsia="宋体"/>
      <w:sz w:val="24"/>
    </w:rPr>
  </w:style>
  <w:style w:type="character" w:customStyle="1" w:styleId="34">
    <w:name w:val="批注框文本 字符"/>
    <w:link w:val="16"/>
    <w:semiHidden/>
    <w:qFormat/>
    <w:locked/>
    <w:uiPriority w:val="0"/>
    <w:rPr>
      <w:rFonts w:ascii="Times New Roman" w:hAnsi="Times New Roman" w:eastAsia="宋体"/>
      <w:sz w:val="18"/>
    </w:rPr>
  </w:style>
  <w:style w:type="character" w:customStyle="1" w:styleId="35">
    <w:name w:val="页脚 字符1"/>
    <w:link w:val="17"/>
    <w:qFormat/>
    <w:locked/>
    <w:uiPriority w:val="99"/>
    <w:rPr>
      <w:sz w:val="18"/>
    </w:rPr>
  </w:style>
  <w:style w:type="character" w:customStyle="1" w:styleId="36">
    <w:name w:val="页眉 字符"/>
    <w:link w:val="18"/>
    <w:qFormat/>
    <w:locked/>
    <w:uiPriority w:val="0"/>
    <w:rPr>
      <w:sz w:val="18"/>
    </w:rPr>
  </w:style>
  <w:style w:type="character" w:customStyle="1" w:styleId="37">
    <w:name w:val="普通(网站) 字符"/>
    <w:link w:val="21"/>
    <w:qFormat/>
    <w:locked/>
    <w:uiPriority w:val="0"/>
    <w:rPr>
      <w:rFonts w:ascii="宋体" w:hAnsi="宋体" w:eastAsia="宋体"/>
      <w:sz w:val="24"/>
    </w:rPr>
  </w:style>
  <w:style w:type="character" w:customStyle="1" w:styleId="38">
    <w:name w:val="批注主题 字符"/>
    <w:link w:val="22"/>
    <w:semiHidden/>
    <w:qFormat/>
    <w:locked/>
    <w:uiPriority w:val="0"/>
    <w:rPr>
      <w:rFonts w:ascii="Times New Roman" w:hAnsi="Times New Roman" w:eastAsia="宋体"/>
      <w:b/>
      <w:kern w:val="2"/>
      <w:sz w:val="24"/>
    </w:rPr>
  </w:style>
  <w:style w:type="paragraph" w:customStyle="1" w:styleId="39">
    <w:name w:val="xl27"/>
    <w:basedOn w:val="6"/>
    <w:qFormat/>
    <w:uiPriority w:val="0"/>
    <w:pPr>
      <w:widowControl/>
      <w:pBdr>
        <w:bottom w:val="single" w:color="auto" w:sz="12" w:space="0"/>
      </w:pBdr>
      <w:spacing w:before="100" w:after="100"/>
      <w:jc w:val="center"/>
    </w:pPr>
    <w:rPr>
      <w:rFonts w:ascii="宋体" w:hAnsi="宋体" w:eastAsia="宋体" w:cs="Times New Roman"/>
      <w:kern w:val="0"/>
      <w:szCs w:val="20"/>
    </w:rPr>
  </w:style>
  <w:style w:type="paragraph" w:customStyle="1" w:styleId="40">
    <w:name w:val="四级条标题"/>
    <w:basedOn w:val="41"/>
    <w:next w:val="45"/>
    <w:qFormat/>
    <w:uiPriority w:val="0"/>
    <w:pPr>
      <w:outlineLvl w:val="5"/>
    </w:pPr>
    <w:rPr>
      <w:szCs w:val="20"/>
    </w:rPr>
  </w:style>
  <w:style w:type="paragraph" w:customStyle="1" w:styleId="41">
    <w:name w:val="三级条标题"/>
    <w:basedOn w:val="42"/>
    <w:next w:val="45"/>
    <w:qFormat/>
    <w:uiPriority w:val="0"/>
    <w:pPr>
      <w:outlineLvl w:val="4"/>
    </w:pPr>
  </w:style>
  <w:style w:type="paragraph" w:customStyle="1" w:styleId="42">
    <w:name w:val="二级条标题"/>
    <w:basedOn w:val="43"/>
    <w:next w:val="45"/>
    <w:qFormat/>
    <w:uiPriority w:val="0"/>
    <w:pPr>
      <w:outlineLvl w:val="3"/>
    </w:pPr>
    <w:rPr>
      <w:rFonts w:ascii="Times New Roman" w:hAnsi="Times New Roman" w:eastAsia="宋体" w:cs="Times New Roman"/>
      <w:lang w:val="en-US" w:eastAsia="zh-CN" w:bidi="ar-SA"/>
    </w:rPr>
  </w:style>
  <w:style w:type="paragraph" w:customStyle="1" w:styleId="43">
    <w:name w:val="一级条标题"/>
    <w:basedOn w:val="44"/>
    <w:next w:val="45"/>
    <w:qFormat/>
    <w:uiPriority w:val="0"/>
    <w:pPr>
      <w:numPr>
        <w:ilvl w:val="2"/>
        <w:numId w:val="3"/>
      </w:numPr>
      <w:spacing w:before="0" w:beforeLines="0" w:after="0" w:afterLines="0"/>
      <w:outlineLvl w:val="2"/>
    </w:pPr>
  </w:style>
  <w:style w:type="paragraph" w:customStyle="1" w:styleId="44">
    <w:name w:val="章标题"/>
    <w:next w:val="45"/>
    <w:qFormat/>
    <w:uiPriority w:val="0"/>
    <w:pPr>
      <w:spacing w:before="156" w:beforeLines="50" w:after="156" w:afterLines="50"/>
      <w:jc w:val="both"/>
      <w:outlineLvl w:val="1"/>
    </w:pPr>
    <w:rPr>
      <w:rFonts w:ascii="黑体" w:hAnsi="Times New Roman" w:eastAsia="黑体" w:cs="Times New Roman"/>
      <w:sz w:val="21"/>
      <w:szCs w:val="22"/>
      <w:lang w:val="en-US" w:eastAsia="zh-CN" w:bidi="ar-SA"/>
    </w:rPr>
  </w:style>
  <w:style w:type="paragraph" w:customStyle="1" w:styleId="4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46">
    <w:name w:val="页脚 字符"/>
    <w:qFormat/>
    <w:uiPriority w:val="99"/>
  </w:style>
  <w:style w:type="character" w:customStyle="1" w:styleId="47">
    <w:name w:val="正文文本 字符1"/>
    <w:semiHidden/>
    <w:qFormat/>
    <w:uiPriority w:val="0"/>
    <w:rPr>
      <w:rFonts w:ascii="Times New Roman" w:hAnsi="Times New Roman" w:eastAsia="宋体"/>
      <w:sz w:val="24"/>
    </w:rPr>
  </w:style>
  <w:style w:type="character" w:customStyle="1" w:styleId="48">
    <w:name w:val="表格 Char"/>
    <w:link w:val="49"/>
    <w:qFormat/>
    <w:locked/>
    <w:uiPriority w:val="0"/>
    <w:rPr>
      <w:rFonts w:ascii="宋体"/>
      <w:sz w:val="21"/>
    </w:rPr>
  </w:style>
  <w:style w:type="paragraph" w:customStyle="1" w:styleId="49">
    <w:name w:val="表格"/>
    <w:basedOn w:val="50"/>
    <w:next w:val="1"/>
    <w:link w:val="48"/>
    <w:qFormat/>
    <w:uiPriority w:val="0"/>
    <w:pPr>
      <w:adjustRightInd w:val="0"/>
      <w:snapToGrid w:val="0"/>
      <w:spacing w:beforeLines="10" w:afterLines="10" w:line="259" w:lineRule="auto"/>
      <w:jc w:val="center"/>
    </w:pPr>
    <w:rPr>
      <w:rFonts w:hAnsi="Times New Roman"/>
      <w:sz w:val="21"/>
    </w:rPr>
  </w:style>
  <w:style w:type="paragraph" w:customStyle="1" w:styleId="50">
    <w:name w:val="表格文字"/>
    <w:basedOn w:val="9"/>
    <w:next w:val="1"/>
    <w:qFormat/>
    <w:uiPriority w:val="0"/>
    <w:pPr>
      <w:adjustRightInd w:val="0"/>
      <w:jc w:val="center"/>
    </w:pPr>
    <w:rPr>
      <w:rFonts w:ascii="宋体" w:hAnsi="宋体"/>
    </w:rPr>
  </w:style>
  <w:style w:type="character" w:customStyle="1" w:styleId="51">
    <w:name w:val="日期 字符"/>
    <w:semiHidden/>
    <w:qFormat/>
    <w:uiPriority w:val="0"/>
    <w:rPr>
      <w:rFonts w:ascii="Times New Roman" w:hAnsi="Times New Roman" w:eastAsia="宋体"/>
      <w:sz w:val="24"/>
    </w:rPr>
  </w:style>
  <w:style w:type="character" w:customStyle="1" w:styleId="52">
    <w:name w:val="批注文字 字符1"/>
    <w:semiHidden/>
    <w:qFormat/>
    <w:uiPriority w:val="0"/>
    <w:rPr>
      <w:rFonts w:ascii="Times New Roman" w:hAnsi="Times New Roman" w:eastAsia="宋体"/>
      <w:sz w:val="24"/>
    </w:rPr>
  </w:style>
  <w:style w:type="paragraph" w:customStyle="1" w:styleId="5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5">
    <w:name w:val="表格内容"/>
    <w:basedOn w:val="56"/>
    <w:next w:val="1"/>
    <w:qFormat/>
    <w:uiPriority w:val="0"/>
    <w:pPr>
      <w:spacing w:before="10" w:after="10" w:line="240" w:lineRule="auto"/>
      <w:ind w:firstLine="0" w:firstLineChars="0"/>
      <w:jc w:val="center"/>
    </w:pPr>
    <w:rPr>
      <w:rFonts w:ascii="Times New Roman" w:hAnsi="Times New Roman"/>
      <w:sz w:val="21"/>
      <w:szCs w:val="21"/>
    </w:rPr>
  </w:style>
  <w:style w:type="paragraph" w:customStyle="1" w:styleId="56">
    <w:name w:val="表格文本"/>
    <w:basedOn w:val="1"/>
    <w:qFormat/>
    <w:uiPriority w:val="0"/>
    <w:pPr>
      <w:spacing w:line="360" w:lineRule="auto"/>
    </w:pPr>
    <w:rPr>
      <w:rFonts w:ascii="Times New Roman" w:hAnsi="Times New Roman"/>
      <w:szCs w:val="21"/>
    </w:rPr>
  </w:style>
  <w:style w:type="paragraph" w:customStyle="1" w:styleId="57">
    <w:name w:val="表格文字2"/>
    <w:basedOn w:val="1"/>
    <w:qFormat/>
    <w:uiPriority w:val="99"/>
    <w:pPr>
      <w:widowControl w:val="0"/>
      <w:tabs>
        <w:tab w:val="left" w:pos="277"/>
        <w:tab w:val="left" w:pos="600"/>
        <w:tab w:val="left" w:pos="780"/>
        <w:tab w:val="left" w:pos="2517"/>
      </w:tabs>
      <w:spacing w:line="0" w:lineRule="atLeast"/>
      <w:ind w:firstLine="0" w:firstLineChars="0"/>
      <w:jc w:val="center"/>
    </w:pPr>
    <w:rPr>
      <w:rFonts w:cs="Times New Roman"/>
      <w:spacing w:val="5"/>
      <w:kern w:val="44"/>
      <w:sz w:val="21"/>
      <w:szCs w:val="20"/>
    </w:rPr>
  </w:style>
  <w:style w:type="paragraph" w:customStyle="1" w:styleId="58">
    <w:name w:val="正文文本3"/>
    <w:basedOn w:val="1"/>
    <w:qFormat/>
    <w:uiPriority w:val="0"/>
    <w:pPr>
      <w:shd w:val="clear" w:color="auto" w:fill="FFFFFF"/>
      <w:adjustRightInd/>
      <w:spacing w:before="240" w:line="518" w:lineRule="exact"/>
      <w:ind w:hanging="620"/>
      <w:jc w:val="distribute"/>
      <w:textAlignment w:val="auto"/>
    </w:pPr>
    <w:rPr>
      <w:rFonts w:ascii="Arial Unicode MS" w:hAnsi="Arial Unicode MS" w:eastAsia="Arial Unicode MS"/>
      <w:spacing w:val="10"/>
      <w:kern w:val="0"/>
      <w:sz w:val="20"/>
      <w:szCs w:val="21"/>
    </w:rPr>
  </w:style>
  <w:style w:type="paragraph" w:customStyle="1" w:styleId="59">
    <w:name w:val="Default"/>
    <w:basedOn w:val="60"/>
    <w:next w:val="1"/>
    <w:unhideWhenUsed/>
    <w:qFormat/>
    <w:uiPriority w:val="99"/>
    <w:pPr>
      <w:widowControl w:val="0"/>
      <w:autoSpaceDE w:val="0"/>
      <w:autoSpaceDN w:val="0"/>
      <w:adjustRightInd w:val="0"/>
      <w:spacing w:beforeLines="0" w:afterLines="0"/>
    </w:pPr>
    <w:rPr>
      <w:rFonts w:hint="eastAsia" w:ascii="宋体" w:hAnsi="宋体" w:eastAsia="宋体"/>
      <w:color w:val="000000"/>
      <w:sz w:val="24"/>
      <w:szCs w:val="24"/>
    </w:rPr>
  </w:style>
  <w:style w:type="paragraph" w:customStyle="1" w:styleId="60">
    <w:name w:val="纯文本1"/>
    <w:basedOn w:val="1"/>
    <w:qFormat/>
    <w:uiPriority w:val="0"/>
    <w:pPr>
      <w:adjustRightInd w:val="0"/>
    </w:pPr>
    <w:rPr>
      <w:rFonts w:ascii="宋体" w:hAnsi="Courier New"/>
      <w:szCs w:val="20"/>
    </w:rPr>
  </w:style>
  <w:style w:type="paragraph" w:customStyle="1" w:styleId="61">
    <w:name w:val="样式1"/>
    <w:basedOn w:val="19"/>
    <w:next w:val="1"/>
    <w:qFormat/>
    <w:uiPriority w:val="0"/>
    <w:pPr>
      <w:spacing w:beforeLines="50" w:line="440" w:lineRule="exact"/>
      <w:ind w:left="100" w:leftChars="100"/>
    </w:pPr>
    <w:rPr>
      <w:rFonts w:ascii="宋体" w:hAnsi="宋体"/>
    </w:rPr>
  </w:style>
  <w:style w:type="paragraph" w:customStyle="1" w:styleId="62">
    <w:name w:val="1-表格"/>
    <w:basedOn w:val="1"/>
    <w:qFormat/>
    <w:uiPriority w:val="0"/>
    <w:pPr>
      <w:adjustRightInd w:val="0"/>
      <w:snapToGrid w:val="0"/>
      <w:spacing w:line="360" w:lineRule="auto"/>
      <w:jc w:val="center"/>
    </w:pPr>
  </w:style>
  <w:style w:type="paragraph" w:customStyle="1" w:styleId="63">
    <w:name w:val="表标题"/>
    <w:qFormat/>
    <w:uiPriority w:val="0"/>
    <w:pPr>
      <w:spacing w:line="240" w:lineRule="atLeast"/>
      <w:jc w:val="center"/>
    </w:pPr>
    <w:rPr>
      <w:rFonts w:ascii="Times New Roman" w:hAnsi="Times New Roman" w:eastAsia="宋体" w:cs="Times New Roman"/>
      <w:b/>
      <w:bCs/>
      <w:color w:val="000000"/>
      <w:kern w:val="2"/>
      <w:sz w:val="24"/>
      <w:szCs w:val="32"/>
      <w:lang w:val="en-US" w:eastAsia="zh-CN" w:bidi="ar-SA"/>
    </w:rPr>
  </w:style>
  <w:style w:type="paragraph" w:customStyle="1" w:styleId="64">
    <w:name w:val="Table Paragraph"/>
    <w:basedOn w:val="1"/>
    <w:qFormat/>
    <w:uiPriority w:val="0"/>
    <w:pPr>
      <w:autoSpaceDE w:val="0"/>
      <w:autoSpaceDN w:val="0"/>
      <w:adjustRightInd w:val="0"/>
      <w:jc w:val="left"/>
    </w:pPr>
    <w:rPr>
      <w:kern w:val="0"/>
      <w:sz w:val="24"/>
    </w:rPr>
  </w:style>
  <w:style w:type="paragraph" w:customStyle="1" w:styleId="65">
    <w:name w:val="Default1"/>
    <w:qFormat/>
    <w:uiPriority w:val="0"/>
    <w:pPr>
      <w:widowControl w:val="0"/>
      <w:autoSpaceDE w:val="0"/>
      <w:autoSpaceDN w:val="0"/>
      <w:adjustRightInd w:val="0"/>
    </w:pPr>
    <w:rPr>
      <w:rFonts w:ascii="宋体" w:hAnsi="Calibri" w:eastAsia="Calibri" w:cs="宋体"/>
      <w:color w:val="000000"/>
      <w:sz w:val="24"/>
      <w:szCs w:val="24"/>
      <w:lang w:val="en-US" w:eastAsia="zh-CN" w:bidi="ar-SA"/>
    </w:rPr>
  </w:style>
  <w:style w:type="paragraph" w:customStyle="1" w:styleId="66">
    <w:name w:val="表格的字"/>
    <w:basedOn w:val="1"/>
    <w:qFormat/>
    <w:uiPriority w:val="0"/>
    <w:pPr>
      <w:spacing w:line="240" w:lineRule="auto"/>
      <w:ind w:firstLine="0" w:firstLineChars="0"/>
      <w:jc w:val="center"/>
    </w:pPr>
    <w:rPr>
      <w:sz w:val="21"/>
    </w:rPr>
  </w:style>
  <w:style w:type="paragraph" w:customStyle="1" w:styleId="67">
    <w:name w:val="Date1"/>
    <w:basedOn w:val="1"/>
    <w:next w:val="1"/>
    <w:qFormat/>
    <w:uiPriority w:val="0"/>
    <w:pPr>
      <w:adjustRightInd w:val="0"/>
      <w:textAlignment w:val="baseline"/>
    </w:pPr>
    <w:rPr>
      <w:szCs w:val="20"/>
    </w:rPr>
  </w:style>
  <w:style w:type="paragraph" w:customStyle="1" w:styleId="68">
    <w:name w:val="报告表正文"/>
    <w:basedOn w:val="1"/>
    <w:qFormat/>
    <w:uiPriority w:val="0"/>
    <w:pPr>
      <w:spacing w:line="360" w:lineRule="auto"/>
      <w:ind w:firstLine="720" w:firstLineChars="200"/>
      <w:jc w:val="left"/>
    </w:pPr>
    <w:rPr>
      <w:sz w:val="24"/>
    </w:rPr>
  </w:style>
  <w:style w:type="paragraph" w:customStyle="1" w:styleId="69">
    <w:name w:val="表格标题"/>
    <w:basedOn w:val="9"/>
    <w:qFormat/>
    <w:uiPriority w:val="0"/>
    <w:pPr>
      <w:adjustRightInd w:val="0"/>
      <w:snapToGrid w:val="0"/>
      <w:spacing w:after="0" w:line="360" w:lineRule="auto"/>
      <w:ind w:firstLine="0" w:firstLineChars="0"/>
      <w:jc w:val="center"/>
    </w:pPr>
    <w:rPr>
      <w:rFonts w:eastAsia="黑体"/>
      <w:sz w:val="24"/>
    </w:rPr>
  </w:style>
  <w:style w:type="paragraph" w:customStyle="1" w:styleId="70">
    <w:name w:val="表格5号"/>
    <w:basedOn w:val="1"/>
    <w:qFormat/>
    <w:uiPriority w:val="0"/>
    <w:pPr>
      <w:spacing w:line="240" w:lineRule="auto"/>
      <w:ind w:firstLine="0" w:firstLineChars="0"/>
      <w:jc w:val="center"/>
    </w:pPr>
    <w:rPr>
      <w:rFonts w:ascii="Times New Roman" w:hAnsi="Times New Roman" w:eastAsia="宋体"/>
      <w:sz w:val="21"/>
    </w:rPr>
  </w:style>
  <w:style w:type="paragraph" w:customStyle="1" w:styleId="71">
    <w:name w:val="reader-word-layer reader-word-s46-2"/>
    <w:basedOn w:val="1"/>
    <w:next w:val="72"/>
    <w:qFormat/>
    <w:uiPriority w:val="0"/>
    <w:pPr>
      <w:widowControl/>
      <w:spacing w:before="280" w:after="280" w:line="240" w:lineRule="auto"/>
      <w:jc w:val="both"/>
    </w:pPr>
    <w:rPr>
      <w:rFonts w:ascii="宋体"/>
      <w:sz w:val="24"/>
    </w:rPr>
  </w:style>
  <w:style w:type="paragraph" w:customStyle="1" w:styleId="72">
    <w:name w:val="xl35"/>
    <w:basedOn w:val="1"/>
    <w:next w:val="1"/>
    <w:qFormat/>
    <w:uiPriority w:val="0"/>
    <w:pPr>
      <w:widowControl/>
      <w:shd w:val="clear" w:color="FFFFFF" w:fill="FFFFFF"/>
      <w:spacing w:before="280" w:after="280" w:line="240" w:lineRule="auto"/>
      <w:jc w:val="both"/>
    </w:pPr>
    <w:rPr>
      <w:rFonts w:ascii="Arial Unicode MS" w:eastAsia="Arial Unicode MS"/>
      <w:sz w:val="24"/>
    </w:rPr>
  </w:style>
  <w:style w:type="paragraph" w:customStyle="1" w:styleId="73">
    <w:name w:val="WPSOffice手动目录 1"/>
    <w:qFormat/>
    <w:uiPriority w:val="0"/>
    <w:pPr>
      <w:ind w:leftChars="0"/>
    </w:pPr>
    <w:rPr>
      <w:rFonts w:ascii="Times New Roman" w:hAnsi="Times New Roman" w:eastAsia="宋体" w:cs="Times New Roman"/>
      <w:sz w:val="20"/>
      <w:szCs w:val="20"/>
    </w:rPr>
  </w:style>
  <w:style w:type="paragraph" w:customStyle="1" w:styleId="74">
    <w:name w:val="报告"/>
    <w:basedOn w:val="1"/>
    <w:qFormat/>
    <w:uiPriority w:val="0"/>
    <w:pPr>
      <w:spacing w:beforeLines="30" w:afterLines="30" w:line="400" w:lineRule="atLeast"/>
      <w:ind w:left="400" w:leftChars="400" w:firstLine="200" w:firstLineChars="200"/>
    </w:pPr>
    <w:rPr>
      <w:sz w:val="24"/>
    </w:rPr>
  </w:style>
  <w:style w:type="paragraph" w:customStyle="1" w:styleId="75">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
    <w:name w:val="表文"/>
    <w:basedOn w:val="1"/>
    <w:qFormat/>
    <w:uiPriority w:val="0"/>
    <w:pPr>
      <w:spacing w:line="240" w:lineRule="auto"/>
      <w:ind w:firstLine="0" w:firstLineChars="0"/>
      <w:jc w:val="center"/>
    </w:pPr>
    <w:rPr>
      <w:spacing w:val="-2"/>
      <w:kern w:val="0"/>
      <w:sz w:val="21"/>
      <w:szCs w:val="20"/>
    </w:rPr>
  </w:style>
  <w:style w:type="paragraph" w:customStyle="1" w:styleId="77">
    <w:name w:val="【表头】"/>
    <w:basedOn w:val="1"/>
    <w:qFormat/>
    <w:uiPriority w:val="0"/>
    <w:pPr>
      <w:adjustRightInd w:val="0"/>
      <w:snapToGrid w:val="0"/>
      <w:jc w:val="center"/>
    </w:pPr>
    <w:rPr>
      <w:rFonts w:ascii="Times New Roman" w:hAnsi="Times New Roman" w:eastAsia="黑体" w:cs="Times New Roman"/>
      <w:sz w:val="24"/>
    </w:rPr>
  </w:style>
  <w:style w:type="table" w:customStyle="1" w:styleId="78">
    <w:name w:val="Table Normal"/>
    <w:unhideWhenUsed/>
    <w:qFormat/>
    <w:uiPriority w:val="0"/>
    <w:tblPr>
      <w:tblCellMar>
        <w:top w:w="0" w:type="dxa"/>
        <w:left w:w="0" w:type="dxa"/>
        <w:bottom w:w="0" w:type="dxa"/>
        <w:right w:w="0" w:type="dxa"/>
      </w:tblCellMar>
    </w:tblPr>
  </w:style>
  <w:style w:type="paragraph" w:customStyle="1" w:styleId="79">
    <w:name w:val="国寰正文"/>
    <w:basedOn w:val="1"/>
    <w:qFormat/>
    <w:uiPriority w:val="0"/>
    <w:pPr>
      <w:adjustRightInd w:val="0"/>
      <w:snapToGrid w:val="0"/>
      <w:ind w:firstLine="200" w:firstLineChars="200"/>
    </w:pPr>
    <w:rPr>
      <w:kern w:val="0"/>
    </w:rPr>
  </w:style>
  <w:style w:type="paragraph" w:customStyle="1" w:styleId="80">
    <w:name w:val="环评正文"/>
    <w:basedOn w:val="1"/>
    <w:qFormat/>
    <w:uiPriority w:val="0"/>
    <w:pPr>
      <w:autoSpaceDE w:val="0"/>
      <w:autoSpaceDN w:val="0"/>
      <w:adjustRightInd w:val="0"/>
      <w:snapToGrid w:val="0"/>
      <w:spacing w:line="360" w:lineRule="auto"/>
      <w:ind w:firstLine="200" w:firstLineChars="200"/>
    </w:pPr>
    <w:rPr>
      <w:rFonts w:cs="宋体"/>
      <w:kern w:val="0"/>
      <w:sz w:val="24"/>
      <w:szCs w:val="21"/>
    </w:rPr>
  </w:style>
  <w:style w:type="paragraph" w:customStyle="1" w:styleId="81">
    <w:name w:val="李正文"/>
    <w:basedOn w:val="1"/>
    <w:qFormat/>
    <w:uiPriority w:val="0"/>
    <w:pPr>
      <w:spacing w:line="360" w:lineRule="auto"/>
      <w:ind w:firstLine="720" w:firstLineChars="200"/>
    </w:pPr>
  </w:style>
  <w:style w:type="paragraph" w:customStyle="1" w:styleId="82">
    <w:name w:val="Compact"/>
    <w:basedOn w:val="10"/>
    <w:qFormat/>
    <w:uiPriority w:val="0"/>
    <w:pPr>
      <w:spacing w:before="36" w:after="36"/>
    </w:pPr>
  </w:style>
  <w:style w:type="paragraph" w:customStyle="1" w:styleId="83">
    <w:name w:val="Table Text"/>
    <w:basedOn w:val="1"/>
    <w:semiHidden/>
    <w:qFormat/>
    <w:uiPriority w:val="0"/>
    <w:rPr>
      <w:rFonts w:ascii="宋体" w:hAnsi="宋体" w:eastAsia="宋体" w:cs="宋体"/>
      <w:sz w:val="24"/>
      <w:szCs w:val="24"/>
      <w:lang w:val="en-US" w:eastAsia="en-US" w:bidi="ar-SA"/>
    </w:rPr>
  </w:style>
  <w:style w:type="paragraph" w:customStyle="1" w:styleId="84">
    <w:name w:val="表中字"/>
    <w:basedOn w:val="1"/>
    <w:qFormat/>
    <w:uiPriority w:val="0"/>
    <w:pPr>
      <w:spacing w:line="240" w:lineRule="atLeast"/>
      <w:jc w:val="center"/>
    </w:pPr>
    <w:rPr>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png"/><Relationship Id="rId43" Type="http://schemas.openxmlformats.org/officeDocument/2006/relationships/image" Target="media/image32.jpe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1.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68</Pages>
  <Words>1050</Words>
  <Characters>1137</Characters>
  <Lines>236</Lines>
  <Paragraphs>66</Paragraphs>
  <TotalTime>2</TotalTime>
  <ScaleCrop>false</ScaleCrop>
  <LinksUpToDate>false</LinksUpToDate>
  <CharactersWithSpaces>1145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2020-12-25T09:29:00Z</dcterms:created>
  <dc:creator>lhj</dc:creator>
  <cp:lastModifiedBy>小伙</cp:lastModifiedBy>
  <cp:lastPrinted>2022-03-23T10:57:00Z</cp:lastPrinted>
  <dcterms:modified xsi:type="dcterms:W3CDTF">2025-06-23T02:33:58Z</dcterms:modified>
  <dc:title>附件2</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1D53EFBE181C465D8697AFE54273F307_13</vt:lpwstr>
  </property>
  <property fmtid="{D5CDD505-2E9C-101B-9397-08002B2CF9AE}" pid="4" name="KSOTemplateDocerSaveRecord">
    <vt:lpwstr>eyJoZGlkIjoiMGZmNWM1Y2FjN2EwMjEyYTJiYjZjZGFkNWQ0Y2JiY2YiLCJ1c2VySWQiOiIyNTc0OTY0NDgifQ==</vt:lpwstr>
  </property>
</Properties>
</file>